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5865.xml.htm"/>
      <w:bookmarkStart w:id="1" w:name="kswkform4_17895958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KAO JOHN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W. TOWN &amp; COUNTRY RD., SUITE 1600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ORANGE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92868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Alignment Healthcare,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608"/>
        <w:gridCol w:w="1267"/>
        <w:gridCol w:w="986"/>
        <w:gridCol w:w="10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590,766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1,223,473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Date of Rule 10b5-1 plan adoption: 05/27/2026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securities held by JEK Trust, dated February 8, 2021, of which Mr. Kao is the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J. Joyce, as Attorney-in-Fact, for John E. Kao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22028" TargetMode="External"/><Relationship Id="rId5" Type="http://schemas.openxmlformats.org/officeDocument/2006/relationships/hyperlink" Target="http://www.sec.gov/cgi-bin/browse-edgar?action=getcompany&amp;CIK=00018324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3271</Characters>
  <CharactersWithSpaces>3804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