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4"/>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SECURITIES AND EXCHANGE COMMISSION</w:t>
      </w:r>
    </w:p>
    <w:p>
      <w:pPr>
        <w:ind w:left="4284"/>
        <w:spacing w:after="0"/>
        <w:rPr>
          <w:sz w:val="20"/>
          <w:szCs w:val="20"/>
          <w:color w:val="auto"/>
        </w:rPr>
      </w:pPr>
      <w:r>
        <w:rPr>
          <w:rFonts w:ascii="Arial" w:cs="Arial" w:eastAsia="Arial" w:hAnsi="Arial"/>
          <w:sz w:val="22"/>
          <w:szCs w:val="22"/>
          <w:b w:val="1"/>
          <w:bCs w:val="1"/>
          <w:color w:val="auto"/>
        </w:rPr>
        <w:t>Washington, D.C. 20549</w:t>
      </w:r>
    </w:p>
    <w:p>
      <w:pPr>
        <w:spacing w:after="0" w:line="74" w:lineRule="exact"/>
        <w:rPr>
          <w:sz w:val="24"/>
          <w:szCs w:val="24"/>
          <w:color w:val="auto"/>
        </w:rPr>
      </w:pPr>
    </w:p>
    <w:p>
      <w:pPr>
        <w:jc w:val="center"/>
        <w:ind w:right="-984"/>
        <w:spacing w:after="0"/>
        <w:rPr>
          <w:sz w:val="20"/>
          <w:szCs w:val="20"/>
          <w:color w:val="auto"/>
        </w:rPr>
      </w:pPr>
      <w:r>
        <w:rPr>
          <w:rFonts w:ascii="Arial" w:cs="Arial" w:eastAsia="Arial" w:hAnsi="Arial"/>
          <w:sz w:val="32"/>
          <w:szCs w:val="32"/>
          <w:b w:val="1"/>
          <w:bCs w:val="1"/>
          <w:color w:val="auto"/>
        </w:rPr>
        <w:t>SCHEDULE 14A</w:t>
      </w:r>
    </w:p>
    <w:p>
      <w:pPr>
        <w:spacing w:after="0" w:line="120"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Proxy Statement Pursuant to Section 14(a)</w:t>
      </w:r>
    </w:p>
    <w:p>
      <w:pPr>
        <w:spacing w:after="0" w:line="12" w:lineRule="exact"/>
        <w:rPr>
          <w:sz w:val="24"/>
          <w:szCs w:val="24"/>
          <w:color w:val="auto"/>
        </w:rPr>
      </w:pPr>
    </w:p>
    <w:p>
      <w:pPr>
        <w:jc w:val="center"/>
        <w:ind w:right="-984"/>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6"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6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03" w:lineRule="exact"/>
        <w:rPr>
          <w:sz w:val="24"/>
          <w:szCs w:val="24"/>
          <w:color w:val="auto"/>
        </w:rPr>
      </w:pPr>
    </w:p>
    <w:p>
      <w:pPr>
        <w:ind w:left="4"/>
        <w:spacing w:after="0"/>
        <w:rPr>
          <w:sz w:val="20"/>
          <w:szCs w:val="20"/>
          <w:color w:val="auto"/>
        </w:rPr>
      </w:pPr>
      <w:r>
        <w:rPr>
          <w:rFonts w:ascii="Arial" w:cs="Arial" w:eastAsia="Arial" w:hAnsi="Arial"/>
          <w:sz w:val="18"/>
          <w:szCs w:val="18"/>
          <w:color w:val="auto"/>
        </w:rPr>
        <w:t>Check the appropriate box:</w:t>
      </w:r>
    </w:p>
    <w:p>
      <w:pPr>
        <w:spacing w:after="0" w:line="11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7" w:lineRule="exact"/>
        <w:rPr>
          <w:rFonts w:ascii="MS PGothic" w:cs="MS PGothic" w:eastAsia="MS PGothic" w:hAnsi="MS PGothic"/>
          <w:sz w:val="18"/>
          <w:szCs w:val="18"/>
          <w:color w:val="auto"/>
        </w:rPr>
      </w:pPr>
    </w:p>
    <w:p>
      <w:pPr>
        <w:ind w:left="4" w:right="3239" w:hanging="4"/>
        <w:spacing w:after="0" w:line="216" w:lineRule="exact"/>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2" w:lineRule="exact"/>
        <w:rPr>
          <w:sz w:val="24"/>
          <w:szCs w:val="24"/>
          <w:color w:val="auto"/>
        </w:rPr>
      </w:pPr>
    </w:p>
    <w:p>
      <w:pPr>
        <w:jc w:val="center"/>
        <w:ind w:right="-984"/>
        <w:spacing w:after="0"/>
        <w:rPr>
          <w:sz w:val="20"/>
          <w:szCs w:val="20"/>
          <w:color w:val="auto"/>
        </w:rPr>
      </w:pPr>
      <w:r>
        <w:rPr>
          <w:rFonts w:ascii="Arial" w:cs="Arial" w:eastAsia="Arial" w:hAnsi="Arial"/>
          <w:sz w:val="40"/>
          <w:szCs w:val="40"/>
          <w:b w:val="1"/>
          <w:bCs w:val="1"/>
          <w:color w:val="auto"/>
        </w:rPr>
        <w:t>Alignment Healthcare, Inc.</w:t>
      </w:r>
    </w:p>
    <w:p>
      <w:pPr>
        <w:spacing w:after="0" w:line="32" w:lineRule="exact"/>
        <w:rPr>
          <w:sz w:val="24"/>
          <w:szCs w:val="24"/>
          <w:color w:val="auto"/>
        </w:rPr>
      </w:pPr>
    </w:p>
    <w:p>
      <w:pPr>
        <w:jc w:val="center"/>
        <w:ind w:right="-984"/>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95" w:lineRule="exact"/>
        <w:rPr>
          <w:sz w:val="24"/>
          <w:szCs w:val="24"/>
          <w:color w:val="auto"/>
        </w:rPr>
      </w:pPr>
    </w:p>
    <w:p>
      <w:pPr>
        <w:ind w:left="3064"/>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9" w:lineRule="exact"/>
        <w:rPr>
          <w:sz w:val="24"/>
          <w:szCs w:val="24"/>
          <w:color w:val="auto"/>
        </w:rPr>
      </w:pPr>
    </w:p>
    <w:p>
      <w:pPr>
        <w:ind w:left="4"/>
        <w:spacing w:after="0"/>
        <w:rPr>
          <w:sz w:val="20"/>
          <w:szCs w:val="20"/>
          <w:color w:val="auto"/>
        </w:rPr>
      </w:pPr>
      <w:r>
        <w:rPr>
          <w:rFonts w:ascii="Arial" w:cs="Arial" w:eastAsia="Arial" w:hAnsi="Arial"/>
          <w:sz w:val="18"/>
          <w:szCs w:val="18"/>
          <w:color w:val="auto"/>
        </w:rPr>
        <w:t>Payment of Filing Fee (Check all boxes that apply):</w:t>
      </w:r>
    </w:p>
    <w:p>
      <w:pPr>
        <w:spacing w:after="0" w:line="117"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56"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 w:lineRule="exact"/>
        <w:rPr>
          <w:rFonts w:ascii="MS PGothic" w:cs="MS PGothic" w:eastAsia="MS PGothic" w:hAnsi="MS PGothic"/>
          <w:sz w:val="18"/>
          <w:szCs w:val="18"/>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217"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55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8655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April 26, 2024</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Stockholders:</w:t>
      </w:r>
    </w:p>
    <w:p>
      <w:pPr>
        <w:spacing w:after="0" w:line="212"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On behalf of the Alignment Healthcare (“Alignment”) Board of Directors, it is our pleasure to invite you to attend our second Annual Meeting of Stockholders on Friday, June 7, 2024, at 8:00 a.m. PDT. The Annual Meeting will be held virtually via audio-only webcast at www.proxydocs.com/ALHC. You can listen to the meeting live, submit questions and vote online during the Annual Meeting.</w:t>
      </w:r>
    </w:p>
    <w:p>
      <w:pPr>
        <w:spacing w:after="0" w:line="169"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As we approach the Annual Meeting, we want to convey our appreciation for your ongoing support and commitment to the growth and success of our company. Your dedication remains instrumental as we steer our organization toward greater heights.</w:t>
      </w:r>
    </w:p>
    <w:p>
      <w:pPr>
        <w:spacing w:after="0" w:line="154"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Last year was the year of the member at Alignment where we drove strong performance with continuous improvements and outstanding achievements, including:</w:t>
      </w:r>
    </w:p>
    <w:p>
      <w:pPr>
        <w:spacing w:after="0" w:line="59" w:lineRule="exact"/>
        <w:rPr>
          <w:sz w:val="20"/>
          <w:szCs w:val="20"/>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Strong growth: </w:t>
      </w:r>
      <w:r>
        <w:rPr>
          <w:rFonts w:ascii="Arial" w:cs="Arial" w:eastAsia="Arial" w:hAnsi="Arial"/>
          <w:sz w:val="18"/>
          <w:szCs w:val="18"/>
          <w:color w:val="auto"/>
        </w:rPr>
        <w:t>21.1% membership growth and 27.2% revenue growth year-over-year as of Dec. 31, 2023.</w:t>
      </w:r>
    </w:p>
    <w:p>
      <w:pPr>
        <w:spacing w:after="0" w:line="129" w:lineRule="exact"/>
        <w:rPr>
          <w:rFonts w:ascii="Times New Roman" w:cs="Times New Roman" w:eastAsia="Times New Roman" w:hAnsi="Times New Roman"/>
          <w:sz w:val="18"/>
          <w:szCs w:val="18"/>
          <w:color w:val="auto"/>
        </w:rPr>
      </w:pPr>
    </w:p>
    <w:p>
      <w:pPr>
        <w:ind w:left="960" w:right="500" w:hanging="424"/>
        <w:spacing w:after="0" w:line="270" w:lineRule="auto"/>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Managed medical costs: </w:t>
      </w:r>
      <w:r>
        <w:rPr>
          <w:rFonts w:ascii="Arial" w:cs="Arial" w:eastAsia="Arial" w:hAnsi="Arial"/>
          <w:sz w:val="18"/>
          <w:szCs w:val="18"/>
          <w:color w:val="auto"/>
        </w:rPr>
        <w:t>88.5% medical benefits ratio (“MBR”) in 2023 based on adjusted gross profit and 87.6% MBR</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ACO REACH.</w:t>
      </w:r>
    </w:p>
    <w:p>
      <w:pPr>
        <w:spacing w:after="0" w:line="59"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Outstanding quality: </w:t>
      </w:r>
      <w:r>
        <w:rPr>
          <w:rFonts w:ascii="Arial" w:cs="Arial" w:eastAsia="Arial" w:hAnsi="Arial"/>
          <w:sz w:val="18"/>
          <w:szCs w:val="18"/>
          <w:color w:val="auto"/>
        </w:rPr>
        <w:t>&gt;90% of members in plans that received 4 Stars or better under CMS’s 5-Star Quality Rating System.</w:t>
      </w:r>
    </w:p>
    <w:p>
      <w:pPr>
        <w:spacing w:after="0" w:line="129" w:lineRule="exact"/>
        <w:rPr>
          <w:rFonts w:ascii="Times New Roman" w:cs="Times New Roman" w:eastAsia="Times New Roman" w:hAnsi="Times New Roman"/>
          <w:sz w:val="18"/>
          <w:szCs w:val="18"/>
          <w:color w:val="auto"/>
        </w:rPr>
      </w:pPr>
    </w:p>
    <w:p>
      <w:pPr>
        <w:jc w:val="both"/>
        <w:ind w:left="960" w:right="100" w:hanging="424"/>
        <w:spacing w:after="0" w:line="252" w:lineRule="auto"/>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Premium member experience: </w:t>
      </w:r>
      <w:r>
        <w:rPr>
          <w:rFonts w:ascii="Arial" w:cs="Arial" w:eastAsia="Arial" w:hAnsi="Arial"/>
          <w:sz w:val="18"/>
          <w:szCs w:val="18"/>
          <w:color w:val="auto"/>
        </w:rPr>
        <w:t>Establishing an in-house member experience team, significantly boosting member response</w:t>
      </w:r>
      <w:r>
        <w:rPr>
          <w:rFonts w:ascii="Arial" w:cs="Arial" w:eastAsia="Arial" w:hAnsi="Arial"/>
          <w:sz w:val="18"/>
          <w:szCs w:val="18"/>
          <w:b w:val="1"/>
          <w:bCs w:val="1"/>
          <w:color w:val="auto"/>
        </w:rPr>
        <w:t xml:space="preserve"> </w:t>
      </w:r>
      <w:r>
        <w:rPr>
          <w:rFonts w:ascii="Arial" w:cs="Arial" w:eastAsia="Arial" w:hAnsi="Arial"/>
          <w:sz w:val="18"/>
          <w:szCs w:val="18"/>
          <w:color w:val="auto"/>
        </w:rPr>
        <w:t>rates, resolution speed and overall satisfaction as demonstrated through an overall Net Promoter Score (“NPS”) of 65, which includes an NPS of greater than 80 for our Care Anywhere program, and a 4.9-star Google rating.</w:t>
      </w:r>
    </w:p>
    <w:p>
      <w:pPr>
        <w:spacing w:after="0" w:line="76"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Higher member retention: </w:t>
      </w:r>
      <w:r>
        <w:rPr>
          <w:rFonts w:ascii="Arial" w:cs="Arial" w:eastAsia="Arial" w:hAnsi="Arial"/>
          <w:sz w:val="18"/>
          <w:szCs w:val="18"/>
          <w:color w:val="auto"/>
        </w:rPr>
        <w:t>40% lower voluntary disenrollment versus the industry.</w:t>
      </w:r>
    </w:p>
    <w:p>
      <w:pPr>
        <w:spacing w:after="0" w:line="129" w:lineRule="exact"/>
        <w:rPr>
          <w:rFonts w:ascii="Times New Roman" w:cs="Times New Roman" w:eastAsia="Times New Roman" w:hAnsi="Times New Roman"/>
          <w:sz w:val="18"/>
          <w:szCs w:val="18"/>
          <w:color w:val="auto"/>
        </w:rPr>
      </w:pPr>
    </w:p>
    <w:p>
      <w:pPr>
        <w:ind w:left="960" w:hanging="424"/>
        <w:spacing w:after="0" w:line="270" w:lineRule="auto"/>
        <w:tabs>
          <w:tab w:leader="none" w:pos="9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Better outcomes: </w:t>
      </w:r>
      <w:r>
        <w:rPr>
          <w:rFonts w:ascii="Arial" w:cs="Arial" w:eastAsia="Arial" w:hAnsi="Arial"/>
          <w:sz w:val="18"/>
          <w:szCs w:val="18"/>
          <w:color w:val="auto"/>
        </w:rPr>
        <w:t>30% net improvement in Care Anywhere enrolled institutional claims expense after one year following Care</w:t>
      </w:r>
      <w:r>
        <w:rPr>
          <w:rFonts w:ascii="Arial" w:cs="Arial" w:eastAsia="Arial" w:hAnsi="Arial"/>
          <w:sz w:val="18"/>
          <w:szCs w:val="18"/>
          <w:b w:val="1"/>
          <w:bCs w:val="1"/>
          <w:color w:val="auto"/>
        </w:rPr>
        <w:t xml:space="preserve"> </w:t>
      </w:r>
      <w:r>
        <w:rPr>
          <w:rFonts w:ascii="Arial" w:cs="Arial" w:eastAsia="Arial" w:hAnsi="Arial"/>
          <w:sz w:val="18"/>
          <w:szCs w:val="18"/>
          <w:color w:val="auto"/>
        </w:rPr>
        <w:t>Anywhere enrollment or eligibility resulting in better outcomes for our most vulnerable members.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As we look ahead to the rest of 2024, we are laser-focused on:</w:t>
      </w:r>
    </w:p>
    <w:p>
      <w:pPr>
        <w:spacing w:after="0" w:line="239" w:lineRule="exact"/>
        <w:rPr>
          <w:sz w:val="20"/>
          <w:szCs w:val="20"/>
          <w:color w:val="auto"/>
        </w:rPr>
      </w:pPr>
    </w:p>
    <w:p>
      <w:pPr>
        <w:ind w:left="960" w:right="520" w:hanging="424"/>
        <w:spacing w:after="0" w:line="270" w:lineRule="auto"/>
        <w:tabs>
          <w:tab w:leader="none" w:pos="9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Improving Profitability: </w:t>
      </w:r>
      <w:r>
        <w:rPr>
          <w:rFonts w:ascii="Arial" w:cs="Arial" w:eastAsia="Arial" w:hAnsi="Arial"/>
          <w:sz w:val="18"/>
          <w:szCs w:val="18"/>
          <w:color w:val="auto"/>
        </w:rPr>
        <w:t>We’re passionate about providing the best care at the lowest cost. That starts with high clinical</w:t>
      </w:r>
      <w:r>
        <w:rPr>
          <w:rFonts w:ascii="Arial" w:cs="Arial" w:eastAsia="Arial" w:hAnsi="Arial"/>
          <w:sz w:val="18"/>
          <w:szCs w:val="18"/>
          <w:b w:val="1"/>
          <w:bCs w:val="1"/>
          <w:color w:val="auto"/>
        </w:rPr>
        <w:t xml:space="preserve"> </w:t>
      </w:r>
      <w:r>
        <w:rPr>
          <w:rFonts w:ascii="Arial" w:cs="Arial" w:eastAsia="Arial" w:hAnsi="Arial"/>
          <w:sz w:val="18"/>
          <w:szCs w:val="18"/>
          <w:color w:val="auto"/>
        </w:rPr>
        <w:t>quality and managed medical costs.</w:t>
      </w:r>
    </w:p>
    <w:p>
      <w:pPr>
        <w:spacing w:after="0" w:line="59" w:lineRule="exact"/>
        <w:rPr>
          <w:rFonts w:ascii="Times New Roman" w:cs="Times New Roman" w:eastAsia="Times New Roman" w:hAnsi="Times New Roman"/>
          <w:sz w:val="18"/>
          <w:szCs w:val="18"/>
          <w:color w:val="auto"/>
        </w:rPr>
      </w:pPr>
    </w:p>
    <w:p>
      <w:pPr>
        <w:ind w:left="960" w:right="80" w:hanging="424"/>
        <w:spacing w:after="0" w:line="270" w:lineRule="auto"/>
        <w:tabs>
          <w:tab w:leader="none" w:pos="9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Driving Growth: </w:t>
      </w:r>
      <w:r>
        <w:rPr>
          <w:rFonts w:ascii="Arial" w:cs="Arial" w:eastAsia="Arial" w:hAnsi="Arial"/>
          <w:sz w:val="18"/>
          <w:szCs w:val="18"/>
          <w:color w:val="auto"/>
        </w:rPr>
        <w:t>With a vision to become the most trusted senior health care brand in the country, we’re aiming to deliver the</w:t>
      </w:r>
      <w:r>
        <w:rPr>
          <w:rFonts w:ascii="Arial" w:cs="Arial" w:eastAsia="Arial" w:hAnsi="Arial"/>
          <w:sz w:val="18"/>
          <w:szCs w:val="18"/>
          <w:b w:val="1"/>
          <w:bCs w:val="1"/>
          <w:color w:val="auto"/>
        </w:rPr>
        <w:t xml:space="preserve"> </w:t>
      </w:r>
      <w:r>
        <w:rPr>
          <w:rFonts w:ascii="Arial" w:cs="Arial" w:eastAsia="Arial" w:hAnsi="Arial"/>
          <w:sz w:val="18"/>
          <w:szCs w:val="18"/>
          <w:color w:val="auto"/>
        </w:rPr>
        <w:t>best care to more seniors.</w:t>
      </w:r>
    </w:p>
    <w:p>
      <w:pPr>
        <w:spacing w:after="0" w:line="59" w:lineRule="exact"/>
        <w:rPr>
          <w:rFonts w:ascii="Times New Roman" w:cs="Times New Roman" w:eastAsia="Times New Roman" w:hAnsi="Times New Roman"/>
          <w:sz w:val="18"/>
          <w:szCs w:val="18"/>
          <w:color w:val="auto"/>
        </w:rPr>
      </w:pPr>
    </w:p>
    <w:p>
      <w:pPr>
        <w:ind w:left="960" w:right="160" w:hanging="424"/>
        <w:spacing w:after="0" w:line="252" w:lineRule="auto"/>
        <w:tabs>
          <w:tab w:leader="none" w:pos="9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Achieving Replicability: </w:t>
      </w:r>
      <w:r>
        <w:rPr>
          <w:rFonts w:ascii="Arial" w:cs="Arial" w:eastAsia="Arial" w:hAnsi="Arial"/>
          <w:sz w:val="18"/>
          <w:szCs w:val="18"/>
          <w:color w:val="auto"/>
        </w:rPr>
        <w:t>Working with people who embody our values and culture is the foundation of our replicability. For</w:t>
      </w:r>
      <w:r>
        <w:rPr>
          <w:rFonts w:ascii="Arial" w:cs="Arial" w:eastAsia="Arial" w:hAnsi="Arial"/>
          <w:sz w:val="18"/>
          <w:szCs w:val="18"/>
          <w:b w:val="1"/>
          <w:bCs w:val="1"/>
          <w:color w:val="auto"/>
        </w:rPr>
        <w:t xml:space="preserve"> </w:t>
      </w:r>
      <w:r>
        <w:rPr>
          <w:rFonts w:ascii="Arial" w:cs="Arial" w:eastAsia="Arial" w:hAnsi="Arial"/>
          <w:sz w:val="18"/>
          <w:szCs w:val="18"/>
          <w:color w:val="auto"/>
        </w:rPr>
        <w:t>us, replicability means successfully implementing and repeating the success of our model in new markets to drive consistent clinical quality, profitability and growth outcomes.</w:t>
      </w:r>
    </w:p>
    <w:p>
      <w:pPr>
        <w:spacing w:after="0" w:line="63"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We feel this is Alignment’s breakout year and look forward to sharing updates on our progress with you throughout our upcoming quarterly earnings.</w:t>
      </w:r>
    </w:p>
    <w:p>
      <w:pPr>
        <w:sectPr>
          <w:pgSz w:w="11900" w:h="16838" w:orient="portrait"/>
          <w:cols w:equalWidth="0" w:num="1">
            <w:col w:w="11000"/>
          </w:cols>
          <w:pgMar w:left="440" w:top="1440" w:right="45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Board of Directors and management team are steadfast in our dedication to fostering sustainable value over the long haul. We look forward to the opportunity to engage with you during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34925</wp:posOffset>
            </wp:positionV>
            <wp:extent cx="1071245" cy="6940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71245" cy="694055"/>
                    </a:xfrm>
                    <a:prstGeom prst="rect">
                      <a:avLst/>
                    </a:prstGeom>
                    <a:noFill/>
                  </pic:spPr>
                </pic:pic>
              </a:graphicData>
            </a:graphic>
          </wp:anchor>
        </w:drawing>
        <w:drawing>
          <wp:anchor simplePos="0" relativeHeight="251657728" behindDoc="1" locked="0" layoutInCell="0" allowOverlap="1">
            <wp:simplePos x="0" y="0"/>
            <wp:positionH relativeFrom="column">
              <wp:posOffset>2526030</wp:posOffset>
            </wp:positionH>
            <wp:positionV relativeFrom="paragraph">
              <wp:posOffset>172085</wp:posOffset>
            </wp:positionV>
            <wp:extent cx="3951605" cy="5575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557530"/>
                    </a:xfrm>
                    <a:prstGeom prst="rect">
                      <a:avLst/>
                    </a:prstGeom>
                    <a:noFill/>
                  </pic:spPr>
                </pic:pic>
              </a:graphicData>
            </a:graphic>
          </wp:anchor>
        </w:drawing>
      </w:r>
    </w:p>
    <w:p>
      <w:pPr>
        <w:sectPr>
          <w:pgSz w:w="11900" w:h="16838" w:orient="portrait"/>
          <w:cols w:equalWidth="0" w:num="1">
            <w:col w:w="10760"/>
          </w:cols>
          <w:pgMar w:left="440" w:top="296" w:right="6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John Kao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Joseph Konowiecki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Margaret McCarthy</w:t>
      </w:r>
    </w:p>
    <w:p>
      <w:pPr>
        <w:spacing w:after="0" w:line="50" w:lineRule="exact"/>
        <w:rPr>
          <w:sz w:val="20"/>
          <w:szCs w:val="20"/>
          <w:color w:val="auto"/>
        </w:rPr>
      </w:pPr>
    </w:p>
    <w:p>
      <w:pPr>
        <w:sectPr>
          <w:pgSz w:w="11900" w:h="16838" w:orient="portrait"/>
          <w:cols w:equalWidth="0" w:num="3">
            <w:col w:w="3260" w:space="720"/>
            <w:col w:w="2920" w:space="720"/>
            <w:col w:w="3140"/>
          </w:cols>
          <w:pgMar w:left="440" w:top="296" w:right="699" w:bottom="1440" w:gutter="0" w:footer="0" w:header="0"/>
          <w:type w:val="continuous"/>
        </w:sectPr>
      </w:pPr>
    </w:p>
    <w:p>
      <w:pPr>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Chairman of the Board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Lead Independent Director</w:t>
      </w:r>
    </w:p>
    <w:p>
      <w:pPr>
        <w:sectPr>
          <w:pgSz w:w="11900" w:h="16838" w:orient="portrait"/>
          <w:cols w:equalWidth="0" w:num="3">
            <w:col w:w="3260" w:space="720"/>
            <w:col w:w="2920" w:space="720"/>
            <w:col w:w="3140"/>
          </w:cols>
          <w:pgMar w:left="440" w:top="296" w:right="699" w:bottom="1440" w:gutter="0" w:footer="0" w:header="0"/>
          <w:type w:val="continuous"/>
        </w:sectPr>
      </w:pPr>
    </w:p>
    <w:bookmarkStart w:id="4" w:name="page5"/>
    <w:bookmarkEnd w:id="4"/>
    <w:p>
      <w:pPr>
        <w:spacing w:after="0" w:line="25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65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86550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0"/>
          <w:szCs w:val="20"/>
          <w:b w:val="1"/>
          <w:bCs w:val="1"/>
          <w:color w:val="auto"/>
        </w:rPr>
        <w:t>NOTICE OF 2024 ANNUAL MEETING OF STOCKHOLDERS</w:t>
      </w:r>
    </w:p>
    <w:p>
      <w:pPr>
        <w:spacing w:after="0" w:line="207"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The 2024 Annual Meeting of Stockholders of Alignment Healthcare, Inc. (the “Annual Meeting”) will be held on June 7, 2024, at 8:00 a.m. Pacific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Items of Business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Matters to be voted on at the Annual Meeting are as follows:</w:t>
      </w:r>
    </w:p>
    <w:p>
      <w:pPr>
        <w:spacing w:after="0" w:line="239" w:lineRule="exact"/>
        <w:rPr>
          <w:sz w:val="20"/>
          <w:szCs w:val="20"/>
          <w:color w:val="auto"/>
        </w:rPr>
      </w:pPr>
    </w:p>
    <w:p>
      <w:pPr>
        <w:ind w:left="860" w:right="300" w:hanging="540"/>
        <w:spacing w:after="0" w:line="270" w:lineRule="auto"/>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Proposal 1: </w:t>
      </w:r>
      <w:r>
        <w:rPr>
          <w:rFonts w:ascii="Arial" w:cs="Arial" w:eastAsia="Arial" w:hAnsi="Arial"/>
          <w:sz w:val="18"/>
          <w:szCs w:val="18"/>
          <w:color w:val="auto"/>
        </w:rPr>
        <w:t>Election of four nominees identified in the accompanying proxy statement to serve as Class III directors to hold</w:t>
      </w:r>
      <w:r>
        <w:rPr>
          <w:rFonts w:ascii="Arial" w:cs="Arial" w:eastAsia="Arial" w:hAnsi="Arial"/>
          <w:sz w:val="18"/>
          <w:szCs w:val="18"/>
          <w:b w:val="1"/>
          <w:bCs w:val="1"/>
          <w:color w:val="auto"/>
        </w:rPr>
        <w:t xml:space="preserve"> </w:t>
      </w:r>
      <w:r>
        <w:rPr>
          <w:rFonts w:ascii="Arial" w:cs="Arial" w:eastAsia="Arial" w:hAnsi="Arial"/>
          <w:sz w:val="18"/>
          <w:szCs w:val="18"/>
          <w:color w:val="auto"/>
        </w:rPr>
        <w:t>office until the 2027 Annual Meeting of Stockholders;</w:t>
      </w:r>
    </w:p>
    <w:p>
      <w:pPr>
        <w:spacing w:after="0" w:line="181" w:lineRule="exact"/>
        <w:rPr>
          <w:rFonts w:ascii="Times New Roman" w:cs="Times New Roman" w:eastAsia="Times New Roman" w:hAnsi="Times New Roman"/>
          <w:sz w:val="18"/>
          <w:szCs w:val="18"/>
          <w:color w:val="auto"/>
        </w:rPr>
      </w:pPr>
    </w:p>
    <w:p>
      <w:pPr>
        <w:ind w:left="860" w:right="380" w:hanging="540"/>
        <w:spacing w:after="0" w:line="270" w:lineRule="auto"/>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Proposal 2: </w:t>
      </w:r>
      <w:r>
        <w:rPr>
          <w:rFonts w:ascii="Arial" w:cs="Arial" w:eastAsia="Arial" w:hAnsi="Arial"/>
          <w:sz w:val="18"/>
          <w:szCs w:val="18"/>
          <w:color w:val="auto"/>
        </w:rPr>
        <w:t>Approval of an amendment to our certificate of incorporation to reflect new Delaware law provisions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exculpation of officers;</w:t>
      </w:r>
    </w:p>
    <w:p>
      <w:pPr>
        <w:spacing w:after="0" w:line="181" w:lineRule="exact"/>
        <w:rPr>
          <w:rFonts w:ascii="Times New Roman" w:cs="Times New Roman" w:eastAsia="Times New Roman" w:hAnsi="Times New Roman"/>
          <w:sz w:val="18"/>
          <w:szCs w:val="18"/>
          <w:color w:val="auto"/>
        </w:rPr>
      </w:pPr>
    </w:p>
    <w:p>
      <w:pPr>
        <w:ind w:left="860" w:right="140" w:hanging="540"/>
        <w:spacing w:after="0" w:line="270" w:lineRule="auto"/>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Proposal 3: </w:t>
      </w:r>
      <w:r>
        <w:rPr>
          <w:rFonts w:ascii="Arial" w:cs="Arial" w:eastAsia="Arial" w:hAnsi="Arial"/>
          <w:sz w:val="18"/>
          <w:szCs w:val="18"/>
          <w:color w:val="auto"/>
        </w:rPr>
        <w:t>Ratification of the appointment of Deloitte &amp; Touche LLP as our independent registered public accounting firm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ending December 31, 2024; and</w:t>
      </w:r>
    </w:p>
    <w:p>
      <w:pPr>
        <w:spacing w:after="0" w:line="181" w:lineRule="exact"/>
        <w:rPr>
          <w:rFonts w:ascii="Times New Roman" w:cs="Times New Roman" w:eastAsia="Times New Roman" w:hAnsi="Times New Roman"/>
          <w:sz w:val="18"/>
          <w:szCs w:val="18"/>
          <w:color w:val="auto"/>
        </w:rPr>
      </w:pPr>
    </w:p>
    <w:p>
      <w:pPr>
        <w:ind w:left="860" w:right="680" w:hanging="540"/>
        <w:spacing w:after="0" w:line="270" w:lineRule="auto"/>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Proposal 4: </w:t>
      </w:r>
      <w:r>
        <w:rPr>
          <w:rFonts w:ascii="Arial" w:cs="Arial" w:eastAsia="Arial" w:hAnsi="Arial"/>
          <w:sz w:val="18"/>
          <w:szCs w:val="18"/>
          <w:color w:val="auto"/>
        </w:rPr>
        <w:t>Approval, on a non-binding, advisory basis, of the compensation of our named executive officers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or “NEOs”).</w:t>
      </w:r>
    </w:p>
    <w:p>
      <w:pPr>
        <w:spacing w:after="0" w:line="154"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Items of business may also include transacting other business as may properly come before the meeting or any adjournment of the meeting. The Proxy Statement accompanying this notice describes each of the items of business in more detail.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Access to the Meeting</w:t>
      </w:r>
    </w:p>
    <w:p>
      <w:pPr>
        <w:spacing w:after="0" w:line="212" w:lineRule="exact"/>
        <w:rPr>
          <w:sz w:val="20"/>
          <w:szCs w:val="20"/>
          <w:color w:val="auto"/>
        </w:rPr>
      </w:pPr>
    </w:p>
    <w:p>
      <w:pPr>
        <w:jc w:val="both"/>
        <w:ind w:right="200" w:firstLine="440"/>
        <w:spacing w:after="0" w:line="253" w:lineRule="auto"/>
        <w:rPr>
          <w:sz w:val="20"/>
          <w:szCs w:val="20"/>
          <w:color w:val="auto"/>
        </w:rPr>
      </w:pPr>
      <w:r>
        <w:rPr>
          <w:rFonts w:ascii="Arial" w:cs="Arial" w:eastAsia="Arial" w:hAnsi="Arial"/>
          <w:sz w:val="18"/>
          <w:szCs w:val="18"/>
          <w:color w:val="auto"/>
        </w:rPr>
        <w:t>The Annual Meeting will be held via live audio webcast available at www.proxydocs.com/ALHC. Please see the “</w:t>
      </w:r>
      <w:r>
        <w:rPr>
          <w:rFonts w:ascii="Arial" w:cs="Arial" w:eastAsia="Arial" w:hAnsi="Arial"/>
          <w:sz w:val="18"/>
          <w:szCs w:val="18"/>
          <w:i w:val="1"/>
          <w:iCs w:val="1"/>
          <w:color w:val="auto"/>
        </w:rPr>
        <w:t>Commonly Asked</w:t>
      </w:r>
      <w:r>
        <w:rPr>
          <w:rFonts w:ascii="Arial" w:cs="Arial" w:eastAsia="Arial" w:hAnsi="Arial"/>
          <w:sz w:val="18"/>
          <w:szCs w:val="18"/>
          <w:color w:val="auto"/>
        </w:rPr>
        <w:t xml:space="preserve"> </w:t>
      </w:r>
      <w:r>
        <w:rPr>
          <w:rFonts w:ascii="Arial" w:cs="Arial" w:eastAsia="Arial" w:hAnsi="Arial"/>
          <w:sz w:val="18"/>
          <w:szCs w:val="18"/>
          <w:i w:val="1"/>
          <w:iCs w:val="1"/>
          <w:color w:val="auto"/>
        </w:rPr>
        <w:t>Questions and Answers About the Annual Meeting</w:t>
      </w:r>
      <w:r>
        <w:rPr>
          <w:rFonts w:ascii="Arial" w:cs="Arial" w:eastAsia="Arial" w:hAnsi="Arial"/>
          <w:sz w:val="18"/>
          <w:szCs w:val="18"/>
          <w:color w:val="auto"/>
        </w:rPr>
        <w:t>” section in the attached Proxy Statement for information on registration to attend the</w:t>
      </w:r>
      <w:r>
        <w:rPr>
          <w:rFonts w:ascii="Arial" w:cs="Arial" w:eastAsia="Arial" w:hAnsi="Arial"/>
          <w:sz w:val="18"/>
          <w:szCs w:val="18"/>
          <w:i w:val="1"/>
          <w:iCs w:val="1"/>
          <w:color w:val="auto"/>
        </w:rPr>
        <w:t xml:space="preserve"> </w:t>
      </w:r>
      <w:r>
        <w:rPr>
          <w:rFonts w:ascii="Arial" w:cs="Arial" w:eastAsia="Arial" w:hAnsi="Arial"/>
          <w:sz w:val="18"/>
          <w:szCs w:val="18"/>
          <w:color w:val="auto"/>
        </w:rPr>
        <w:t>Annual Meeting. Stockholders will be able to participate, vote and submit questions from any location.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Record Date &amp; List of Stockholders</w:t>
      </w:r>
    </w:p>
    <w:p>
      <w:pPr>
        <w:spacing w:after="0" w:line="21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Our Board has set the record date as of April 9, 2024 (the “Record Date”). Only stockholders that owned Alignment common stock at the close of business on that day are entitled to notice of and may vote at the Annual Meeting or any adjournment of the meeting. A list of Alignment’s stockholders of record will be available at our corporate headquarters and principal executive offices located at 1100 W. Town &amp; Country Rd., Suite 1600, Orange, CA 92868 at least ten days prior to June 7, 2024.</w:t>
      </w:r>
    </w:p>
    <w:p>
      <w:pPr>
        <w:sectPr>
          <w:pgSz w:w="11900" w:h="16838" w:orient="portrait"/>
          <w:cols w:equalWidth="0" w:num="1">
            <w:col w:w="10980"/>
          </w:cols>
          <w:pgMar w:left="440" w:top="1440" w:right="4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1F497D"/>
        </w:rPr>
        <w:t>How to Vote Your Shares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Internet</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Go to www.proxydocs.com/ALHC and follow the instructions.</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Mail</w:t>
      </w:r>
    </w:p>
    <w:p>
      <w:pPr>
        <w:spacing w:after="0" w:line="239"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Complete, sign, date and return your proxy card or voting instruction form in the envelope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-513080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1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Dial toll-free 866-314-3346 using any touch-tone telephone and follow the recorded instructions.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Person (Virtual)</w:t>
      </w:r>
    </w:p>
    <w:p>
      <w:pPr>
        <w:spacing w:after="0" w:line="23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Attend our virtual Annual Meeting and cast your vote using the webcast voting options.</w:t>
      </w:r>
    </w:p>
    <w:p>
      <w:pPr>
        <w:spacing w:after="0" w:line="167" w:lineRule="exact"/>
        <w:rPr>
          <w:sz w:val="20"/>
          <w:szCs w:val="20"/>
          <w:color w:val="auto"/>
        </w:rPr>
      </w:pPr>
    </w:p>
    <w:p>
      <w:pPr>
        <w:sectPr>
          <w:pgSz w:w="11900" w:h="16838" w:orient="portrait"/>
          <w:cols w:equalWidth="0" w:num="2">
            <w:col w:w="5120" w:space="720"/>
            <w:col w:w="5160"/>
          </w:cols>
          <w:pgMar w:left="440" w:top="296" w:right="459" w:bottom="1440" w:gutter="0" w:footer="0" w:header="0"/>
        </w:sectPr>
      </w:pPr>
    </w:p>
    <w:p>
      <w:pPr>
        <w:ind w:right="220" w:firstLine="440"/>
        <w:spacing w:after="0" w:line="271" w:lineRule="auto"/>
        <w:rPr>
          <w:sz w:val="20"/>
          <w:szCs w:val="20"/>
          <w:color w:val="auto"/>
        </w:rPr>
      </w:pPr>
      <w:r>
        <w:rPr>
          <w:rFonts w:ascii="Arial" w:cs="Arial" w:eastAsia="Arial" w:hAnsi="Arial"/>
          <w:sz w:val="18"/>
          <w:szCs w:val="18"/>
          <w:color w:val="auto"/>
        </w:rPr>
        <w:t>Whether or not you expect to attend the Annual Meeting, please make sure you vote so that your shares will be represented at the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86360</wp:posOffset>
            </wp:positionV>
            <wp:extent cx="891540" cy="5911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91540" cy="591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Christopher J. Joyce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Chief Legal &amp; Administrative Officer</w:t>
      </w:r>
    </w:p>
    <w:p>
      <w:pPr>
        <w:spacing w:after="0" w:line="194" w:lineRule="exact"/>
        <w:rPr>
          <w:sz w:val="20"/>
          <w:szCs w:val="20"/>
          <w:color w:val="auto"/>
        </w:rPr>
      </w:pPr>
    </w:p>
    <w:p>
      <w:pPr>
        <w:ind w:right="1520"/>
        <w:spacing w:after="0" w:line="281" w:lineRule="auto"/>
        <w:rPr>
          <w:sz w:val="20"/>
          <w:szCs w:val="20"/>
          <w:color w:val="auto"/>
        </w:rPr>
      </w:pPr>
      <w:r>
        <w:rPr>
          <w:rFonts w:ascii="Arial" w:cs="Arial" w:eastAsia="Arial" w:hAnsi="Arial"/>
          <w:sz w:val="18"/>
          <w:szCs w:val="18"/>
          <w:b w:val="1"/>
          <w:bCs w:val="1"/>
          <w:color w:val="1F497D"/>
        </w:rPr>
        <w:t>IMPORTANT NOTICE REGARDING THE AVAILABILITY OF PROXY MATERIALS FOR THE ANNUAL MEETING OF STOCKHOLDERS TO BE HELD ON JUNE 7, 2024</w:t>
      </w:r>
    </w:p>
    <w:p>
      <w:pPr>
        <w:spacing w:after="0" w:line="136" w:lineRule="exact"/>
        <w:rPr>
          <w:sz w:val="20"/>
          <w:szCs w:val="20"/>
          <w:color w:val="auto"/>
        </w:rPr>
      </w:pPr>
    </w:p>
    <w:p>
      <w:pPr>
        <w:spacing w:after="0" w:line="241" w:lineRule="auto"/>
        <w:rPr>
          <w:sz w:val="20"/>
          <w:szCs w:val="20"/>
          <w:color w:val="auto"/>
        </w:rPr>
      </w:pPr>
      <w:r>
        <w:rPr>
          <w:rFonts w:ascii="Arial" w:cs="Arial" w:eastAsia="Arial" w:hAnsi="Arial"/>
          <w:sz w:val="18"/>
          <w:szCs w:val="18"/>
          <w:b w:val="1"/>
          <w:bCs w:val="1"/>
          <w:color w:val="auto"/>
        </w:rPr>
        <w:t xml:space="preserve">This Notice of Annual Meeting, the Proxy Statement and our fiscal year 2023 Annual Report are available on the investor relations section of our website at https://ir.alignmenthealth.com/. Additionally, you may access our proxy materials at </w:t>
      </w:r>
      <w:r>
        <w:rPr>
          <w:rFonts w:ascii="Arial" w:cs="Arial" w:eastAsia="Arial" w:hAnsi="Arial"/>
          <w:sz w:val="18"/>
          <w:szCs w:val="18"/>
          <w:b w:val="1"/>
          <w:bCs w:val="1"/>
          <w:u w:val="single" w:color="auto"/>
          <w:color w:val="auto"/>
        </w:rPr>
        <w:t>www.proxydocs.com/ALHC</w:t>
      </w:r>
      <w:r>
        <w:rPr>
          <w:rFonts w:ascii="Arial" w:cs="Arial" w:eastAsia="Arial" w:hAnsi="Arial"/>
          <w:sz w:val="18"/>
          <w:szCs w:val="18"/>
          <w:b w:val="1"/>
          <w:bCs w:val="1"/>
          <w:color w:val="auto"/>
        </w:rPr>
        <w:t>. We are taking advantage of U.S. Securities and Exchange Commission rules that allow us to furnish proxy materials to our stockholders on the Internet. These materials will be available on the Internet on or about April 26, 2024. We are sending a “Notice of Internet Availability of Proxy Materials” (“Notice of Availability”) to our stockholders of record instead of a paper proxy statement and annual report containing financial statements, unless paper copies have previously been requested. We believe that Internet delivery of our proxy materials allows us to provide our stockholders with the information they need, while lowering the costs of delivery and reducing the environmental impact of our Annual Meeting.</w:t>
      </w:r>
    </w:p>
    <w:p>
      <w:pPr>
        <w:sectPr>
          <w:pgSz w:w="11900" w:h="16838" w:orient="portrait"/>
          <w:cols w:equalWidth="0" w:num="1">
            <w:col w:w="11000"/>
          </w:cols>
          <w:pgMar w:left="440" w:top="296" w:right="459" w:bottom="1440"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920" w:type="dxa"/>
            <w:vAlign w:val="bottom"/>
            <w:gridSpan w:val="10"/>
          </w:tcPr>
          <w:p>
            <w:pPr>
              <w:ind w:left="3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1"/>
                <w:szCs w:val="21"/>
                <w:color w:val="auto"/>
              </w:rPr>
            </w:pPr>
          </w:p>
        </w:tc>
      </w:tr>
      <w:tr>
        <w:trPr>
          <w:trHeight w:val="393"/>
        </w:trPr>
        <w:tc>
          <w:tcPr>
            <w:tcW w:w="6940" w:type="dxa"/>
            <w:vAlign w:val="bottom"/>
            <w:tcBorders>
              <w:bottom w:val="single" w:sz="8" w:color="0000EE"/>
            </w:tcBorders>
            <w:gridSpan w:val="35"/>
          </w:tcPr>
          <w:p>
            <w:pPr>
              <w:spacing w:after="0"/>
              <w:rPr>
                <w:sz w:val="20"/>
                <w:szCs w:val="20"/>
                <w:color w:val="auto"/>
              </w:rPr>
            </w:pPr>
            <w:r>
              <w:rPr>
                <w:rFonts w:ascii="Arial" w:cs="Arial" w:eastAsia="Arial" w:hAnsi="Arial"/>
                <w:sz w:val="18"/>
                <w:szCs w:val="18"/>
                <w:color w:val="0000EE"/>
                <w:w w:val="99"/>
              </w:rPr>
              <w:t>COMMONLY ASKED QUESTIONS AND ANSWERS ABOUT THE ANNUAL MEETING</w:t>
            </w:r>
          </w:p>
        </w:tc>
        <w:tc>
          <w:tcPr>
            <w:tcW w:w="3220" w:type="dxa"/>
            <w:vAlign w:val="bottom"/>
            <w:gridSpan w:val="2"/>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160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8"/>
              </w:rPr>
              <w:t>PROXY SUMMARY</w:t>
            </w:r>
          </w:p>
        </w:tc>
        <w:tc>
          <w:tcPr>
            <w:tcW w:w="8560" w:type="dxa"/>
            <w:vAlign w:val="bottom"/>
            <w:gridSpan w:val="3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10160" w:type="dxa"/>
            <w:vAlign w:val="bottom"/>
            <w:gridSpan w:val="37"/>
          </w:tcPr>
          <w:p>
            <w:pPr>
              <w:spacing w:after="0"/>
              <w:rPr>
                <w:sz w:val="20"/>
                <w:szCs w:val="20"/>
                <w:color w:val="auto"/>
              </w:rPr>
            </w:pPr>
            <w:r>
              <w:rPr>
                <w:rFonts w:ascii="Arial" w:cs="Arial" w:eastAsia="Arial" w:hAnsi="Arial"/>
                <w:sz w:val="18"/>
                <w:szCs w:val="18"/>
                <w:color w:val="0000EE"/>
              </w:rPr>
              <w:t>PROPOSAL 1 – ELECTION OF DIRECTORS</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180" w:type="dxa"/>
            <w:vAlign w:val="bottom"/>
            <w:tcBorders>
              <w:top w:val="single" w:sz="8" w:color="0000EE"/>
            </w:tcBorders>
          </w:tcPr>
          <w:p>
            <w:pPr>
              <w:spacing w:after="0"/>
              <w:rPr>
                <w:sz w:val="20"/>
                <w:szCs w:val="20"/>
                <w:color w:val="auto"/>
              </w:rPr>
            </w:pPr>
          </w:p>
        </w:tc>
        <w:tc>
          <w:tcPr>
            <w:tcW w:w="3460" w:type="dxa"/>
            <w:vAlign w:val="bottom"/>
            <w:tcBorders>
              <w:top w:val="single" w:sz="8" w:color="0000EE"/>
            </w:tcBorders>
            <w:gridSpan w:val="20"/>
          </w:tcPr>
          <w:p>
            <w:pPr>
              <w:spacing w:after="0"/>
              <w:rPr>
                <w:sz w:val="20"/>
                <w:szCs w:val="20"/>
                <w:color w:val="auto"/>
              </w:rPr>
            </w:pPr>
            <w:r>
              <w:rPr>
                <w:rFonts w:ascii="Arial" w:cs="Arial" w:eastAsia="Arial" w:hAnsi="Arial"/>
                <w:sz w:val="18"/>
                <w:szCs w:val="18"/>
                <w:color w:val="0000EE"/>
              </w:rPr>
              <w:t>Continuing Directors</w:t>
            </w:r>
          </w:p>
        </w:tc>
        <w:tc>
          <w:tcPr>
            <w:tcW w:w="6520" w:type="dxa"/>
            <w:vAlign w:val="bottom"/>
            <w:gridSpan w:val="16"/>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35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Nomination Criteria and Director Experience</w:t>
            </w:r>
          </w:p>
        </w:tc>
        <w:tc>
          <w:tcPr>
            <w:tcW w:w="6460" w:type="dxa"/>
            <w:vAlign w:val="bottom"/>
            <w:gridSpan w:val="15"/>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7"/>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Director Diversity</w:t>
            </w:r>
          </w:p>
        </w:tc>
        <w:tc>
          <w:tcPr>
            <w:tcW w:w="8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246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8"/>
              </w:rPr>
              <w:t>CORPORATE GOVERNANCE</w:t>
            </w:r>
          </w:p>
        </w:tc>
        <w:tc>
          <w:tcPr>
            <w:tcW w:w="7700" w:type="dxa"/>
            <w:vAlign w:val="bottom"/>
            <w:gridSpan w:val="2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7"/>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Board and Corporate Governance Highlights</w:t>
            </w: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Board Composition and Director Independence</w:t>
            </w:r>
          </w:p>
        </w:tc>
        <w:tc>
          <w:tcPr>
            <w:tcW w:w="8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180" w:type="dxa"/>
            <w:vAlign w:val="bottom"/>
          </w:tcPr>
          <w:p>
            <w:pPr>
              <w:spacing w:after="0"/>
              <w:rPr>
                <w:sz w:val="20"/>
                <w:szCs w:val="20"/>
                <w:color w:val="auto"/>
              </w:rPr>
            </w:pPr>
          </w:p>
        </w:tc>
        <w:tc>
          <w:tcPr>
            <w:tcW w:w="2200" w:type="dxa"/>
            <w:vAlign w:val="bottom"/>
            <w:tcBorders>
              <w:top w:val="single" w:sz="8" w:color="0000EE"/>
              <w:bottom w:val="single" w:sz="8" w:color="0000EE"/>
            </w:tcBorders>
            <w:gridSpan w:val="12"/>
          </w:tcPr>
          <w:p>
            <w:pPr>
              <w:spacing w:after="0"/>
              <w:rPr>
                <w:sz w:val="20"/>
                <w:szCs w:val="20"/>
                <w:color w:val="auto"/>
              </w:rPr>
            </w:pPr>
            <w:r>
              <w:rPr>
                <w:rFonts w:ascii="Arial" w:cs="Arial" w:eastAsia="Arial" w:hAnsi="Arial"/>
                <w:sz w:val="18"/>
                <w:szCs w:val="18"/>
                <w:color w:val="0000EE"/>
                <w:w w:val="99"/>
              </w:rPr>
              <w:t>Board Leadership Structure</w:t>
            </w:r>
          </w:p>
        </w:tc>
        <w:tc>
          <w:tcPr>
            <w:tcW w:w="1540" w:type="dxa"/>
            <w:vAlign w:val="bottom"/>
            <w:tcBorders>
              <w:top w:val="single" w:sz="8" w:color="0000EE"/>
            </w:tcBorders>
            <w:gridSpan w:val="11"/>
          </w:tcPr>
          <w:p>
            <w:pPr>
              <w:spacing w:after="0"/>
              <w:rPr>
                <w:sz w:val="20"/>
                <w:szCs w:val="20"/>
                <w:color w:val="auto"/>
              </w:rPr>
            </w:pPr>
          </w:p>
        </w:tc>
        <w:tc>
          <w:tcPr>
            <w:tcW w:w="6240" w:type="dxa"/>
            <w:vAlign w:val="bottom"/>
            <w:gridSpan w:val="1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7"/>
        </w:trPr>
        <w:tc>
          <w:tcPr>
            <w:tcW w:w="180" w:type="dxa"/>
            <w:vAlign w:val="bottom"/>
          </w:tcPr>
          <w:p>
            <w:pPr>
              <w:spacing w:after="0"/>
              <w:rPr>
                <w:sz w:val="20"/>
                <w:szCs w:val="20"/>
                <w:color w:val="auto"/>
              </w:rPr>
            </w:pPr>
          </w:p>
        </w:tc>
        <w:tc>
          <w:tcPr>
            <w:tcW w:w="280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The Board’s Role in Risk Oversight</w:t>
            </w:r>
          </w:p>
        </w:tc>
        <w:tc>
          <w:tcPr>
            <w:tcW w:w="7180" w:type="dxa"/>
            <w:vAlign w:val="bottom"/>
            <w:gridSpan w:val="19"/>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37"/>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Board Committees</w:t>
            </w:r>
          </w:p>
        </w:tc>
        <w:tc>
          <w:tcPr>
            <w:tcW w:w="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5320" w:type="dxa"/>
            <w:vAlign w:val="bottom"/>
            <w:tcBorders>
              <w:bottom w:val="single" w:sz="8" w:color="0000EE"/>
            </w:tcBorders>
            <w:gridSpan w:val="29"/>
          </w:tcPr>
          <w:p>
            <w:pPr>
              <w:spacing w:after="0"/>
              <w:rPr>
                <w:sz w:val="20"/>
                <w:szCs w:val="20"/>
                <w:color w:val="auto"/>
              </w:rPr>
            </w:pPr>
            <w:r>
              <w:rPr>
                <w:rFonts w:ascii="Arial" w:cs="Arial" w:eastAsia="Arial" w:hAnsi="Arial"/>
                <w:sz w:val="18"/>
                <w:szCs w:val="18"/>
                <w:color w:val="0000EE"/>
                <w:w w:val="99"/>
              </w:rPr>
              <w:t>Board Oversight of Environmental, Social and Governance Matters</w:t>
            </w:r>
          </w:p>
        </w:tc>
        <w:tc>
          <w:tcPr>
            <w:tcW w:w="4660" w:type="dxa"/>
            <w:vAlign w:val="bottom"/>
            <w:gridSpan w:val="7"/>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6"/>
        </w:trPr>
        <w:tc>
          <w:tcPr>
            <w:tcW w:w="180" w:type="dxa"/>
            <w:vAlign w:val="bottom"/>
          </w:tcPr>
          <w:p>
            <w:pPr>
              <w:spacing w:after="0"/>
              <w:rPr>
                <w:sz w:val="20"/>
                <w:szCs w:val="20"/>
                <w:color w:val="auto"/>
              </w:rPr>
            </w:pPr>
          </w:p>
        </w:tc>
        <w:tc>
          <w:tcPr>
            <w:tcW w:w="20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8"/>
              </w:rPr>
              <w:t>Stockholder Engagement</w:t>
            </w:r>
          </w:p>
        </w:tc>
        <w:tc>
          <w:tcPr>
            <w:tcW w:w="7960" w:type="dxa"/>
            <w:vAlign w:val="bottom"/>
            <w:gridSpan w:val="27"/>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7"/>
        </w:trPr>
        <w:tc>
          <w:tcPr>
            <w:tcW w:w="180" w:type="dxa"/>
            <w:vAlign w:val="bottom"/>
          </w:tcPr>
          <w:p>
            <w:pPr>
              <w:spacing w:after="0"/>
              <w:rPr>
                <w:sz w:val="20"/>
                <w:szCs w:val="20"/>
                <w:color w:val="auto"/>
              </w:rPr>
            </w:pPr>
          </w:p>
        </w:tc>
        <w:tc>
          <w:tcPr>
            <w:tcW w:w="166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8"/>
              </w:rPr>
              <w:t>Family Relationships</w:t>
            </w:r>
          </w:p>
        </w:tc>
        <w:tc>
          <w:tcPr>
            <w:tcW w:w="8320" w:type="dxa"/>
            <w:vAlign w:val="bottom"/>
            <w:gridSpan w:val="30"/>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180" w:type="dxa"/>
            <w:vAlign w:val="bottom"/>
          </w:tcPr>
          <w:p>
            <w:pPr>
              <w:spacing w:after="0"/>
              <w:rPr>
                <w:sz w:val="20"/>
                <w:szCs w:val="20"/>
                <w:color w:val="auto"/>
              </w:rPr>
            </w:pPr>
          </w:p>
        </w:tc>
        <w:tc>
          <w:tcPr>
            <w:tcW w:w="4880" w:type="dxa"/>
            <w:vAlign w:val="bottom"/>
            <w:tcBorders>
              <w:bottom w:val="single" w:sz="8" w:color="0000EE"/>
            </w:tcBorders>
            <w:gridSpan w:val="28"/>
          </w:tcPr>
          <w:p>
            <w:pPr>
              <w:spacing w:after="0"/>
              <w:rPr>
                <w:sz w:val="20"/>
                <w:szCs w:val="20"/>
                <w:color w:val="auto"/>
              </w:rPr>
            </w:pPr>
            <w:r>
              <w:rPr>
                <w:rFonts w:ascii="Arial" w:cs="Arial" w:eastAsia="Arial" w:hAnsi="Arial"/>
                <w:sz w:val="18"/>
                <w:szCs w:val="18"/>
                <w:color w:val="0000EE"/>
                <w:w w:val="99"/>
              </w:rPr>
              <w:t>Compensation Committee Interlocks and Insider Participation</w:t>
            </w:r>
          </w:p>
        </w:tc>
        <w:tc>
          <w:tcPr>
            <w:tcW w:w="5100" w:type="dxa"/>
            <w:vAlign w:val="bottom"/>
            <w:gridSpan w:val="8"/>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180" w:type="dxa"/>
            <w:vAlign w:val="bottom"/>
          </w:tcPr>
          <w:p>
            <w:pPr>
              <w:spacing w:after="0"/>
              <w:rPr>
                <w:sz w:val="20"/>
                <w:szCs w:val="20"/>
                <w:color w:val="auto"/>
              </w:rPr>
            </w:pPr>
          </w:p>
        </w:tc>
        <w:tc>
          <w:tcPr>
            <w:tcW w:w="302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Code of Business Conduct and Ethics</w:t>
            </w:r>
          </w:p>
        </w:tc>
        <w:tc>
          <w:tcPr>
            <w:tcW w:w="6960" w:type="dxa"/>
            <w:vAlign w:val="bottom"/>
            <w:gridSpan w:val="18"/>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6"/>
        </w:trPr>
        <w:tc>
          <w:tcPr>
            <w:tcW w:w="180" w:type="dxa"/>
            <w:vAlign w:val="bottom"/>
          </w:tcPr>
          <w:p>
            <w:pPr>
              <w:spacing w:after="0"/>
              <w:rPr>
                <w:sz w:val="20"/>
                <w:szCs w:val="20"/>
                <w:color w:val="auto"/>
              </w:rPr>
            </w:pPr>
          </w:p>
        </w:tc>
        <w:tc>
          <w:tcPr>
            <w:tcW w:w="4420" w:type="dxa"/>
            <w:vAlign w:val="bottom"/>
            <w:tcBorders>
              <w:bottom w:val="single" w:sz="8" w:color="0000EE"/>
            </w:tcBorders>
            <w:gridSpan w:val="27"/>
          </w:tcPr>
          <w:p>
            <w:pPr>
              <w:spacing w:after="0"/>
              <w:rPr>
                <w:sz w:val="20"/>
                <w:szCs w:val="20"/>
                <w:color w:val="auto"/>
              </w:rPr>
            </w:pPr>
            <w:r>
              <w:rPr>
                <w:rFonts w:ascii="Arial" w:cs="Arial" w:eastAsia="Arial" w:hAnsi="Arial"/>
                <w:sz w:val="18"/>
                <w:szCs w:val="18"/>
                <w:color w:val="0000EE"/>
                <w:w w:val="99"/>
              </w:rPr>
              <w:t>Insider Trading Policy; Hedging and Other Transactions</w:t>
            </w:r>
          </w:p>
        </w:tc>
        <w:tc>
          <w:tcPr>
            <w:tcW w:w="5560" w:type="dxa"/>
            <w:vAlign w:val="bottom"/>
            <w:gridSpan w:val="9"/>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37"/>
        </w:trPr>
        <w:tc>
          <w:tcPr>
            <w:tcW w:w="180" w:type="dxa"/>
            <w:vAlign w:val="bottom"/>
          </w:tcPr>
          <w:p>
            <w:pPr>
              <w:spacing w:after="0"/>
              <w:rPr>
                <w:sz w:val="20"/>
                <w:szCs w:val="20"/>
                <w:color w:val="auto"/>
              </w:rPr>
            </w:pPr>
          </w:p>
        </w:tc>
        <w:tc>
          <w:tcPr>
            <w:tcW w:w="216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Board Evaluation Practices</w:t>
            </w:r>
          </w:p>
        </w:tc>
        <w:tc>
          <w:tcPr>
            <w:tcW w:w="7820" w:type="dxa"/>
            <w:vAlign w:val="bottom"/>
            <w:gridSpan w:val="25"/>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Board and Committee Meetings</w:t>
            </w: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6180" w:type="dxa"/>
            <w:vAlign w:val="bottom"/>
            <w:tcBorders>
              <w:bottom w:val="single" w:sz="8" w:color="0000EE"/>
            </w:tcBorders>
            <w:gridSpan w:val="32"/>
          </w:tcPr>
          <w:p>
            <w:pPr>
              <w:spacing w:after="0"/>
              <w:rPr>
                <w:sz w:val="20"/>
                <w:szCs w:val="20"/>
                <w:color w:val="auto"/>
              </w:rPr>
            </w:pPr>
            <w:r>
              <w:rPr>
                <w:rFonts w:ascii="Arial" w:cs="Arial" w:eastAsia="Arial" w:hAnsi="Arial"/>
                <w:sz w:val="18"/>
                <w:szCs w:val="18"/>
                <w:color w:val="0000EE"/>
                <w:w w:val="99"/>
              </w:rPr>
              <w:t>Communications by Stockholders and Other Interested Parties with the Board</w:t>
            </w:r>
          </w:p>
        </w:tc>
        <w:tc>
          <w:tcPr>
            <w:tcW w:w="3800" w:type="dxa"/>
            <w:vAlign w:val="bottom"/>
            <w:gridSpan w:val="4"/>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7"/>
        </w:trPr>
        <w:tc>
          <w:tcPr>
            <w:tcW w:w="198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8"/>
              </w:rPr>
              <w:t>EXECUTIVE OFFICERS</w:t>
            </w:r>
          </w:p>
        </w:tc>
        <w:tc>
          <w:tcPr>
            <w:tcW w:w="8180" w:type="dxa"/>
            <w:vAlign w:val="bottom"/>
            <w:gridSpan w:val="29"/>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36"/>
        </w:trPr>
        <w:tc>
          <w:tcPr>
            <w:tcW w:w="3960" w:type="dxa"/>
            <w:vAlign w:val="bottom"/>
            <w:tcBorders>
              <w:bottom w:val="single" w:sz="8" w:color="0000EE"/>
            </w:tcBorders>
            <w:gridSpan w:val="25"/>
          </w:tcPr>
          <w:p>
            <w:pPr>
              <w:spacing w:after="0"/>
              <w:rPr>
                <w:sz w:val="20"/>
                <w:szCs w:val="20"/>
                <w:color w:val="auto"/>
              </w:rPr>
            </w:pPr>
            <w:r>
              <w:rPr>
                <w:rFonts w:ascii="Arial" w:cs="Arial" w:eastAsia="Arial" w:hAnsi="Arial"/>
                <w:sz w:val="18"/>
                <w:szCs w:val="18"/>
                <w:color w:val="0000EE"/>
                <w:w w:val="98"/>
              </w:rPr>
              <w:t>COMPENSATION DISCUSSION AND ANALYSIS</w:t>
            </w:r>
          </w:p>
        </w:tc>
        <w:tc>
          <w:tcPr>
            <w:tcW w:w="6200" w:type="dxa"/>
            <w:vAlign w:val="bottom"/>
            <w:gridSpan w:val="12"/>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180" w:type="dxa"/>
            <w:vAlign w:val="bottom"/>
          </w:tcPr>
          <w:p>
            <w:pPr>
              <w:spacing w:after="0"/>
              <w:rPr>
                <w:sz w:val="20"/>
                <w:szCs w:val="20"/>
                <w:color w:val="auto"/>
              </w:rPr>
            </w:pPr>
          </w:p>
        </w:tc>
        <w:tc>
          <w:tcPr>
            <w:tcW w:w="16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8"/>
              </w:rPr>
              <w:t>Executive Summary</w:t>
            </w:r>
          </w:p>
        </w:tc>
        <w:tc>
          <w:tcPr>
            <w:tcW w:w="8360" w:type="dxa"/>
            <w:vAlign w:val="bottom"/>
            <w:gridSpan w:val="31"/>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180" w:type="dxa"/>
            <w:vAlign w:val="bottom"/>
          </w:tcPr>
          <w:p>
            <w:pPr>
              <w:spacing w:after="0"/>
              <w:rPr>
                <w:sz w:val="20"/>
                <w:szCs w:val="20"/>
                <w:color w:val="auto"/>
              </w:rPr>
            </w:pPr>
          </w:p>
        </w:tc>
        <w:tc>
          <w:tcPr>
            <w:tcW w:w="320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Compensation Best Practices &amp; Policies</w:t>
            </w:r>
          </w:p>
        </w:tc>
        <w:tc>
          <w:tcPr>
            <w:tcW w:w="6780" w:type="dxa"/>
            <w:vAlign w:val="bottom"/>
            <w:gridSpan w:val="17"/>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6"/>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What Guides Our Program</w:t>
            </w: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Executive Compensation Decision-Making Process</w:t>
            </w:r>
          </w:p>
        </w:tc>
        <w:tc>
          <w:tcPr>
            <w:tcW w:w="8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6"/>
        </w:trPr>
        <w:tc>
          <w:tcPr>
            <w:tcW w:w="180" w:type="dxa"/>
            <w:vAlign w:val="bottom"/>
          </w:tcPr>
          <w:p>
            <w:pPr>
              <w:spacing w:after="0"/>
              <w:rPr>
                <w:sz w:val="20"/>
                <w:szCs w:val="20"/>
                <w:color w:val="auto"/>
              </w:rPr>
            </w:pPr>
          </w:p>
        </w:tc>
        <w:tc>
          <w:tcPr>
            <w:tcW w:w="3880" w:type="dxa"/>
            <w:vAlign w:val="bottom"/>
            <w:tcBorders>
              <w:top w:val="single" w:sz="8" w:color="0000EE"/>
              <w:bottom w:val="single" w:sz="8" w:color="0000EE"/>
            </w:tcBorders>
            <w:gridSpan w:val="25"/>
          </w:tcPr>
          <w:p>
            <w:pPr>
              <w:spacing w:after="0"/>
              <w:rPr>
                <w:sz w:val="20"/>
                <w:szCs w:val="20"/>
                <w:color w:val="auto"/>
              </w:rPr>
            </w:pPr>
            <w:r>
              <w:rPr>
                <w:rFonts w:ascii="Arial" w:cs="Arial" w:eastAsia="Arial" w:hAnsi="Arial"/>
                <w:sz w:val="18"/>
                <w:szCs w:val="18"/>
                <w:color w:val="0000EE"/>
                <w:w w:val="99"/>
              </w:rPr>
              <w:t>2023 Executive Compensation Program in Detail</w:t>
            </w:r>
          </w:p>
        </w:tc>
        <w:tc>
          <w:tcPr>
            <w:tcW w:w="180" w:type="dxa"/>
            <w:vAlign w:val="bottom"/>
            <w:tcBorders>
              <w:top w:val="single" w:sz="8" w:color="0000EE"/>
            </w:tcBorders>
          </w:tcPr>
          <w:p>
            <w:pPr>
              <w:spacing w:after="0"/>
              <w:rPr>
                <w:sz w:val="20"/>
                <w:szCs w:val="20"/>
                <w:color w:val="auto"/>
              </w:rPr>
            </w:pPr>
          </w:p>
        </w:tc>
        <w:tc>
          <w:tcPr>
            <w:tcW w:w="5920" w:type="dxa"/>
            <w:vAlign w:val="bottom"/>
            <w:gridSpan w:val="10"/>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7"/>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Other Compensation Matters</w:t>
            </w:r>
          </w:p>
        </w:tc>
        <w:tc>
          <w:tcPr>
            <w:tcW w:w="8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320" w:type="dxa"/>
            <w:vAlign w:val="bottom"/>
            <w:gridSpan w:val="6"/>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6"/>
        </w:trPr>
        <w:tc>
          <w:tcPr>
            <w:tcW w:w="180" w:type="dxa"/>
            <w:vAlign w:val="bottom"/>
          </w:tcPr>
          <w:p>
            <w:pPr>
              <w:spacing w:after="0"/>
              <w:rPr>
                <w:sz w:val="20"/>
                <w:szCs w:val="20"/>
                <w:color w:val="auto"/>
              </w:rPr>
            </w:pPr>
          </w:p>
        </w:tc>
        <w:tc>
          <w:tcPr>
            <w:tcW w:w="9980" w:type="dxa"/>
            <w:vAlign w:val="bottom"/>
            <w:gridSpan w:val="36"/>
          </w:tcPr>
          <w:p>
            <w:pPr>
              <w:spacing w:after="0"/>
              <w:rPr>
                <w:sz w:val="20"/>
                <w:szCs w:val="20"/>
                <w:color w:val="auto"/>
              </w:rPr>
            </w:pPr>
            <w:r>
              <w:rPr>
                <w:rFonts w:ascii="Arial" w:cs="Arial" w:eastAsia="Arial" w:hAnsi="Arial"/>
                <w:sz w:val="18"/>
                <w:szCs w:val="18"/>
                <w:color w:val="0000EE"/>
              </w:rPr>
              <w:t>Compensation Committee Report</w:t>
            </w:r>
          </w:p>
        </w:tc>
        <w:tc>
          <w:tcPr>
            <w:tcW w:w="8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180" w:type="dxa"/>
            <w:vAlign w:val="bottom"/>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760" w:type="dxa"/>
            <w:vAlign w:val="bottom"/>
            <w:gridSpan w:val="7"/>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1080" w:type="dxa"/>
            <w:vAlign w:val="bottom"/>
            <w:gridSpan w:val="7"/>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10160" w:type="dxa"/>
            <w:vAlign w:val="bottom"/>
            <w:gridSpan w:val="37"/>
          </w:tcPr>
          <w:p>
            <w:pPr>
              <w:spacing w:after="0"/>
              <w:rPr>
                <w:sz w:val="20"/>
                <w:szCs w:val="20"/>
                <w:color w:val="auto"/>
              </w:rPr>
            </w:pPr>
            <w:r>
              <w:rPr>
                <w:rFonts w:ascii="Arial" w:cs="Arial" w:eastAsia="Arial" w:hAnsi="Arial"/>
                <w:sz w:val="18"/>
                <w:szCs w:val="18"/>
                <w:color w:val="0000EE"/>
              </w:rPr>
              <w:t>EXECUTIVE AND DIRECTOR COMPENSATION</w:t>
            </w:r>
          </w:p>
        </w:tc>
        <w:tc>
          <w:tcPr>
            <w:tcW w:w="8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37"/>
        </w:trPr>
        <w:tc>
          <w:tcPr>
            <w:tcW w:w="180" w:type="dxa"/>
            <w:vAlign w:val="bottom"/>
            <w:tcBorders>
              <w:top w:val="single" w:sz="8" w:color="0000EE"/>
            </w:tcBorders>
          </w:tcPr>
          <w:p>
            <w:pPr>
              <w:spacing w:after="0"/>
              <w:rPr>
                <w:sz w:val="20"/>
                <w:szCs w:val="20"/>
                <w:color w:val="auto"/>
              </w:rPr>
            </w:pPr>
          </w:p>
        </w:tc>
        <w:tc>
          <w:tcPr>
            <w:tcW w:w="3740" w:type="dxa"/>
            <w:vAlign w:val="bottom"/>
            <w:tcBorders>
              <w:top w:val="single" w:sz="8" w:color="0000EE"/>
            </w:tcBorders>
            <w:gridSpan w:val="23"/>
          </w:tcPr>
          <w:p>
            <w:pPr>
              <w:spacing w:after="0"/>
              <w:rPr>
                <w:sz w:val="20"/>
                <w:szCs w:val="20"/>
                <w:color w:val="auto"/>
              </w:rPr>
            </w:pPr>
            <w:r>
              <w:rPr>
                <w:rFonts w:ascii="Arial" w:cs="Arial" w:eastAsia="Arial" w:hAnsi="Arial"/>
                <w:sz w:val="18"/>
                <w:szCs w:val="18"/>
                <w:color w:val="0000EE"/>
              </w:rPr>
              <w:t>Pay Versus Performance</w:t>
            </w:r>
          </w:p>
        </w:tc>
        <w:tc>
          <w:tcPr>
            <w:tcW w:w="6240" w:type="dxa"/>
            <w:vAlign w:val="bottom"/>
            <w:gridSpan w:val="1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36"/>
        </w:trPr>
        <w:tc>
          <w:tcPr>
            <w:tcW w:w="180" w:type="dxa"/>
            <w:vAlign w:val="bottom"/>
          </w:tcPr>
          <w:p>
            <w:pPr>
              <w:spacing w:after="0"/>
              <w:rPr>
                <w:sz w:val="20"/>
                <w:szCs w:val="20"/>
                <w:color w:val="auto"/>
              </w:rPr>
            </w:pPr>
          </w:p>
        </w:tc>
        <w:tc>
          <w:tcPr>
            <w:tcW w:w="122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CEO Pay Ratio</w:t>
            </w:r>
          </w:p>
        </w:tc>
        <w:tc>
          <w:tcPr>
            <w:tcW w:w="760" w:type="dxa"/>
            <w:vAlign w:val="bottom"/>
            <w:tcBorders>
              <w:top w:val="single" w:sz="8" w:color="0000EE"/>
            </w:tcBorders>
            <w:gridSpan w:val="7"/>
          </w:tcPr>
          <w:p>
            <w:pPr>
              <w:spacing w:after="0"/>
              <w:rPr>
                <w:sz w:val="20"/>
                <w:szCs w:val="20"/>
                <w:color w:val="auto"/>
              </w:rPr>
            </w:pPr>
          </w:p>
        </w:tc>
        <w:tc>
          <w:tcPr>
            <w:tcW w:w="8000" w:type="dxa"/>
            <w:vAlign w:val="bottom"/>
            <w:gridSpan w:val="28"/>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37"/>
        </w:trPr>
        <w:tc>
          <w:tcPr>
            <w:tcW w:w="5640" w:type="dxa"/>
            <w:vAlign w:val="bottom"/>
            <w:tcBorders>
              <w:bottom w:val="single" w:sz="8" w:color="0000EE"/>
            </w:tcBorders>
            <w:gridSpan w:val="31"/>
          </w:tcPr>
          <w:p>
            <w:pPr>
              <w:spacing w:after="0"/>
              <w:rPr>
                <w:sz w:val="20"/>
                <w:szCs w:val="20"/>
                <w:color w:val="auto"/>
              </w:rPr>
            </w:pPr>
            <w:r>
              <w:rPr>
                <w:rFonts w:ascii="Arial" w:cs="Arial" w:eastAsia="Arial" w:hAnsi="Arial"/>
                <w:sz w:val="18"/>
                <w:szCs w:val="18"/>
                <w:color w:val="0000EE"/>
                <w:w w:val="98"/>
              </w:rPr>
              <w:t>CERTAIN RELATIONSHIPS AND RELATED PARTY TRANSACTIONS</w:t>
            </w:r>
          </w:p>
        </w:tc>
        <w:tc>
          <w:tcPr>
            <w:tcW w:w="4520" w:type="dxa"/>
            <w:vAlign w:val="bottom"/>
            <w:gridSpan w:val="6"/>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36"/>
        </w:trPr>
        <w:tc>
          <w:tcPr>
            <w:tcW w:w="6920" w:type="dxa"/>
            <w:vAlign w:val="bottom"/>
            <w:tcBorders>
              <w:bottom w:val="single" w:sz="8" w:color="0000EE"/>
            </w:tcBorders>
            <w:gridSpan w:val="34"/>
          </w:tcPr>
          <w:p>
            <w:pPr>
              <w:spacing w:after="0"/>
              <w:rPr>
                <w:sz w:val="20"/>
                <w:szCs w:val="20"/>
                <w:color w:val="auto"/>
              </w:rPr>
            </w:pPr>
            <w:r>
              <w:rPr>
                <w:rFonts w:ascii="Arial" w:cs="Arial" w:eastAsia="Arial" w:hAnsi="Arial"/>
                <w:sz w:val="18"/>
                <w:szCs w:val="18"/>
                <w:color w:val="0000EE"/>
                <w:w w:val="99"/>
              </w:rPr>
              <w:t>SECURITY OWNERSHIP OF CERTAIN BENEFICIAL OWNERS AND MANAGEMENT</w:t>
            </w:r>
          </w:p>
        </w:tc>
        <w:tc>
          <w:tcPr>
            <w:tcW w:w="3240" w:type="dxa"/>
            <w:vAlign w:val="bottom"/>
            <w:gridSpan w:val="3"/>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37"/>
        </w:trPr>
        <w:tc>
          <w:tcPr>
            <w:tcW w:w="10160" w:type="dxa"/>
            <w:vAlign w:val="bottom"/>
            <w:gridSpan w:val="37"/>
          </w:tcPr>
          <w:p>
            <w:pPr>
              <w:spacing w:after="0"/>
              <w:rPr>
                <w:sz w:val="20"/>
                <w:szCs w:val="20"/>
                <w:color w:val="auto"/>
              </w:rPr>
            </w:pPr>
            <w:r>
              <w:rPr>
                <w:rFonts w:ascii="Arial" w:cs="Arial" w:eastAsia="Arial" w:hAnsi="Arial"/>
                <w:sz w:val="18"/>
                <w:szCs w:val="18"/>
                <w:color w:val="0000EE"/>
              </w:rPr>
              <w:t>PROPOSAL 2 – APPROVAL OF AN AMENDMENT TO OUR CERTIFICATE OF INCORPORATION TO REFLECT NEW</w:t>
            </w:r>
          </w:p>
        </w:tc>
        <w:tc>
          <w:tcPr>
            <w:tcW w:w="8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183"/>
        </w:trPr>
        <w:tc>
          <w:tcPr>
            <w:tcW w:w="9560" w:type="dxa"/>
            <w:vAlign w:val="bottom"/>
            <w:tcBorders>
              <w:top w:val="single" w:sz="8" w:color="0000EE"/>
            </w:tcBorders>
            <w:gridSpan w:val="36"/>
          </w:tcPr>
          <w:p>
            <w:pPr>
              <w:spacing w:after="0" w:line="182" w:lineRule="exact"/>
              <w:rPr>
                <w:sz w:val="20"/>
                <w:szCs w:val="20"/>
                <w:color w:val="auto"/>
              </w:rPr>
            </w:pPr>
            <w:r>
              <w:rPr>
                <w:rFonts w:ascii="Arial" w:cs="Arial" w:eastAsia="Arial" w:hAnsi="Arial"/>
                <w:sz w:val="18"/>
                <w:szCs w:val="18"/>
                <w:color w:val="0000EE"/>
              </w:rPr>
              <w:t>DELAWARE LAW PROVISIONS REGARDING EXCULPATION OF OFFICERS</w:t>
            </w:r>
          </w:p>
        </w:tc>
        <w:tc>
          <w:tcPr>
            <w:tcW w:w="6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960"/>
          </w:cols>
          <w:pgMar w:left="440" w:top="29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bookmarkStart w:id="7" w:name="page8"/>
    <w:bookmarkEnd w:id="7"/>
    <w:tbl>
      <w:tblPr>
        <w:tblLayout w:type="fixed"/>
        <w:tblInd w:w="0" w:type="dxa"/>
        <w:tblCellMar>
          <w:top w:w="0" w:type="dxa"/>
          <w:left w:w="0" w:type="dxa"/>
          <w:bottom w:w="0" w:type="dxa"/>
          <w:right w:w="0" w:type="dxa"/>
        </w:tblCellMar>
      </w:tblPr>
      <w:tr>
        <w:trPr>
          <w:trHeight w:val="207"/>
        </w:trPr>
        <w:tc>
          <w:tcPr>
            <w:tcW w:w="95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PROPOSAL 3 – RATIFICATION OF APPOINTMENT OF INDEPENDENT REGISTERED PUBLIC ACCOUNTING FIRM</w:t>
            </w:r>
          </w:p>
        </w:tc>
        <w:tc>
          <w:tcPr>
            <w:tcW w:w="6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6"/>
        </w:trPr>
        <w:tc>
          <w:tcPr>
            <w:tcW w:w="10140" w:type="dxa"/>
            <w:vAlign w:val="bottom"/>
            <w:gridSpan w:val="9"/>
          </w:tcPr>
          <w:p>
            <w:pPr>
              <w:spacing w:after="0"/>
              <w:rPr>
                <w:sz w:val="20"/>
                <w:szCs w:val="20"/>
                <w:color w:val="auto"/>
              </w:rPr>
            </w:pPr>
            <w:r>
              <w:rPr>
                <w:rFonts w:ascii="Arial" w:cs="Arial" w:eastAsia="Arial" w:hAnsi="Arial"/>
                <w:sz w:val="18"/>
                <w:szCs w:val="18"/>
                <w:color w:val="0000EE"/>
              </w:rPr>
              <w:t>AUDIT COMMITTEE REPORT</w:t>
            </w:r>
          </w:p>
        </w:tc>
        <w:tc>
          <w:tcPr>
            <w:tcW w:w="8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0"/>
        </w:trPr>
        <w:tc>
          <w:tcPr>
            <w:tcW w:w="1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0140" w:type="dxa"/>
            <w:vAlign w:val="bottom"/>
            <w:gridSpan w:val="9"/>
          </w:tcPr>
          <w:p>
            <w:pPr>
              <w:spacing w:after="0"/>
              <w:rPr>
                <w:sz w:val="20"/>
                <w:szCs w:val="20"/>
                <w:color w:val="auto"/>
              </w:rPr>
            </w:pPr>
            <w:r>
              <w:rPr>
                <w:rFonts w:ascii="Arial" w:cs="Arial" w:eastAsia="Arial" w:hAnsi="Arial"/>
                <w:sz w:val="18"/>
                <w:szCs w:val="18"/>
                <w:color w:val="0000EE"/>
              </w:rPr>
              <w:t>PROPOSAL 4 – NON-BINDING ADVISORY VOTE ON EXECUTIVE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7"/>
        </w:trPr>
        <w:tc>
          <w:tcPr>
            <w:tcW w:w="694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0000EE"/>
              </w:rPr>
              <w:t>OTHER MATTERS</w:t>
            </w:r>
          </w:p>
        </w:tc>
        <w:tc>
          <w:tcPr>
            <w:tcW w:w="3200" w:type="dxa"/>
            <w:vAlign w:val="bottom"/>
            <w:gridSpan w:val="3"/>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1520" w:type="dxa"/>
            <w:vAlign w:val="bottom"/>
            <w:shd w:val="clear" w:color="auto" w:fill="0000EE"/>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960" w:type="dxa"/>
            <w:vAlign w:val="bottom"/>
            <w:gridSpan w:val="2"/>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10140" w:type="dxa"/>
            <w:vAlign w:val="bottom"/>
            <w:gridSpan w:val="9"/>
          </w:tcPr>
          <w:p>
            <w:pPr>
              <w:spacing w:after="0"/>
              <w:rPr>
                <w:sz w:val="20"/>
                <w:szCs w:val="20"/>
                <w:color w:val="auto"/>
              </w:rPr>
            </w:pPr>
            <w:r>
              <w:rPr>
                <w:rFonts w:ascii="Arial" w:cs="Arial" w:eastAsia="Arial" w:hAnsi="Arial"/>
                <w:sz w:val="18"/>
                <w:szCs w:val="18"/>
                <w:color w:val="0000EE"/>
              </w:rPr>
              <w:t>AVAILABILITY OF SEC FILINGS, CODE OF CONDUCT AND COMMITTEE CHARTERS</w:t>
            </w: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7"/>
        </w:trPr>
        <w:tc>
          <w:tcPr>
            <w:tcW w:w="386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WHERE TO FIND ADDITIONAL INFORMATION</w:t>
            </w:r>
          </w:p>
        </w:tc>
        <w:tc>
          <w:tcPr>
            <w:tcW w:w="3220" w:type="dxa"/>
            <w:vAlign w:val="bottom"/>
            <w:tcBorders>
              <w:top w:val="single" w:sz="8" w:color="0000EE"/>
            </w:tcBorders>
            <w:gridSpan w:val="3"/>
          </w:tcPr>
          <w:p>
            <w:pPr>
              <w:spacing w:after="0"/>
              <w:rPr>
                <w:sz w:val="20"/>
                <w:szCs w:val="20"/>
                <w:color w:val="auto"/>
              </w:rPr>
            </w:pPr>
          </w:p>
        </w:tc>
        <w:tc>
          <w:tcPr>
            <w:tcW w:w="306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6"/>
        </w:trPr>
        <w:tc>
          <w:tcPr>
            <w:tcW w:w="10140" w:type="dxa"/>
            <w:vAlign w:val="bottom"/>
            <w:gridSpan w:val="9"/>
          </w:tcPr>
          <w:p>
            <w:pPr>
              <w:spacing w:after="0"/>
              <w:rPr>
                <w:sz w:val="20"/>
                <w:szCs w:val="20"/>
                <w:color w:val="auto"/>
              </w:rPr>
            </w:pPr>
            <w:r>
              <w:rPr>
                <w:rFonts w:ascii="Arial" w:cs="Arial" w:eastAsia="Arial" w:hAnsi="Arial"/>
                <w:sz w:val="18"/>
                <w:szCs w:val="18"/>
                <w:color w:val="0000EE"/>
              </w:rPr>
              <w:t>COST OF PROXY SOLICITATION</w:t>
            </w:r>
          </w:p>
        </w:tc>
        <w:tc>
          <w:tcPr>
            <w:tcW w:w="8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0"/>
        </w:trPr>
        <w:tc>
          <w:tcPr>
            <w:tcW w:w="2740" w:type="dxa"/>
            <w:vAlign w:val="bottom"/>
            <w:gridSpan w:val="3"/>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20" w:type="dxa"/>
            <w:vAlign w:val="bottom"/>
            <w:gridSpan w:val="4"/>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7"/>
        </w:trPr>
        <w:tc>
          <w:tcPr>
            <w:tcW w:w="41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APPENDIX – NON-GAAP FINANCIAL MEASURES</w:t>
            </w:r>
          </w:p>
        </w:tc>
        <w:tc>
          <w:tcPr>
            <w:tcW w:w="6020" w:type="dxa"/>
            <w:vAlign w:val="bottom"/>
            <w:gridSpan w:val="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r>
    </w:tbl>
    <w:p>
      <w:pPr>
        <w:spacing w:after="0" w:line="3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i w:val="1"/>
          <w:iCs w:val="1"/>
          <w:color w:val="1F497D"/>
        </w:rPr>
        <w:t>Cautionary Note Regarding Forward-Looking Statements</w:t>
      </w:r>
    </w:p>
    <w:p>
      <w:pPr>
        <w:spacing w:after="0" w:line="102"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proxy statement contains forward-looking statements within the meaning of Section 27A of the Securities Act of 1933, as amended (the “Securities Act”), and Section 21E of the Securities Exchange Act of 1934, as amended (the “Exchange Act”), and the Private Securities Litigation Reform Act of 1995, as amended. Forward-looking statements are subject to risks and uncertainties and are based on assumptions that may prove to be inaccurate, which could cause actual results to differ materially from those expected or implied by the forward-looking statements. Important risks and uncertainties that could cause our actual results and financial condition to differ materially from those indicated in the forward-looking statements include, among others, the following: our ability to attract new members and enter new markets, including the need for certain governmental approvals; our ability to maintain a high rating for our plans on the Centers for Medicare and Medicaid (“CMS”) Five Star Quality Rating System (“CMS Star Ratings”); our ability to develop and maintain satisfactory relationships with care providers that service our members; risks associated with being a government contractor; changes in laws and regulations applicable to our business model; risk related to our indebtedness, including the potential for rising interest rates; changes in market or industry conditions and receptivity to our technology and services; results of litigation or a security incident; and the impact of shortages of qualified personnel and related increases in our labor costs. For a detailed discussion of the risk factors that could affect our actual results, please refer to the risk factors identified in our reports filed with the U.S. Securities and Exchange Commission (“SEC”), including our Annual Report on Form 10-K filed with the SEC on February 27, 2024. All information provided in this proxy statement is as of the date hereof, and we undertake no duty to update or revise this information unless required by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Website References</w:t>
      </w:r>
    </w:p>
    <w:p>
      <w:pPr>
        <w:spacing w:after="0" w:line="210" w:lineRule="exact"/>
        <w:rPr>
          <w:sz w:val="20"/>
          <w:szCs w:val="20"/>
          <w:color w:val="auto"/>
        </w:rPr>
      </w:pPr>
    </w:p>
    <w:p>
      <w:pPr>
        <w:ind w:right="580"/>
        <w:spacing w:after="0" w:line="271" w:lineRule="auto"/>
        <w:rPr>
          <w:sz w:val="20"/>
          <w:szCs w:val="20"/>
          <w:color w:val="auto"/>
        </w:rPr>
      </w:pPr>
      <w:r>
        <w:rPr>
          <w:rFonts w:ascii="Arial" w:cs="Arial" w:eastAsia="Arial" w:hAnsi="Arial"/>
          <w:sz w:val="18"/>
          <w:szCs w:val="18"/>
          <w:color w:val="auto"/>
        </w:rPr>
        <w:t>References to our website throughout this proxy statement are intended to provide inactive, textual references and are provided for convenience only. The content on our website does not constitute a part of this proxy statement.</w:t>
      </w:r>
    </w:p>
    <w:p>
      <w:pPr>
        <w:sectPr>
          <w:pgSz w:w="11900" w:h="16838" w:orient="portrait"/>
          <w:cols w:equalWidth="0" w:num="1">
            <w:col w:w="10980"/>
          </w:cols>
          <w:pgMar w:left="440" w:top="284" w:right="479" w:bottom="1440" w:gutter="0" w:footer="0" w:header="0"/>
        </w:sectPr>
      </w:pPr>
    </w:p>
    <w:bookmarkStart w:id="8" w:name="page9"/>
    <w:bookmarkEnd w:id="8"/>
    <w:p>
      <w:pPr>
        <w:ind w:left="1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COMMONLY ASKED QUESTIONS AND ANSWERS ABOUT THE ANNUAL MEETING</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Why did I receive these materials?</w:t>
      </w:r>
    </w:p>
    <w:p>
      <w:pPr>
        <w:spacing w:after="0" w:line="212"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The Board of Alignment Healthcare, Inc. (“Alignment” or the “Company”) is soliciting your proxy to vote at our 2024 Annual Meeting of Stockholders (or at any postponement or adjournment of the meeting) (the “Annual Meeting”). Stockholders who own shares of our common stock as of April 9, 2024 (the “Record Date”), are entitled to vote at the Annual Meeting. These proxy materials are first being distributed to stockholders on or about April 26, 2024. You should review these proxy materials carefully as they give important information about the proposals that will be voted on at the Annual Meeting, as well as other important information about Alignment.</w:t>
      </w:r>
    </w:p>
    <w:p>
      <w:pPr>
        <w:spacing w:after="0" w:line="176" w:lineRule="exact"/>
        <w:rPr>
          <w:sz w:val="20"/>
          <w:szCs w:val="20"/>
          <w:color w:val="auto"/>
        </w:rPr>
      </w:pPr>
    </w:p>
    <w:p>
      <w:pPr>
        <w:ind w:right="80" w:firstLine="440"/>
        <w:spacing w:after="0"/>
        <w:rPr>
          <w:sz w:val="20"/>
          <w:szCs w:val="20"/>
          <w:color w:val="auto"/>
        </w:rPr>
      </w:pPr>
      <w:r>
        <w:rPr>
          <w:rFonts w:ascii="Arial" w:cs="Arial" w:eastAsia="Arial" w:hAnsi="Arial"/>
          <w:sz w:val="18"/>
          <w:szCs w:val="18"/>
          <w:i w:val="1"/>
          <w:iCs w:val="1"/>
          <w:color w:val="auto"/>
        </w:rPr>
        <w:t>Notice of Electronic Availability of Proxy Statement and Annual Report</w:t>
      </w:r>
      <w:r>
        <w:rPr>
          <w:rFonts w:ascii="Arial" w:cs="Arial" w:eastAsia="Arial" w:hAnsi="Arial"/>
          <w:sz w:val="18"/>
          <w:szCs w:val="18"/>
          <w:color w:val="auto"/>
        </w:rPr>
        <w:t>. As permitted by SEC rules, we are making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 and our annual report available to our stockholders electronically via the Internet. The notice of electronic availability contains instructions on how to access this proxy statement and our annual report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proxy over the Internet or by telephone. If you received a notice by mail and would like to receive a printed copy of our proxy materials, you should follow the instructions for requesting such materials contained on the notice.</w:t>
      </w:r>
    </w:p>
    <w:p>
      <w:pPr>
        <w:spacing w:after="0" w:line="185" w:lineRule="exact"/>
        <w:rPr>
          <w:sz w:val="20"/>
          <w:szCs w:val="20"/>
          <w:color w:val="auto"/>
        </w:rPr>
      </w:pPr>
    </w:p>
    <w:p>
      <w:pPr>
        <w:ind w:right="20" w:firstLine="440"/>
        <w:spacing w:after="0" w:line="238" w:lineRule="auto"/>
        <w:rPr>
          <w:sz w:val="20"/>
          <w:szCs w:val="20"/>
          <w:color w:val="auto"/>
        </w:rPr>
      </w:pPr>
      <w:r>
        <w:rPr>
          <w:rFonts w:ascii="Arial" w:cs="Arial" w:eastAsia="Arial" w:hAnsi="Arial"/>
          <w:sz w:val="18"/>
          <w:szCs w:val="18"/>
          <w:i w:val="1"/>
          <w:iCs w:val="1"/>
          <w:color w:val="auto"/>
        </w:rPr>
        <w:t>Householding</w:t>
      </w:r>
      <w:r>
        <w:rPr>
          <w:rFonts w:ascii="Arial" w:cs="Arial" w:eastAsia="Arial" w:hAnsi="Arial"/>
          <w:sz w:val="18"/>
          <w:szCs w:val="18"/>
          <w:color w:val="auto"/>
        </w:rPr>
        <w:t>. The SEC’s rules permit us to print an individual’s multiple accounts on a single notice or set of Annual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materials. To take advantage of this opportunity, we have summarized on one notice or set of Annual Meeting materials all of the accounts registered with the same tax identification number or duplicate name and address, unless we received contrary instructions from the impacted stockholder prior to the mailing date. The SEC’s rules also permit us to send a single set of proxy materials to two or more securityholders who share a single address, which is called “householding.” We agree to deliver promptly, upon written or oral request, a separate copy of the notice or Annual Meeting materials, as requested, to any stockholder (including any stockholder at a shared address) to which a single copy of those documents was delivered. If you prefer to receive separate copies of the notice or Annual Meeting materials, or if you currently receive separate copies of the notice or Annual Meeting materials but would like to receive a single copy of such materials going forward, please visit www.proxydocs.com/ALHC, write to us at 1100 W. Town &amp; Country Rd., Suite 1600, Orange, CA 92868, Attn: Investor Relations, or contact Mediant, Inc. at (866) 648-8133 or paper@investorelections.com. A number of brokerage firms have instituted householding. They will have their own procedures for stockholders who wish to receive individual copies of the proxy materials, or who currently receive individual copies of such materials and would like to participate in householding.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Who will be entitled to vote?</w:t>
      </w:r>
    </w:p>
    <w:p>
      <w:pPr>
        <w:spacing w:after="0" w:line="212" w:lineRule="exact"/>
        <w:rPr>
          <w:sz w:val="20"/>
          <w:szCs w:val="20"/>
          <w:color w:val="auto"/>
        </w:rPr>
      </w:pPr>
    </w:p>
    <w:p>
      <w:pPr>
        <w:ind w:right="320" w:firstLine="440"/>
        <w:spacing w:after="0" w:line="247" w:lineRule="auto"/>
        <w:rPr>
          <w:sz w:val="20"/>
          <w:szCs w:val="20"/>
          <w:color w:val="auto"/>
        </w:rPr>
      </w:pPr>
      <w:r>
        <w:rPr>
          <w:rFonts w:ascii="Arial" w:cs="Arial" w:eastAsia="Arial" w:hAnsi="Arial"/>
          <w:sz w:val="18"/>
          <w:szCs w:val="18"/>
          <w:color w:val="auto"/>
        </w:rPr>
        <w:t>Stockholders who own shares of our common stock as of the Record Date are entitled to vote at the Annual Meeting. As of the Record Date, Alignment had approximately 190,657,348 shares of common stock outstanding. Holders of shares of common stock are entitled to one vote per share. Cumulative voting is not permitted with respect to the election of directors or any other matter to be considered at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will I be voting on?</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You will be voting on:</w:t>
      </w:r>
    </w:p>
    <w:p>
      <w:pPr>
        <w:spacing w:after="0" w:line="239" w:lineRule="exact"/>
        <w:rPr>
          <w:sz w:val="20"/>
          <w:szCs w:val="20"/>
          <w:color w:val="auto"/>
        </w:rPr>
      </w:pPr>
    </w:p>
    <w:p>
      <w:pPr>
        <w:ind w:left="860" w:right="360" w:hanging="540"/>
        <w:spacing w:after="0" w:line="270" w:lineRule="auto"/>
        <w:tabs>
          <w:tab w:leader="none" w:pos="8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 Election of four nominees identified in this proxy statement to serve as Class III directors to hold office until the</w:t>
      </w:r>
      <w:r>
        <w:rPr>
          <w:rFonts w:ascii="Arial" w:cs="Arial" w:eastAsia="Arial" w:hAnsi="Arial"/>
          <w:sz w:val="18"/>
          <w:szCs w:val="18"/>
          <w:b w:val="1"/>
          <w:bCs w:val="1"/>
          <w:color w:val="auto"/>
        </w:rPr>
        <w:t xml:space="preserve"> </w:t>
      </w:r>
      <w:r>
        <w:rPr>
          <w:rFonts w:ascii="Arial" w:cs="Arial" w:eastAsia="Arial" w:hAnsi="Arial"/>
          <w:sz w:val="18"/>
          <w:szCs w:val="18"/>
          <w:color w:val="auto"/>
        </w:rPr>
        <w:t>2027 Annual Meeting of Stockholders;</w:t>
      </w:r>
    </w:p>
    <w:p>
      <w:pPr>
        <w:spacing w:after="0" w:line="181" w:lineRule="exact"/>
        <w:rPr>
          <w:rFonts w:ascii="Times New Roman" w:cs="Times New Roman" w:eastAsia="Times New Roman" w:hAnsi="Times New Roman"/>
          <w:sz w:val="18"/>
          <w:szCs w:val="18"/>
          <w:color w:val="auto"/>
        </w:rPr>
      </w:pPr>
    </w:p>
    <w:p>
      <w:pPr>
        <w:ind w:left="860" w:right="420" w:hanging="540"/>
        <w:spacing w:after="0" w:line="270" w:lineRule="auto"/>
        <w:tabs>
          <w:tab w:leader="none" w:pos="86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2</w:t>
      </w:r>
      <w:r>
        <w:rPr>
          <w:rFonts w:ascii="Arial" w:cs="Arial" w:eastAsia="Arial" w:hAnsi="Arial"/>
          <w:sz w:val="18"/>
          <w:szCs w:val="18"/>
          <w:color w:val="auto"/>
        </w:rPr>
        <w:t>: Approval of an amendment to our certificate of incorporation to reflect new Delaware law provisions regarding</w:t>
      </w:r>
      <w:r>
        <w:rPr>
          <w:rFonts w:ascii="Arial" w:cs="Arial" w:eastAsia="Arial" w:hAnsi="Arial"/>
          <w:sz w:val="18"/>
          <w:szCs w:val="18"/>
          <w:b w:val="1"/>
          <w:bCs w:val="1"/>
          <w:color w:val="auto"/>
        </w:rPr>
        <w:t xml:space="preserve"> </w:t>
      </w:r>
      <w:r>
        <w:rPr>
          <w:rFonts w:ascii="Arial" w:cs="Arial" w:eastAsia="Arial" w:hAnsi="Arial"/>
          <w:sz w:val="18"/>
          <w:szCs w:val="18"/>
          <w:color w:val="auto"/>
        </w:rPr>
        <w:t>exculpation of officers;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440" w:top="296" w:right="459" w:bottom="1440" w:gutter="0" w:footer="0" w:header="0"/>
        </w:sectPr>
      </w:pPr>
    </w:p>
    <w:bookmarkStart w:id="9" w:name="page10"/>
    <w:bookmarkEnd w:id="9"/>
    <w:p>
      <w:pPr>
        <w:ind w:left="860" w:right="120" w:hanging="540"/>
        <w:spacing w:after="0" w:line="270" w:lineRule="auto"/>
        <w:tabs>
          <w:tab w:leader="none" w:pos="8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3</w:t>
      </w:r>
      <w:r>
        <w:rPr>
          <w:rFonts w:ascii="Arial" w:cs="Arial" w:eastAsia="Arial" w:hAnsi="Arial"/>
          <w:sz w:val="18"/>
          <w:szCs w:val="18"/>
          <w:color w:val="auto"/>
        </w:rPr>
        <w:t>: Ratification of the appointment of Deloitte &amp; Touche LLP as our independent registered public accounting firm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year ending December 31, 2024; and</w:t>
      </w:r>
    </w:p>
    <w:p>
      <w:pPr>
        <w:spacing w:after="0" w:line="181" w:lineRule="exact"/>
        <w:rPr>
          <w:rFonts w:ascii="Times New Roman" w:cs="Times New Roman" w:eastAsia="Times New Roman" w:hAnsi="Times New Roman"/>
          <w:sz w:val="18"/>
          <w:szCs w:val="18"/>
          <w:color w:val="auto"/>
        </w:rPr>
      </w:pPr>
    </w:p>
    <w:p>
      <w:pPr>
        <w:ind w:left="860" w:right="60" w:hanging="540"/>
        <w:spacing w:after="0" w:line="270" w:lineRule="auto"/>
        <w:tabs>
          <w:tab w:leader="none" w:pos="8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Proposal 4</w:t>
      </w:r>
      <w:r>
        <w:rPr>
          <w:rFonts w:ascii="Arial" w:cs="Arial" w:eastAsia="Arial" w:hAnsi="Arial"/>
          <w:sz w:val="18"/>
          <w:szCs w:val="18"/>
          <w:color w:val="auto"/>
        </w:rPr>
        <w:t>: Approval, on an advisory basis, of the compensation of our named executive officers (“Named Executive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or “NEOs”).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You will also vote on any other business as may properly come before the meeting or any adjournment of the Annual Meeting. All shares that are represented at the Annual Meeting by properly executed proxies received before or at the Annual Meeting and not revoked will be voted at the Annual Meeting in accordance with the instructions indicated in the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136525</wp:posOffset>
            </wp:positionV>
            <wp:extent cx="7003415" cy="4889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03415" cy="488950"/>
                    </a:xfrm>
                    <a:prstGeom prst="rect">
                      <a:avLst/>
                    </a:prstGeom>
                    <a:noFill/>
                  </pic:spPr>
                </pic:pic>
              </a:graphicData>
            </a:graphic>
          </wp:anchor>
        </w:drawing>
      </w:r>
    </w:p>
    <w:p>
      <w:pPr>
        <w:spacing w:after="0" w:line="243" w:lineRule="exact"/>
        <w:rPr>
          <w:sz w:val="20"/>
          <w:szCs w:val="20"/>
          <w:color w:val="auto"/>
        </w:rPr>
      </w:pPr>
    </w:p>
    <w:p>
      <w:pPr>
        <w:jc w:val="center"/>
        <w:ind w:left="600" w:right="2120"/>
        <w:spacing w:after="0" w:line="257" w:lineRule="auto"/>
        <w:rPr>
          <w:sz w:val="20"/>
          <w:szCs w:val="20"/>
          <w:color w:val="auto"/>
        </w:rPr>
      </w:pPr>
      <w:r>
        <w:rPr>
          <w:rFonts w:ascii="Arial" w:cs="Arial" w:eastAsia="Arial" w:hAnsi="Arial"/>
          <w:sz w:val="18"/>
          <w:szCs w:val="18"/>
          <w:b w:val="1"/>
          <w:bCs w:val="1"/>
          <w:color w:val="auto"/>
        </w:rPr>
        <w:t>THE BOARD OF DIRECTORS RECOMMENDS THAT YOU VOTE “FOR” THE ELECTION OF EACH DIRECTOR NOMINEE UNDER PROPOSAL 1 AND “FOR” PROPOSALS 2, 3 AND 4</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attend the Annual Meeting?</w:t>
      </w:r>
    </w:p>
    <w:p>
      <w:pPr>
        <w:spacing w:after="0" w:line="212" w:lineRule="exact"/>
        <w:rPr>
          <w:sz w:val="20"/>
          <w:szCs w:val="20"/>
          <w:color w:val="auto"/>
        </w:rPr>
      </w:pPr>
    </w:p>
    <w:p>
      <w:pPr>
        <w:ind w:right="140" w:firstLine="440"/>
        <w:spacing w:after="0" w:line="244" w:lineRule="auto"/>
        <w:rPr>
          <w:sz w:val="20"/>
          <w:szCs w:val="20"/>
          <w:color w:val="auto"/>
        </w:rPr>
      </w:pPr>
      <w:r>
        <w:rPr>
          <w:rFonts w:ascii="Arial" w:cs="Arial" w:eastAsia="Arial" w:hAnsi="Arial"/>
          <w:sz w:val="18"/>
          <w:szCs w:val="18"/>
          <w:color w:val="auto"/>
        </w:rPr>
        <w:t xml:space="preserve">The Annual Meeting is being held as a virtual-only meeting. </w:t>
      </w:r>
      <w:r>
        <w:rPr>
          <w:rFonts w:ascii="Arial" w:cs="Arial" w:eastAsia="Arial" w:hAnsi="Arial"/>
          <w:sz w:val="18"/>
          <w:szCs w:val="18"/>
          <w:b w:val="1"/>
          <w:bCs w:val="1"/>
          <w:color w:val="auto"/>
        </w:rPr>
        <w:t>In order to attend the Annual Meeting, you must register at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www.proxydocs.com/ALHC by no later than 5:00 p.m. Pacific Time on June 6, 2024. </w:t>
      </w:r>
      <w:r>
        <w:rPr>
          <w:rFonts w:ascii="Arial" w:cs="Arial" w:eastAsia="Arial" w:hAnsi="Arial"/>
          <w:sz w:val="18"/>
          <w:szCs w:val="18"/>
          <w:color w:val="auto"/>
        </w:rPr>
        <w:t>If you are a stockholder of record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 Date, upon completing your registration, you will receive further instructions via email, including a unique link that will allow you access to the Annual Meeting and to vote and submit questions during the Annual Meeting. As part of the registration process, you must enter the control number located on your proxy card, voting instruction form, or Notice of Internet Availability.</w:t>
      </w:r>
    </w:p>
    <w:p>
      <w:pPr>
        <w:spacing w:after="0" w:line="176" w:lineRule="exact"/>
        <w:rPr>
          <w:sz w:val="20"/>
          <w:szCs w:val="20"/>
          <w:color w:val="auto"/>
        </w:rPr>
      </w:pPr>
    </w:p>
    <w:p>
      <w:pPr>
        <w:ind w:right="100" w:firstLine="440"/>
        <w:spacing w:after="0" w:line="259" w:lineRule="auto"/>
        <w:rPr>
          <w:sz w:val="20"/>
          <w:szCs w:val="20"/>
          <w:color w:val="auto"/>
        </w:rPr>
      </w:pPr>
      <w:r>
        <w:rPr>
          <w:rFonts w:ascii="Arial" w:cs="Arial" w:eastAsia="Arial" w:hAnsi="Arial"/>
          <w:sz w:val="17"/>
          <w:szCs w:val="17"/>
          <w:color w:val="auto"/>
        </w:rPr>
        <w:t>If you are a beneficial owner of shares through a brokerage firm, bank, broker-dealer or other nominee holder (i.e., you hold shares in “street name”) as of the Record Date, you may gain access to the meeting by following the instructions in the voting instruction card provided by your brokerage firm, bank, broker-dealer or other nominee holder. You will need to enter your uniquely assigned control number at www.proxydocs.com/ALHC as part of the registration process. You may not vote your shares via the Internet at the Annual Meeting unless you receive a valid legal proxy from your brokerage firm, bank, broker-dealer or other nominee holder. If you were not a stockholder as of the Record Date, you may still listen to the Annual Meeting, but will not be able to ask questions or vote at the meeting.</w:t>
      </w:r>
    </w:p>
    <w:p>
      <w:pPr>
        <w:spacing w:after="0" w:line="165" w:lineRule="exact"/>
        <w:rPr>
          <w:sz w:val="20"/>
          <w:szCs w:val="20"/>
          <w:color w:val="auto"/>
        </w:rPr>
      </w:pPr>
    </w:p>
    <w:p>
      <w:pPr>
        <w:ind w:right="2000" w:firstLine="440"/>
        <w:spacing w:after="0" w:line="271" w:lineRule="auto"/>
        <w:rPr>
          <w:sz w:val="20"/>
          <w:szCs w:val="20"/>
          <w:color w:val="auto"/>
        </w:rPr>
      </w:pPr>
      <w:r>
        <w:rPr>
          <w:rFonts w:ascii="Arial" w:cs="Arial" w:eastAsia="Arial" w:hAnsi="Arial"/>
          <w:sz w:val="18"/>
          <w:szCs w:val="18"/>
          <w:color w:val="auto"/>
        </w:rPr>
        <w:t>The audio broadcast of the Annual Meeting will be archived on the investor relations section of our website, https://ir.alignmenthealth.com/, for at least one year.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ask questions at the Annual Meeting?</w:t>
      </w:r>
    </w:p>
    <w:p>
      <w:pPr>
        <w:spacing w:after="0" w:line="212" w:lineRule="exact"/>
        <w:rPr>
          <w:sz w:val="20"/>
          <w:szCs w:val="20"/>
          <w:color w:val="auto"/>
        </w:rPr>
      </w:pPr>
    </w:p>
    <w:p>
      <w:pPr>
        <w:ind w:right="60" w:firstLine="440"/>
        <w:spacing w:after="0" w:line="247" w:lineRule="auto"/>
        <w:rPr>
          <w:sz w:val="20"/>
          <w:szCs w:val="20"/>
          <w:color w:val="auto"/>
        </w:rPr>
      </w:pPr>
      <w:r>
        <w:rPr>
          <w:rFonts w:ascii="Arial" w:cs="Arial" w:eastAsia="Arial" w:hAnsi="Arial"/>
          <w:sz w:val="18"/>
          <w:szCs w:val="18"/>
          <w:color w:val="auto"/>
        </w:rPr>
        <w:t>We have designed the virtual Annual Meeting to provide substantially the same opportunities to participate as stockholders would have at an in-person meeting. The virtual Annual Meeting format allows stockholders to ask questions of our management and Board of Directors, as appropriate. If you have questions, you may type them into the dialog box provided at any point during the meeting (until the floor is closed to questions).</w:t>
      </w:r>
    </w:p>
    <w:p>
      <w:pPr>
        <w:spacing w:after="0" w:line="174" w:lineRule="exact"/>
        <w:rPr>
          <w:sz w:val="20"/>
          <w:szCs w:val="20"/>
          <w:color w:val="auto"/>
        </w:rPr>
      </w:pPr>
    </w:p>
    <w:p>
      <w:pPr>
        <w:ind w:right="60" w:firstLine="440"/>
        <w:spacing w:after="0" w:line="242" w:lineRule="auto"/>
        <w:rPr>
          <w:sz w:val="20"/>
          <w:szCs w:val="20"/>
          <w:color w:val="auto"/>
        </w:rPr>
      </w:pPr>
      <w:r>
        <w:rPr>
          <w:rFonts w:ascii="Arial" w:cs="Arial" w:eastAsia="Arial" w:hAnsi="Arial"/>
          <w:sz w:val="18"/>
          <w:szCs w:val="18"/>
          <w:color w:val="auto"/>
        </w:rPr>
        <w:t>We reserve the right to exclude questions regarding topics that are not pertinent to meeting matters or company business or are inappropriate. If we receive substantially similar questions, we may group such questions together and provide a single response to avoid repetition. Any questions that are appropriate and pertinent to the Annual Meeting will be answered in the live question and answer session during the Annual Meeting, subject to time constraints. Any such questions that cannot be answered during the Annual Meeting due to time constraints will be posted and answered on the investor relations section of our website, https://ir.alignmenthealth.com/, as soon as practicable after the Annual Meeting.</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440" w:top="296" w:right="499" w:bottom="1440" w:gutter="0" w:footer="0" w:header="0"/>
        </w:sectPr>
      </w:pPr>
    </w:p>
    <w:bookmarkStart w:id="10" w:name="page11"/>
    <w:bookmarkEnd w:id="10"/>
    <w:p>
      <w:pPr>
        <w:ind w:right="180" w:firstLine="44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Additional information regarding the ability of stockholders to ask questions during the Annual Meeting and information regarding how to obtain the related rules of conduct and other materials for the Annual Meeting will be provided by email after you have completed registration to attend the Annual Meeting. The rules of conduct will also be available on the Annual Meeting platform during the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can I access technical support for the Annual Meeting?</w:t>
      </w:r>
    </w:p>
    <w:p>
      <w:pPr>
        <w:spacing w:after="0" w:line="212" w:lineRule="exact"/>
        <w:rPr>
          <w:sz w:val="20"/>
          <w:szCs w:val="20"/>
          <w:color w:val="auto"/>
        </w:rPr>
      </w:pPr>
    </w:p>
    <w:p>
      <w:pPr>
        <w:ind w:right="240" w:firstLine="440"/>
        <w:spacing w:after="0" w:line="242" w:lineRule="auto"/>
        <w:rPr>
          <w:sz w:val="20"/>
          <w:szCs w:val="20"/>
          <w:color w:val="auto"/>
        </w:rPr>
      </w:pPr>
      <w:r>
        <w:rPr>
          <w:rFonts w:ascii="Arial" w:cs="Arial" w:eastAsia="Arial" w:hAnsi="Arial"/>
          <w:sz w:val="18"/>
          <w:szCs w:val="18"/>
          <w:color w:val="auto"/>
        </w:rPr>
        <w:t>If you encounter any difficulties accessing the virtual Annual Meeting during the check-in or meeting time, please call the technical support number that will be posted on the virtual meeting login page for assistance. Technical support will be available beginning approximately 15 minutes prior to the start of the Annual Meeting through its conclusion. The virtual Annual Meeting platform is fully supported across browsers (Edge, Firefox, Chrome, and Safari) and devices (desktops, laptops, tablets, and cell phones) running the most updated version of applicable software and plugins. You should ensure that you have a strong internet connection if you intend to attend and/or participate in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Why is the Annual Meeting virtual only?</w:t>
      </w:r>
    </w:p>
    <w:p>
      <w:pPr>
        <w:spacing w:after="0" w:line="21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In order to make the Annual Meeting accessible to a large number of our stockholders, the Annual Meeting will be conducted virtually via audio-only webcast. We will have technicians ready to assist you with any technical difficulties you may have accessing the Annual Meeting. If you encounter any difficulties accessing the virtual-only Annual Meeting platform, including any difficulties voting or submitting questions, you may call the technical support number that will be posted in your instruction email.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do I cast my vote?</w:t>
      </w:r>
    </w:p>
    <w:p>
      <w:pPr>
        <w:spacing w:after="0" w:line="212" w:lineRule="exact"/>
        <w:rPr>
          <w:sz w:val="20"/>
          <w:szCs w:val="20"/>
          <w:color w:val="auto"/>
        </w:rPr>
      </w:pPr>
    </w:p>
    <w:p>
      <w:pPr>
        <w:ind w:right="20" w:firstLine="440"/>
        <w:spacing w:after="0" w:line="253"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If you hold your shares through a broker, trustee or other nominee, you are a beneficial stockholder. In order</w:t>
      </w:r>
      <w:r>
        <w:rPr>
          <w:rFonts w:ascii="Arial" w:cs="Arial" w:eastAsia="Arial" w:hAnsi="Arial"/>
          <w:sz w:val="18"/>
          <w:szCs w:val="18"/>
          <w:i w:val="1"/>
          <w:iCs w:val="1"/>
          <w:color w:val="auto"/>
        </w:rPr>
        <w:t xml:space="preserve"> </w:t>
      </w:r>
      <w:r>
        <w:rPr>
          <w:rFonts w:ascii="Arial" w:cs="Arial" w:eastAsia="Arial" w:hAnsi="Arial"/>
          <w:sz w:val="18"/>
          <w:szCs w:val="18"/>
          <w:color w:val="auto"/>
        </w:rPr>
        <w:t>to vote your shares, please refer to the materials forwarded to you by your broker, bank or other nominee for instructions on how to vote the shares you hold as a beneficial stockholder.</w:t>
      </w:r>
    </w:p>
    <w:p>
      <w:pPr>
        <w:spacing w:after="0" w:line="169" w:lineRule="exact"/>
        <w:rPr>
          <w:sz w:val="20"/>
          <w:szCs w:val="20"/>
          <w:color w:val="auto"/>
        </w:rPr>
      </w:pPr>
    </w:p>
    <w:p>
      <w:pPr>
        <w:ind w:right="140" w:firstLine="440"/>
        <w:spacing w:after="0" w:line="275" w:lineRule="auto"/>
        <w:rPr>
          <w:sz w:val="20"/>
          <w:szCs w:val="20"/>
          <w:color w:val="auto"/>
        </w:rPr>
      </w:pPr>
      <w:r>
        <w:rPr>
          <w:rFonts w:ascii="Arial" w:cs="Arial" w:eastAsia="Arial" w:hAnsi="Arial"/>
          <w:sz w:val="17"/>
          <w:szCs w:val="17"/>
          <w:i w:val="1"/>
          <w:iCs w:val="1"/>
          <w:color w:val="auto"/>
        </w:rPr>
        <w:t xml:space="preserve">Registered Stockholders. </w:t>
      </w:r>
      <w:r>
        <w:rPr>
          <w:rFonts w:ascii="Arial" w:cs="Arial" w:eastAsia="Arial" w:hAnsi="Arial"/>
          <w:sz w:val="17"/>
          <w:szCs w:val="17"/>
          <w:color w:val="auto"/>
        </w:rPr>
        <w:t>If you are a stockholder of record, you may vote at the Annual Meeting, vote by proxy over the telephone,</w:t>
      </w:r>
      <w:r>
        <w:rPr>
          <w:rFonts w:ascii="Arial" w:cs="Arial" w:eastAsia="Arial" w:hAnsi="Arial"/>
          <w:sz w:val="17"/>
          <w:szCs w:val="17"/>
          <w:i w:val="1"/>
          <w:iCs w:val="1"/>
          <w:color w:val="auto"/>
        </w:rPr>
        <w:t xml:space="preserve"> </w:t>
      </w:r>
      <w:r>
        <w:rPr>
          <w:rFonts w:ascii="Arial" w:cs="Arial" w:eastAsia="Arial" w:hAnsi="Arial"/>
          <w:sz w:val="17"/>
          <w:szCs w:val="17"/>
          <w:color w:val="auto"/>
        </w:rPr>
        <w:t>vote by proxy through the Internet or vote by proxy card. Whether or not you plan to attend the Annual Meeting, we urge you to vote by proxy to ensure your vote is counted. You may still attend the Annual Meeting and vote even if you have already voted by proxy.</w:t>
      </w:r>
    </w:p>
    <w:p>
      <w:pPr>
        <w:spacing w:after="0" w:line="179" w:lineRule="exact"/>
        <w:rPr>
          <w:sz w:val="20"/>
          <w:szCs w:val="20"/>
          <w:color w:val="auto"/>
        </w:rPr>
      </w:pPr>
    </w:p>
    <w:p>
      <w:pPr>
        <w:ind w:left="960" w:hanging="532"/>
        <w:spacing w:after="0"/>
        <w:tabs>
          <w:tab w:leader="none" w:pos="9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TO VOTE DURING THE ANNUAL MEETING</w:t>
      </w:r>
      <w:r>
        <w:rPr>
          <w:rFonts w:ascii="Arial" w:cs="Arial" w:eastAsia="Arial" w:hAnsi="Arial"/>
          <w:sz w:val="18"/>
          <w:szCs w:val="18"/>
          <w:color w:val="auto"/>
        </w:rPr>
        <w:t>: To vote during the live webcast of the Annual Meeting, you must first register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www.proxydocs.com/ALHC. Upon completing your registration, you will receive further instructions via email, including your unique link that will allow you to access the Annual Meeting and, if you are a stockholder, to submit questions during the meeting. Please be sure to follow the instructions found on your proxy card and/or voting authorization form and subsequent instructions that will be delivered to you via email. Stockholders will be able to attend the Annual Meeting platform beginning at 7:00 a.m. Pacific Time on June 7, 2024 pursuant to the unique access instructions they receive following their registration at www.proxydocs.com/ALHC.</w:t>
      </w:r>
    </w:p>
    <w:p>
      <w:pPr>
        <w:spacing w:after="0" w:line="210" w:lineRule="exact"/>
        <w:rPr>
          <w:rFonts w:ascii="Times New Roman" w:cs="Times New Roman" w:eastAsia="Times New Roman" w:hAnsi="Times New Roman"/>
          <w:sz w:val="18"/>
          <w:szCs w:val="18"/>
          <w:color w:val="auto"/>
        </w:rPr>
      </w:pPr>
    </w:p>
    <w:p>
      <w:pPr>
        <w:ind w:left="960" w:right="580" w:hanging="532"/>
        <w:spacing w:after="0" w:line="270" w:lineRule="auto"/>
        <w:tabs>
          <w:tab w:leader="none" w:pos="9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TO VOTE BY PHONE</w:t>
      </w:r>
      <w:r>
        <w:rPr>
          <w:rFonts w:ascii="Arial" w:cs="Arial" w:eastAsia="Arial" w:hAnsi="Arial"/>
          <w:sz w:val="18"/>
          <w:szCs w:val="18"/>
          <w:color w:val="auto"/>
        </w:rPr>
        <w:t>: To vote by telephone, dial toll-free 866-314-3346 using any touch-tone telephone and follow the</w:t>
      </w:r>
      <w:r>
        <w:rPr>
          <w:rFonts w:ascii="Arial" w:cs="Arial" w:eastAsia="Arial" w:hAnsi="Arial"/>
          <w:sz w:val="18"/>
          <w:szCs w:val="18"/>
          <w:b w:val="1"/>
          <w:bCs w:val="1"/>
          <w:color w:val="auto"/>
        </w:rPr>
        <w:t xml:space="preserve"> </w:t>
      </w:r>
      <w:r>
        <w:rPr>
          <w:rFonts w:ascii="Arial" w:cs="Arial" w:eastAsia="Arial" w:hAnsi="Arial"/>
          <w:sz w:val="18"/>
          <w:szCs w:val="18"/>
          <w:color w:val="auto"/>
        </w:rPr>
        <w:t>recorded instructions.</w:t>
      </w:r>
    </w:p>
    <w:p>
      <w:pPr>
        <w:spacing w:after="0" w:line="181" w:lineRule="exact"/>
        <w:rPr>
          <w:rFonts w:ascii="Times New Roman" w:cs="Times New Roman" w:eastAsia="Times New Roman" w:hAnsi="Times New Roman"/>
          <w:sz w:val="18"/>
          <w:szCs w:val="18"/>
          <w:color w:val="auto"/>
        </w:rPr>
      </w:pPr>
    </w:p>
    <w:p>
      <w:pPr>
        <w:ind w:left="960" w:right="1980" w:hanging="532"/>
        <w:spacing w:after="0" w:line="270" w:lineRule="auto"/>
        <w:tabs>
          <w:tab w:leader="none" w:pos="9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TO VOTE BY INTERNET</w:t>
      </w:r>
      <w:r>
        <w:rPr>
          <w:rFonts w:ascii="Arial" w:cs="Arial" w:eastAsia="Arial" w:hAnsi="Arial"/>
          <w:sz w:val="18"/>
          <w:szCs w:val="18"/>
          <w:color w:val="auto"/>
        </w:rPr>
        <w:t>: To vote through the Internet, you may complete an electronic proxy card at</w:t>
      </w:r>
      <w:r>
        <w:rPr>
          <w:rFonts w:ascii="Arial" w:cs="Arial" w:eastAsia="Arial" w:hAnsi="Arial"/>
          <w:sz w:val="18"/>
          <w:szCs w:val="18"/>
          <w:b w:val="1"/>
          <w:bCs w:val="1"/>
          <w:color w:val="auto"/>
        </w:rPr>
        <w:t xml:space="preserve"> </w:t>
      </w:r>
      <w:r>
        <w:rPr>
          <w:rFonts w:ascii="Arial" w:cs="Arial" w:eastAsia="Arial" w:hAnsi="Arial"/>
          <w:sz w:val="18"/>
          <w:szCs w:val="18"/>
          <w:color w:val="auto"/>
        </w:rPr>
        <w:t>www.proxydocs.com/ALHC.</w:t>
      </w:r>
    </w:p>
    <w:p>
      <w:pPr>
        <w:spacing w:after="0" w:line="154" w:lineRule="exact"/>
        <w:rPr>
          <w:sz w:val="20"/>
          <w:szCs w:val="20"/>
          <w:color w:val="auto"/>
        </w:rPr>
      </w:pPr>
    </w:p>
    <w:p>
      <w:pPr>
        <w:ind w:right="940" w:firstLine="440"/>
        <w:spacing w:after="0" w:line="271" w:lineRule="auto"/>
        <w:rPr>
          <w:sz w:val="20"/>
          <w:szCs w:val="20"/>
          <w:color w:val="auto"/>
        </w:rPr>
      </w:pPr>
      <w:r>
        <w:rPr>
          <w:rFonts w:ascii="Arial" w:cs="Arial" w:eastAsia="Arial" w:hAnsi="Arial"/>
          <w:sz w:val="18"/>
          <w:szCs w:val="18"/>
          <w:color w:val="auto"/>
        </w:rPr>
        <w:t>The Board has appointed John Kao and Thomas Freeman to serve as proxy holders to vote your shares according to the instructions you submit. If you properly submit a proxy but do not indicate how</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96" w:right="459" w:bottom="1440" w:gutter="0" w:footer="0" w:header="0"/>
        </w:sectPr>
      </w:pPr>
    </w:p>
    <w:bookmarkStart w:id="11" w:name="page12"/>
    <w:bookmarkEnd w:id="11"/>
    <w:p>
      <w:pPr>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you want your shares to be voted on one or more items, your shares will be voted on such items in accordance with the recommendations of our Board as set forth above under “</w:t>
      </w:r>
      <w:r>
        <w:rPr>
          <w:rFonts w:ascii="Arial" w:cs="Arial" w:eastAsia="Arial" w:hAnsi="Arial"/>
          <w:sz w:val="18"/>
          <w:szCs w:val="18"/>
          <w:i w:val="1"/>
          <w:iCs w:val="1"/>
          <w:color w:val="auto"/>
        </w:rPr>
        <w:t>What will I be voting on?</w:t>
      </w:r>
      <w:r>
        <w:rPr>
          <w:rFonts w:ascii="Arial" w:cs="Arial" w:eastAsia="Arial" w:hAnsi="Arial"/>
          <w:sz w:val="18"/>
          <w:szCs w:val="18"/>
          <w:color w:val="auto"/>
        </w:rPr>
        <w:t>” With respect to any other matter properly presented at the Annual Meeting, your proxy, if properly submitted, gives authority to the proxy holders to vote your shares on such matter in accordance with their best judgment.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Can I access the proxy materials electronically?</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Yes. Your notice, proxy card or voting instruction card will contain instructions on how to:</w:t>
      </w:r>
    </w:p>
    <w:p>
      <w:pPr>
        <w:spacing w:after="0" w:line="239" w:lineRule="exact"/>
        <w:rPr>
          <w:sz w:val="20"/>
          <w:szCs w:val="20"/>
          <w:color w:val="auto"/>
        </w:rPr>
      </w:pPr>
    </w:p>
    <w:p>
      <w:pPr>
        <w:ind w:left="1200" w:hanging="435"/>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view our proxy materials for the Annual Meeting on the Internet; and</w:t>
      </w:r>
    </w:p>
    <w:p>
      <w:pPr>
        <w:spacing w:after="0" w:line="238" w:lineRule="exact"/>
        <w:rPr>
          <w:rFonts w:ascii="Arial" w:cs="Arial" w:eastAsia="Arial" w:hAnsi="Arial"/>
          <w:sz w:val="18"/>
          <w:szCs w:val="18"/>
          <w:color w:val="auto"/>
        </w:rPr>
      </w:pPr>
    </w:p>
    <w:p>
      <w:pPr>
        <w:ind w:left="1200" w:hanging="435"/>
        <w:spacing w:after="0"/>
        <w:tabs>
          <w:tab w:leader="none" w:pos="1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instruct us to send our future proxy materials to you electronically by e-mail.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Our proxy materials are also available at www.proxydocs.com/ALHC and our proxy materials will be available starting on April 26, 2024.</w:t>
      </w:r>
    </w:p>
    <w:p>
      <w:pPr>
        <w:spacing w:after="0" w:line="212" w:lineRule="exact"/>
        <w:rPr>
          <w:sz w:val="20"/>
          <w:szCs w:val="20"/>
          <w:color w:val="auto"/>
        </w:rPr>
      </w:pPr>
    </w:p>
    <w:p>
      <w:pPr>
        <w:ind w:firstLine="440"/>
        <w:spacing w:after="0" w:line="253" w:lineRule="auto"/>
        <w:rPr>
          <w:sz w:val="20"/>
          <w:szCs w:val="20"/>
          <w:color w:val="auto"/>
        </w:rPr>
      </w:pPr>
      <w:r>
        <w:rPr>
          <w:rFonts w:ascii="Arial" w:cs="Arial" w:eastAsia="Arial" w:hAnsi="Arial"/>
          <w:sz w:val="18"/>
          <w:szCs w:val="18"/>
          <w:color w:val="auto"/>
        </w:rPr>
        <w:t>Instead of receiving future copies of our proxy statements and annual reports by mail, stockholders of record and most beneficial owners can elect to receive an email that will provide an electronic link to these documents. Your election to receive future proxy materials by email will remain in effect until you revoke 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How may I change or revoke my proxy?</w:t>
      </w:r>
    </w:p>
    <w:p>
      <w:pPr>
        <w:spacing w:after="0" w:line="212" w:lineRule="exact"/>
        <w:rPr>
          <w:sz w:val="20"/>
          <w:szCs w:val="20"/>
          <w:color w:val="auto"/>
        </w:rPr>
      </w:pPr>
    </w:p>
    <w:p>
      <w:pPr>
        <w:ind w:right="260" w:firstLine="440"/>
        <w:spacing w:after="0" w:line="271" w:lineRule="auto"/>
        <w:rPr>
          <w:sz w:val="20"/>
          <w:szCs w:val="20"/>
          <w:color w:val="auto"/>
        </w:rPr>
      </w:pPr>
      <w:r>
        <w:rPr>
          <w:rFonts w:ascii="Arial" w:cs="Arial" w:eastAsia="Arial" w:hAnsi="Arial"/>
          <w:sz w:val="18"/>
          <w:szCs w:val="18"/>
          <w:i w:val="1"/>
          <w:iCs w:val="1"/>
          <w:color w:val="auto"/>
        </w:rPr>
        <w:t>Beneficial Stockholders</w:t>
      </w:r>
      <w:r>
        <w:rPr>
          <w:rFonts w:ascii="Arial" w:cs="Arial" w:eastAsia="Arial" w:hAnsi="Arial"/>
          <w:sz w:val="18"/>
          <w:szCs w:val="18"/>
          <w:color w:val="auto"/>
        </w:rPr>
        <w:t>. Beneficial stockholders should contact their broker, trustee or nominee for instructions on how to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their proxy vote.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Registered stockholders may change a properly executed proxy at any time before its exercise by:</w:t>
      </w:r>
    </w:p>
    <w:p>
      <w:pPr>
        <w:spacing w:after="0" w:line="239" w:lineRule="exact"/>
        <w:rPr>
          <w:sz w:val="20"/>
          <w:szCs w:val="20"/>
          <w:color w:val="auto"/>
        </w:rPr>
      </w:pPr>
    </w:p>
    <w:p>
      <w:pPr>
        <w:ind w:left="1200" w:right="180" w:hanging="435"/>
        <w:spacing w:after="0" w:line="271" w:lineRule="auto"/>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delivering written notice of revocation to the Chief Legal &amp; Administrative Officer at our principal executive offices at 1100 W. Town &amp; Country Rd., Suite 1600, Orange, CA 92868;</w:t>
      </w:r>
    </w:p>
    <w:p>
      <w:pPr>
        <w:spacing w:after="0" w:line="180" w:lineRule="exact"/>
        <w:rPr>
          <w:rFonts w:ascii="Arial" w:cs="Arial" w:eastAsia="Arial" w:hAnsi="Arial"/>
          <w:sz w:val="18"/>
          <w:szCs w:val="18"/>
          <w:color w:val="auto"/>
        </w:rPr>
      </w:pPr>
    </w:p>
    <w:p>
      <w:pPr>
        <w:ind w:left="1200" w:hanging="435"/>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submitting another proxy that is dated later than the original proxy (including a proxy via telephone or Internet); or</w:t>
      </w:r>
    </w:p>
    <w:p>
      <w:pPr>
        <w:spacing w:after="0" w:line="238" w:lineRule="exact"/>
        <w:rPr>
          <w:rFonts w:ascii="Arial" w:cs="Arial" w:eastAsia="Arial" w:hAnsi="Arial"/>
          <w:sz w:val="18"/>
          <w:szCs w:val="18"/>
          <w:color w:val="auto"/>
        </w:rPr>
      </w:pPr>
    </w:p>
    <w:p>
      <w:pPr>
        <w:ind w:left="1200" w:hanging="435"/>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voting via the Internet at the Annual Meeting.</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96" w:right="49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is the voting requirement to approve each of the proposals, and how are the votes counted?</w:t>
      </w: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189"/>
        </w:trPr>
        <w:tc>
          <w:tcPr>
            <w:tcW w:w="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460" w:type="dxa"/>
            <w:vAlign w:val="bottom"/>
          </w:tcPr>
          <w:p>
            <w:pPr>
              <w:jc w:val="center"/>
              <w:ind w:left="59"/>
              <w:spacing w:after="0"/>
              <w:rPr>
                <w:sz w:val="20"/>
                <w:szCs w:val="20"/>
                <w:color w:val="auto"/>
              </w:rPr>
            </w:pPr>
            <w:r>
              <w:rPr>
                <w:rFonts w:ascii="Arial" w:cs="Arial" w:eastAsia="Arial" w:hAnsi="Arial"/>
                <w:sz w:val="16"/>
                <w:szCs w:val="16"/>
                <w:b w:val="1"/>
                <w:bCs w:val="1"/>
                <w:i w:val="1"/>
                <w:iCs w:val="1"/>
                <w:color w:val="auto"/>
                <w:w w:val="99"/>
              </w:rPr>
              <w:t>Effect of</w:t>
            </w:r>
          </w:p>
        </w:tc>
      </w:tr>
      <w:tr>
        <w:trPr>
          <w:trHeight w:val="189"/>
        </w:trPr>
        <w:tc>
          <w:tcPr>
            <w:tcW w:w="3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3000" w:type="dxa"/>
            <w:vAlign w:val="bottom"/>
          </w:tcPr>
          <w:p>
            <w:pPr>
              <w:ind w:left="840"/>
              <w:spacing w:after="0"/>
              <w:rPr>
                <w:sz w:val="20"/>
                <w:szCs w:val="20"/>
                <w:color w:val="auto"/>
              </w:rPr>
            </w:pPr>
            <w:r>
              <w:rPr>
                <w:rFonts w:ascii="Arial" w:cs="Arial" w:eastAsia="Arial" w:hAnsi="Arial"/>
                <w:sz w:val="16"/>
                <w:szCs w:val="16"/>
                <w:b w:val="1"/>
                <w:bCs w:val="1"/>
                <w:i w:val="1"/>
                <w:iCs w:val="1"/>
                <w:color w:val="auto"/>
              </w:rPr>
              <w:t>Vote Required for</w:t>
            </w:r>
          </w:p>
        </w:tc>
        <w:tc>
          <w:tcPr>
            <w:tcW w:w="1600" w:type="dxa"/>
            <w:vAlign w:val="bottom"/>
          </w:tcPr>
          <w:p>
            <w:pPr>
              <w:ind w:left="600"/>
              <w:spacing w:after="0"/>
              <w:rPr>
                <w:sz w:val="20"/>
                <w:szCs w:val="20"/>
                <w:color w:val="auto"/>
              </w:rPr>
            </w:pPr>
            <w:r>
              <w:rPr>
                <w:rFonts w:ascii="Arial" w:cs="Arial" w:eastAsia="Arial" w:hAnsi="Arial"/>
                <w:sz w:val="16"/>
                <w:szCs w:val="16"/>
                <w:b w:val="1"/>
                <w:bCs w:val="1"/>
                <w:i w:val="1"/>
                <w:iCs w:val="1"/>
                <w:color w:val="auto"/>
              </w:rPr>
              <w:t>Effect of</w:t>
            </w:r>
          </w:p>
        </w:tc>
        <w:tc>
          <w:tcPr>
            <w:tcW w:w="1460" w:type="dxa"/>
            <w:vAlign w:val="bottom"/>
          </w:tcPr>
          <w:p>
            <w:pPr>
              <w:jc w:val="center"/>
              <w:ind w:left="79"/>
              <w:spacing w:after="0"/>
              <w:rPr>
                <w:sz w:val="20"/>
                <w:szCs w:val="20"/>
                <w:color w:val="auto"/>
              </w:rPr>
            </w:pPr>
            <w:r>
              <w:rPr>
                <w:rFonts w:ascii="Arial" w:cs="Arial" w:eastAsia="Arial" w:hAnsi="Arial"/>
                <w:sz w:val="16"/>
                <w:szCs w:val="16"/>
                <w:b w:val="1"/>
                <w:bCs w:val="1"/>
                <w:i w:val="1"/>
                <w:iCs w:val="1"/>
                <w:color w:val="auto"/>
              </w:rPr>
              <w:t>Broker Non-</w:t>
            </w:r>
          </w:p>
        </w:tc>
      </w:tr>
      <w:tr>
        <w:trPr>
          <w:trHeight w:val="269"/>
        </w:trPr>
        <w:tc>
          <w:tcPr>
            <w:tcW w:w="360" w:type="dxa"/>
            <w:vAlign w:val="bottom"/>
            <w:tcBorders>
              <w:bottom w:val="single" w:sz="8" w:color="95B3D7"/>
            </w:tcBorders>
          </w:tcPr>
          <w:p>
            <w:pPr>
              <w:spacing w:after="0"/>
              <w:rPr>
                <w:sz w:val="23"/>
                <w:szCs w:val="23"/>
                <w:color w:val="auto"/>
              </w:rPr>
            </w:pPr>
          </w:p>
        </w:tc>
        <w:tc>
          <w:tcPr>
            <w:tcW w:w="2920" w:type="dxa"/>
            <w:vAlign w:val="bottom"/>
            <w:tcBorders>
              <w:bottom w:val="single" w:sz="8" w:color="95B3D7"/>
            </w:tcBorders>
          </w:tcPr>
          <w:p>
            <w:pPr>
              <w:ind w:left="920"/>
              <w:spacing w:after="0"/>
              <w:rPr>
                <w:sz w:val="20"/>
                <w:szCs w:val="20"/>
                <w:color w:val="auto"/>
              </w:rPr>
            </w:pPr>
            <w:r>
              <w:rPr>
                <w:rFonts w:ascii="Arial" w:cs="Arial" w:eastAsia="Arial" w:hAnsi="Arial"/>
                <w:sz w:val="16"/>
                <w:szCs w:val="16"/>
                <w:b w:val="1"/>
                <w:bCs w:val="1"/>
                <w:i w:val="1"/>
                <w:iCs w:val="1"/>
                <w:color w:val="auto"/>
              </w:rPr>
              <w:t>Proposal</w:t>
            </w:r>
          </w:p>
        </w:tc>
        <w:tc>
          <w:tcPr>
            <w:tcW w:w="3000" w:type="dxa"/>
            <w:vAlign w:val="bottom"/>
            <w:tcBorders>
              <w:bottom w:val="single" w:sz="8" w:color="95B3D7"/>
            </w:tcBorders>
          </w:tcPr>
          <w:p>
            <w:pPr>
              <w:ind w:left="1100"/>
              <w:spacing w:after="0" w:line="268" w:lineRule="exact"/>
              <w:rPr>
                <w:sz w:val="20"/>
                <w:szCs w:val="20"/>
                <w:color w:val="auto"/>
              </w:rPr>
            </w:pPr>
            <w:r>
              <w:rPr>
                <w:rFonts w:ascii="Arial" w:cs="Arial" w:eastAsia="Arial" w:hAnsi="Arial"/>
                <w:sz w:val="16"/>
                <w:szCs w:val="16"/>
                <w:b w:val="1"/>
                <w:bCs w:val="1"/>
                <w:i w:val="1"/>
                <w:iCs w:val="1"/>
                <w:color w:val="auto"/>
              </w:rPr>
              <w:t>Approval</w:t>
            </w:r>
            <w:r>
              <w:rPr>
                <w:rFonts w:ascii="Arial" w:cs="Arial" w:eastAsia="Arial" w:hAnsi="Arial"/>
                <w:sz w:val="24"/>
                <w:szCs w:val="24"/>
                <w:b w:val="1"/>
                <w:bCs w:val="1"/>
                <w:i w:val="1"/>
                <w:iCs w:val="1"/>
                <w:color w:val="auto"/>
                <w:vertAlign w:val="superscript"/>
              </w:rPr>
              <w:t>(1)</w:t>
            </w:r>
          </w:p>
        </w:tc>
        <w:tc>
          <w:tcPr>
            <w:tcW w:w="1600" w:type="dxa"/>
            <w:vAlign w:val="bottom"/>
            <w:tcBorders>
              <w:bottom w:val="single" w:sz="8" w:color="95B3D7"/>
            </w:tcBorders>
          </w:tcPr>
          <w:p>
            <w:pPr>
              <w:ind w:left="380"/>
              <w:spacing w:after="0" w:line="268" w:lineRule="exact"/>
              <w:rPr>
                <w:sz w:val="20"/>
                <w:szCs w:val="20"/>
                <w:color w:val="auto"/>
              </w:rPr>
            </w:pPr>
            <w:r>
              <w:rPr>
                <w:rFonts w:ascii="Arial" w:cs="Arial" w:eastAsia="Arial" w:hAnsi="Arial"/>
                <w:sz w:val="16"/>
                <w:szCs w:val="16"/>
                <w:b w:val="1"/>
                <w:bCs w:val="1"/>
                <w:i w:val="1"/>
                <w:iCs w:val="1"/>
                <w:color w:val="auto"/>
              </w:rPr>
              <w:t>Abstentions</w:t>
            </w:r>
            <w:r>
              <w:rPr>
                <w:rFonts w:ascii="Arial" w:cs="Arial" w:eastAsia="Arial" w:hAnsi="Arial"/>
                <w:sz w:val="24"/>
                <w:szCs w:val="24"/>
                <w:b w:val="1"/>
                <w:bCs w:val="1"/>
                <w:i w:val="1"/>
                <w:iCs w:val="1"/>
                <w:color w:val="auto"/>
                <w:vertAlign w:val="superscript"/>
              </w:rPr>
              <w:t>(2)</w:t>
            </w:r>
          </w:p>
        </w:tc>
        <w:tc>
          <w:tcPr>
            <w:tcW w:w="1460" w:type="dxa"/>
            <w:vAlign w:val="bottom"/>
            <w:tcBorders>
              <w:bottom w:val="single" w:sz="8" w:color="95B3D7"/>
            </w:tcBorders>
          </w:tcPr>
          <w:p>
            <w:pPr>
              <w:jc w:val="center"/>
              <w:ind w:left="79"/>
              <w:spacing w:after="0" w:line="268" w:lineRule="exact"/>
              <w:rPr>
                <w:sz w:val="20"/>
                <w:szCs w:val="20"/>
                <w:color w:val="auto"/>
              </w:rPr>
            </w:pPr>
            <w:r>
              <w:rPr>
                <w:rFonts w:ascii="Arial" w:cs="Arial" w:eastAsia="Arial" w:hAnsi="Arial"/>
                <w:sz w:val="16"/>
                <w:szCs w:val="16"/>
                <w:b w:val="1"/>
                <w:bCs w:val="1"/>
                <w:i w:val="1"/>
                <w:iCs w:val="1"/>
                <w:color w:val="auto"/>
                <w:w w:val="91"/>
              </w:rPr>
              <w:t>Votes</w:t>
            </w:r>
            <w:r>
              <w:rPr>
                <w:rFonts w:ascii="Arial" w:cs="Arial" w:eastAsia="Arial" w:hAnsi="Arial"/>
                <w:sz w:val="24"/>
                <w:szCs w:val="24"/>
                <w:b w:val="1"/>
                <w:bCs w:val="1"/>
                <w:i w:val="1"/>
                <w:iCs w:val="1"/>
                <w:color w:val="auto"/>
                <w:w w:val="91"/>
                <w:vertAlign w:val="superscript"/>
              </w:rPr>
              <w:t>(2)</w:t>
            </w:r>
          </w:p>
        </w:tc>
      </w:tr>
      <w:tr>
        <w:trPr>
          <w:trHeight w:val="222"/>
        </w:trPr>
        <w:tc>
          <w:tcPr>
            <w:tcW w:w="360" w:type="dxa"/>
            <w:vAlign w:val="bottom"/>
            <w:shd w:val="clear" w:color="auto" w:fill="DBE5F1"/>
          </w:tcPr>
          <w:p>
            <w:pPr>
              <w:ind w:left="140"/>
              <w:spacing w:after="0"/>
              <w:rPr>
                <w:sz w:val="20"/>
                <w:szCs w:val="20"/>
                <w:color w:val="auto"/>
              </w:rPr>
            </w:pPr>
            <w:r>
              <w:rPr>
                <w:rFonts w:ascii="Arial" w:cs="Arial" w:eastAsia="Arial" w:hAnsi="Arial"/>
                <w:sz w:val="16"/>
                <w:szCs w:val="16"/>
                <w:b w:val="1"/>
                <w:bCs w:val="1"/>
                <w:color w:val="auto"/>
              </w:rPr>
              <w:t>(1)</w:t>
            </w:r>
          </w:p>
        </w:tc>
        <w:tc>
          <w:tcPr>
            <w:tcW w:w="292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b w:val="1"/>
                <w:bCs w:val="1"/>
                <w:color w:val="auto"/>
              </w:rPr>
              <w:t>Election of Directors</w:t>
            </w:r>
          </w:p>
        </w:tc>
        <w:tc>
          <w:tcPr>
            <w:tcW w:w="30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Plurality of the votes cast at the Annual</w:t>
            </w:r>
          </w:p>
        </w:tc>
        <w:tc>
          <w:tcPr>
            <w:tcW w:w="1600" w:type="dxa"/>
            <w:vAlign w:val="bottom"/>
            <w:tcBorders>
              <w:right w:val="single" w:sz="8" w:color="95B3D7"/>
            </w:tcBorders>
            <w:shd w:val="clear" w:color="auto" w:fill="DBE5F1"/>
          </w:tcPr>
          <w:p>
            <w:pPr>
              <w:ind w:left="260"/>
              <w:spacing w:after="0"/>
              <w:rPr>
                <w:sz w:val="20"/>
                <w:szCs w:val="20"/>
                <w:color w:val="auto"/>
              </w:rPr>
            </w:pPr>
            <w:r>
              <w:rPr>
                <w:rFonts w:ascii="Arial" w:cs="Arial" w:eastAsia="Arial" w:hAnsi="Arial"/>
                <w:sz w:val="16"/>
                <w:szCs w:val="16"/>
                <w:color w:val="auto"/>
              </w:rPr>
              <w:t>Not applicable</w:t>
            </w:r>
          </w:p>
        </w:tc>
        <w:tc>
          <w:tcPr>
            <w:tcW w:w="14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No effect</w:t>
            </w:r>
          </w:p>
        </w:tc>
      </w:tr>
      <w:tr>
        <w:trPr>
          <w:trHeight w:val="257"/>
        </w:trPr>
        <w:tc>
          <w:tcPr>
            <w:tcW w:w="360" w:type="dxa"/>
            <w:vAlign w:val="bottom"/>
            <w:tcBorders>
              <w:bottom w:val="single" w:sz="8" w:color="95B3D7"/>
            </w:tcBorders>
            <w:shd w:val="clear" w:color="auto" w:fill="DBE5F1"/>
          </w:tcPr>
          <w:p>
            <w:pPr>
              <w:spacing w:after="0"/>
              <w:rPr>
                <w:sz w:val="22"/>
                <w:szCs w:val="22"/>
                <w:color w:val="auto"/>
              </w:rPr>
            </w:pPr>
          </w:p>
        </w:tc>
        <w:tc>
          <w:tcPr>
            <w:tcW w:w="2920" w:type="dxa"/>
            <w:vAlign w:val="bottom"/>
            <w:tcBorders>
              <w:bottom w:val="single" w:sz="8" w:color="95B3D7"/>
              <w:right w:val="single" w:sz="8" w:color="95B3D7"/>
            </w:tcBorders>
            <w:shd w:val="clear" w:color="auto" w:fill="DBE5F1"/>
          </w:tcPr>
          <w:p>
            <w:pPr>
              <w:spacing w:after="0"/>
              <w:rPr>
                <w:sz w:val="22"/>
                <w:szCs w:val="22"/>
                <w:color w:val="auto"/>
              </w:rPr>
            </w:pPr>
          </w:p>
        </w:tc>
        <w:tc>
          <w:tcPr>
            <w:tcW w:w="3000" w:type="dxa"/>
            <w:vAlign w:val="bottom"/>
            <w:tcBorders>
              <w:bottom w:val="single" w:sz="8" w:color="95B3D7"/>
              <w:right w:val="single" w:sz="8" w:color="95B3D7"/>
            </w:tcBorders>
            <w:shd w:val="clear" w:color="auto" w:fill="DBE5F1"/>
          </w:tcPr>
          <w:p>
            <w:pPr>
              <w:ind w:left="80"/>
              <w:spacing w:after="0" w:line="257" w:lineRule="exact"/>
              <w:rPr>
                <w:sz w:val="20"/>
                <w:szCs w:val="20"/>
                <w:color w:val="auto"/>
              </w:rPr>
            </w:pPr>
            <w:r>
              <w:rPr>
                <w:rFonts w:ascii="Arial" w:cs="Arial" w:eastAsia="Arial" w:hAnsi="Arial"/>
                <w:sz w:val="16"/>
                <w:szCs w:val="16"/>
                <w:color w:val="auto"/>
              </w:rPr>
              <w:t>Meeting</w:t>
            </w:r>
            <w:r>
              <w:rPr>
                <w:rFonts w:ascii="Arial" w:cs="Arial" w:eastAsia="Arial" w:hAnsi="Arial"/>
                <w:sz w:val="24"/>
                <w:szCs w:val="24"/>
                <w:color w:val="auto"/>
                <w:vertAlign w:val="superscript"/>
              </w:rPr>
              <w:t>(3)</w:t>
            </w:r>
          </w:p>
        </w:tc>
        <w:tc>
          <w:tcPr>
            <w:tcW w:w="1600" w:type="dxa"/>
            <w:vAlign w:val="bottom"/>
            <w:tcBorders>
              <w:bottom w:val="single" w:sz="8" w:color="95B3D7"/>
              <w:right w:val="single" w:sz="8" w:color="95B3D7"/>
            </w:tcBorders>
            <w:shd w:val="clear" w:color="auto" w:fill="DBE5F1"/>
          </w:tcPr>
          <w:p>
            <w:pPr>
              <w:spacing w:after="0"/>
              <w:rPr>
                <w:sz w:val="22"/>
                <w:szCs w:val="22"/>
                <w:color w:val="auto"/>
              </w:rPr>
            </w:pPr>
          </w:p>
        </w:tc>
        <w:tc>
          <w:tcPr>
            <w:tcW w:w="1460" w:type="dxa"/>
            <w:vAlign w:val="bottom"/>
            <w:tcBorders>
              <w:bottom w:val="single" w:sz="8" w:color="95B3D7"/>
            </w:tcBorders>
            <w:shd w:val="clear" w:color="auto" w:fill="DBE5F1"/>
          </w:tcPr>
          <w:p>
            <w:pPr>
              <w:spacing w:after="0"/>
              <w:rPr>
                <w:sz w:val="22"/>
                <w:szCs w:val="22"/>
                <w:color w:val="auto"/>
              </w:rPr>
            </w:pPr>
          </w:p>
        </w:tc>
      </w:tr>
      <w:tr>
        <w:trPr>
          <w:trHeight w:val="222"/>
        </w:trPr>
        <w:tc>
          <w:tcPr>
            <w:tcW w:w="360" w:type="dxa"/>
            <w:vAlign w:val="bottom"/>
          </w:tcPr>
          <w:p>
            <w:pPr>
              <w:ind w:left="140"/>
              <w:spacing w:after="0"/>
              <w:rPr>
                <w:sz w:val="20"/>
                <w:szCs w:val="20"/>
                <w:color w:val="auto"/>
              </w:rPr>
            </w:pPr>
            <w:r>
              <w:rPr>
                <w:rFonts w:ascii="Arial" w:cs="Arial" w:eastAsia="Arial" w:hAnsi="Arial"/>
                <w:sz w:val="16"/>
                <w:szCs w:val="16"/>
                <w:b w:val="1"/>
                <w:bCs w:val="1"/>
                <w:color w:val="auto"/>
              </w:rPr>
              <w:t>(2)</w:t>
            </w:r>
          </w:p>
        </w:tc>
        <w:tc>
          <w:tcPr>
            <w:tcW w:w="2920" w:type="dxa"/>
            <w:vAlign w:val="bottom"/>
            <w:tcBorders>
              <w:right w:val="single" w:sz="8" w:color="95B3D7"/>
            </w:tcBorders>
          </w:tcPr>
          <w:p>
            <w:pPr>
              <w:ind w:left="20"/>
              <w:spacing w:after="0"/>
              <w:rPr>
                <w:sz w:val="20"/>
                <w:szCs w:val="20"/>
                <w:color w:val="auto"/>
              </w:rPr>
            </w:pPr>
            <w:r>
              <w:rPr>
                <w:rFonts w:ascii="Arial" w:cs="Arial" w:eastAsia="Arial" w:hAnsi="Arial"/>
                <w:sz w:val="16"/>
                <w:szCs w:val="16"/>
                <w:b w:val="1"/>
                <w:bCs w:val="1"/>
                <w:color w:val="auto"/>
              </w:rPr>
              <w:t>Approval of Charter Amendment</w:t>
            </w:r>
          </w:p>
        </w:tc>
        <w:tc>
          <w:tcPr>
            <w:tcW w:w="30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Affirmative vote of at least sixty-six and</w:t>
            </w:r>
          </w:p>
        </w:tc>
        <w:tc>
          <w:tcPr>
            <w:tcW w:w="1600" w:type="dxa"/>
            <w:vAlign w:val="bottom"/>
            <w:tcBorders>
              <w:right w:val="single" w:sz="8" w:color="95B3D7"/>
            </w:tcBorders>
          </w:tcPr>
          <w:p>
            <w:pPr>
              <w:ind w:left="260"/>
              <w:spacing w:after="0" w:line="222" w:lineRule="exact"/>
              <w:rPr>
                <w:sz w:val="20"/>
                <w:szCs w:val="20"/>
                <w:color w:val="auto"/>
              </w:rPr>
            </w:pPr>
            <w:r>
              <w:rPr>
                <w:rFonts w:ascii="Arial" w:cs="Arial" w:eastAsia="Arial" w:hAnsi="Arial"/>
                <w:sz w:val="16"/>
                <w:szCs w:val="16"/>
                <w:color w:val="auto"/>
              </w:rPr>
              <w:t>Vote “Against”</w:t>
            </w:r>
            <w:r>
              <w:rPr>
                <w:rFonts w:ascii="Arial" w:cs="Arial" w:eastAsia="Arial" w:hAnsi="Arial"/>
                <w:sz w:val="24"/>
                <w:szCs w:val="24"/>
                <w:color w:val="auto"/>
                <w:vertAlign w:val="superscript"/>
              </w:rPr>
              <w:t>(4)</w:t>
            </w:r>
          </w:p>
        </w:tc>
        <w:tc>
          <w:tcPr>
            <w:tcW w:w="1460" w:type="dxa"/>
            <w:vAlign w:val="bottom"/>
          </w:tcPr>
          <w:p>
            <w:pPr>
              <w:ind w:left="160"/>
              <w:spacing w:after="0" w:line="222" w:lineRule="exact"/>
              <w:rPr>
                <w:sz w:val="20"/>
                <w:szCs w:val="20"/>
                <w:color w:val="auto"/>
              </w:rPr>
            </w:pPr>
            <w:r>
              <w:rPr>
                <w:rFonts w:ascii="Arial" w:cs="Arial" w:eastAsia="Arial" w:hAnsi="Arial"/>
                <w:sz w:val="16"/>
                <w:szCs w:val="16"/>
                <w:color w:val="auto"/>
              </w:rPr>
              <w:t>Vote “Against”</w:t>
            </w:r>
            <w:r>
              <w:rPr>
                <w:rFonts w:ascii="Arial" w:cs="Arial" w:eastAsia="Arial" w:hAnsi="Arial"/>
                <w:sz w:val="24"/>
                <w:szCs w:val="24"/>
                <w:color w:val="auto"/>
                <w:vertAlign w:val="superscript"/>
              </w:rPr>
              <w:t>(4)</w:t>
            </w:r>
          </w:p>
        </w:tc>
      </w:tr>
      <w:tr>
        <w:trPr>
          <w:trHeight w:val="189"/>
        </w:trPr>
        <w:tc>
          <w:tcPr>
            <w:tcW w:w="3280" w:type="dxa"/>
            <w:vAlign w:val="bottom"/>
            <w:tcBorders>
              <w:right w:val="single" w:sz="8" w:color="95B3D7"/>
            </w:tcBorders>
            <w:gridSpan w:val="2"/>
          </w:tcPr>
          <w:p>
            <w:pPr>
              <w:ind w:left="140"/>
              <w:spacing w:after="0"/>
              <w:rPr>
                <w:sz w:val="20"/>
                <w:szCs w:val="20"/>
                <w:color w:val="auto"/>
              </w:rPr>
            </w:pPr>
            <w:r>
              <w:rPr>
                <w:rFonts w:ascii="Arial" w:cs="Arial" w:eastAsia="Arial" w:hAnsi="Arial"/>
                <w:sz w:val="16"/>
                <w:szCs w:val="16"/>
                <w:b w:val="1"/>
                <w:bCs w:val="1"/>
                <w:color w:val="auto"/>
              </w:rPr>
              <w:t>Providing for Exculpation of Officers</w:t>
            </w:r>
          </w:p>
        </w:tc>
        <w:tc>
          <w:tcPr>
            <w:tcW w:w="3000" w:type="dxa"/>
            <w:vAlign w:val="bottom"/>
            <w:tcBorders>
              <w:right w:val="single" w:sz="8" w:color="95B3D7"/>
            </w:tcBorders>
          </w:tcPr>
          <w:p>
            <w:pPr>
              <w:ind w:left="80"/>
              <w:spacing w:after="0" w:line="189" w:lineRule="exact"/>
              <w:rPr>
                <w:sz w:val="20"/>
                <w:szCs w:val="20"/>
                <w:color w:val="auto"/>
              </w:rPr>
            </w:pPr>
            <w:r>
              <w:rPr>
                <w:rFonts w:ascii="Arial" w:cs="Arial" w:eastAsia="Arial" w:hAnsi="Arial"/>
                <w:sz w:val="14"/>
                <w:szCs w:val="14"/>
                <w:color w:val="auto"/>
              </w:rPr>
              <w:t>two-thirds percent (66</w:t>
            </w:r>
            <w:r>
              <w:rPr>
                <w:rFonts w:ascii="Arial" w:cs="Arial" w:eastAsia="Arial" w:hAnsi="Arial"/>
                <w:sz w:val="21"/>
                <w:szCs w:val="21"/>
                <w:color w:val="auto"/>
                <w:vertAlign w:val="superscript"/>
              </w:rPr>
              <w:t>2/3</w:t>
            </w:r>
            <w:r>
              <w:rPr>
                <w:rFonts w:ascii="Arial" w:cs="Arial" w:eastAsia="Arial" w:hAnsi="Arial"/>
                <w:sz w:val="14"/>
                <w:szCs w:val="14"/>
                <w:color w:val="auto"/>
              </w:rPr>
              <w:t>%) of the voting</w:t>
            </w:r>
          </w:p>
        </w:tc>
        <w:tc>
          <w:tcPr>
            <w:tcW w:w="1600" w:type="dxa"/>
            <w:vAlign w:val="bottom"/>
            <w:tcBorders>
              <w:right w:val="single" w:sz="8" w:color="95B3D7"/>
            </w:tcBorders>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360" w:type="dxa"/>
            <w:vAlign w:val="bottom"/>
          </w:tcPr>
          <w:p>
            <w:pPr>
              <w:spacing w:after="0"/>
              <w:rPr>
                <w:sz w:val="18"/>
                <w:szCs w:val="18"/>
                <w:color w:val="auto"/>
              </w:rPr>
            </w:pPr>
          </w:p>
        </w:tc>
        <w:tc>
          <w:tcPr>
            <w:tcW w:w="2920" w:type="dxa"/>
            <w:vAlign w:val="bottom"/>
            <w:tcBorders>
              <w:right w:val="single" w:sz="8" w:color="95B3D7"/>
            </w:tcBorders>
          </w:tcPr>
          <w:p>
            <w:pPr>
              <w:spacing w:after="0"/>
              <w:rPr>
                <w:sz w:val="18"/>
                <w:szCs w:val="18"/>
                <w:color w:val="auto"/>
              </w:rPr>
            </w:pPr>
          </w:p>
        </w:tc>
        <w:tc>
          <w:tcPr>
            <w:tcW w:w="30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power of all outstanding shares</w:t>
            </w:r>
          </w:p>
        </w:tc>
        <w:tc>
          <w:tcPr>
            <w:tcW w:w="1600" w:type="dxa"/>
            <w:vAlign w:val="bottom"/>
            <w:tcBorders>
              <w:right w:val="single" w:sz="8" w:color="95B3D7"/>
            </w:tcBorders>
          </w:tcPr>
          <w:p>
            <w:pPr>
              <w:spacing w:after="0"/>
              <w:rPr>
                <w:sz w:val="18"/>
                <w:szCs w:val="18"/>
                <w:color w:val="auto"/>
              </w:rPr>
            </w:pPr>
          </w:p>
        </w:tc>
        <w:tc>
          <w:tcPr>
            <w:tcW w:w="1460" w:type="dxa"/>
            <w:vAlign w:val="bottom"/>
          </w:tcPr>
          <w:p>
            <w:pPr>
              <w:spacing w:after="0"/>
              <w:rPr>
                <w:sz w:val="18"/>
                <w:szCs w:val="18"/>
                <w:color w:val="auto"/>
              </w:rPr>
            </w:pPr>
          </w:p>
        </w:tc>
      </w:tr>
      <w:tr>
        <w:trPr>
          <w:trHeight w:val="43"/>
        </w:trPr>
        <w:tc>
          <w:tcPr>
            <w:tcW w:w="360" w:type="dxa"/>
            <w:vAlign w:val="bottom"/>
            <w:tcBorders>
              <w:bottom w:val="single" w:sz="8" w:color="95B3D7"/>
            </w:tcBorders>
          </w:tcPr>
          <w:p>
            <w:pPr>
              <w:spacing w:after="0"/>
              <w:rPr>
                <w:sz w:val="3"/>
                <w:szCs w:val="3"/>
                <w:color w:val="auto"/>
              </w:rPr>
            </w:pPr>
          </w:p>
        </w:tc>
        <w:tc>
          <w:tcPr>
            <w:tcW w:w="2920" w:type="dxa"/>
            <w:vAlign w:val="bottom"/>
            <w:tcBorders>
              <w:bottom w:val="single" w:sz="8" w:color="95B3D7"/>
              <w:right w:val="single" w:sz="8" w:color="95B3D7"/>
            </w:tcBorders>
          </w:tcPr>
          <w:p>
            <w:pPr>
              <w:spacing w:after="0"/>
              <w:rPr>
                <w:sz w:val="3"/>
                <w:szCs w:val="3"/>
                <w:color w:val="auto"/>
              </w:rPr>
            </w:pPr>
          </w:p>
        </w:tc>
        <w:tc>
          <w:tcPr>
            <w:tcW w:w="3000" w:type="dxa"/>
            <w:vAlign w:val="bottom"/>
            <w:tcBorders>
              <w:bottom w:val="single" w:sz="8" w:color="95B3D7"/>
              <w:right w:val="single" w:sz="8" w:color="95B3D7"/>
            </w:tcBorders>
          </w:tcPr>
          <w:p>
            <w:pPr>
              <w:spacing w:after="0"/>
              <w:rPr>
                <w:sz w:val="3"/>
                <w:szCs w:val="3"/>
                <w:color w:val="auto"/>
              </w:rPr>
            </w:pPr>
          </w:p>
        </w:tc>
        <w:tc>
          <w:tcPr>
            <w:tcW w:w="1600" w:type="dxa"/>
            <w:vAlign w:val="bottom"/>
            <w:tcBorders>
              <w:bottom w:val="single" w:sz="8" w:color="95B3D7"/>
              <w:right w:val="single" w:sz="8" w:color="95B3D7"/>
            </w:tcBorders>
          </w:tcPr>
          <w:p>
            <w:pPr>
              <w:spacing w:after="0"/>
              <w:rPr>
                <w:sz w:val="3"/>
                <w:szCs w:val="3"/>
                <w:color w:val="auto"/>
              </w:rPr>
            </w:pPr>
          </w:p>
        </w:tc>
        <w:tc>
          <w:tcPr>
            <w:tcW w:w="1460" w:type="dxa"/>
            <w:vAlign w:val="bottom"/>
            <w:tcBorders>
              <w:bottom w:val="single" w:sz="8" w:color="95B3D7"/>
            </w:tcBorders>
          </w:tcPr>
          <w:p>
            <w:pPr>
              <w:spacing w:after="0"/>
              <w:rPr>
                <w:sz w:val="3"/>
                <w:szCs w:val="3"/>
                <w:color w:val="auto"/>
              </w:rPr>
            </w:pPr>
          </w:p>
        </w:tc>
      </w:tr>
      <w:tr>
        <w:trPr>
          <w:trHeight w:val="222"/>
        </w:trPr>
        <w:tc>
          <w:tcPr>
            <w:tcW w:w="360" w:type="dxa"/>
            <w:vAlign w:val="bottom"/>
            <w:shd w:val="clear" w:color="auto" w:fill="DBE5F1"/>
          </w:tcPr>
          <w:p>
            <w:pPr>
              <w:ind w:left="140"/>
              <w:spacing w:after="0"/>
              <w:rPr>
                <w:sz w:val="20"/>
                <w:szCs w:val="20"/>
                <w:color w:val="auto"/>
              </w:rPr>
            </w:pPr>
            <w:r>
              <w:rPr>
                <w:rFonts w:ascii="Arial" w:cs="Arial" w:eastAsia="Arial" w:hAnsi="Arial"/>
                <w:sz w:val="16"/>
                <w:szCs w:val="16"/>
                <w:b w:val="1"/>
                <w:bCs w:val="1"/>
                <w:color w:val="auto"/>
              </w:rPr>
              <w:t>(3)</w:t>
            </w:r>
          </w:p>
        </w:tc>
        <w:tc>
          <w:tcPr>
            <w:tcW w:w="2920" w:type="dxa"/>
            <w:vAlign w:val="bottom"/>
            <w:tcBorders>
              <w:right w:val="single" w:sz="8" w:color="95B3D7"/>
            </w:tcBorders>
            <w:shd w:val="clear" w:color="auto" w:fill="DBE5F1"/>
          </w:tcPr>
          <w:p>
            <w:pPr>
              <w:ind w:left="20"/>
              <w:spacing w:after="0"/>
              <w:rPr>
                <w:sz w:val="20"/>
                <w:szCs w:val="20"/>
                <w:color w:val="auto"/>
              </w:rPr>
            </w:pPr>
            <w:r>
              <w:rPr>
                <w:rFonts w:ascii="Arial" w:cs="Arial" w:eastAsia="Arial" w:hAnsi="Arial"/>
                <w:sz w:val="16"/>
                <w:szCs w:val="16"/>
                <w:b w:val="1"/>
                <w:bCs w:val="1"/>
                <w:color w:val="auto"/>
              </w:rPr>
              <w:t>Ratification of Appointment of</w:t>
            </w:r>
          </w:p>
        </w:tc>
        <w:tc>
          <w:tcPr>
            <w:tcW w:w="30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Affirmative vote of a majority of the</w:t>
            </w:r>
          </w:p>
        </w:tc>
        <w:tc>
          <w:tcPr>
            <w:tcW w:w="1600" w:type="dxa"/>
            <w:vAlign w:val="bottom"/>
            <w:tcBorders>
              <w:right w:val="single" w:sz="8" w:color="95B3D7"/>
            </w:tcBorders>
            <w:shd w:val="clear" w:color="auto" w:fill="DBE5F1"/>
          </w:tcPr>
          <w:p>
            <w:pPr>
              <w:ind w:left="260"/>
              <w:spacing w:after="0" w:line="222" w:lineRule="exact"/>
              <w:rPr>
                <w:sz w:val="20"/>
                <w:szCs w:val="20"/>
                <w:color w:val="auto"/>
              </w:rPr>
            </w:pPr>
            <w:r>
              <w:rPr>
                <w:rFonts w:ascii="Arial" w:cs="Arial" w:eastAsia="Arial" w:hAnsi="Arial"/>
                <w:sz w:val="16"/>
                <w:szCs w:val="16"/>
                <w:color w:val="auto"/>
              </w:rPr>
              <w:t>Vote “Against”</w:t>
            </w:r>
            <w:r>
              <w:rPr>
                <w:rFonts w:ascii="Arial" w:cs="Arial" w:eastAsia="Arial" w:hAnsi="Arial"/>
                <w:sz w:val="24"/>
                <w:szCs w:val="24"/>
                <w:color w:val="auto"/>
                <w:vertAlign w:val="superscript"/>
              </w:rPr>
              <w:t>(4)</w:t>
            </w:r>
          </w:p>
        </w:tc>
        <w:tc>
          <w:tcPr>
            <w:tcW w:w="14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Not applicable</w:t>
            </w:r>
          </w:p>
        </w:tc>
      </w:tr>
      <w:tr>
        <w:trPr>
          <w:trHeight w:val="189"/>
        </w:trPr>
        <w:tc>
          <w:tcPr>
            <w:tcW w:w="3280" w:type="dxa"/>
            <w:vAlign w:val="bottom"/>
            <w:tcBorders>
              <w:right w:val="single" w:sz="8" w:color="95B3D7"/>
            </w:tcBorders>
            <w:gridSpan w:val="2"/>
            <w:shd w:val="clear" w:color="auto" w:fill="DBE5F1"/>
          </w:tcPr>
          <w:p>
            <w:pPr>
              <w:ind w:left="140"/>
              <w:spacing w:after="0"/>
              <w:rPr>
                <w:sz w:val="20"/>
                <w:szCs w:val="20"/>
                <w:color w:val="auto"/>
              </w:rPr>
            </w:pPr>
            <w:r>
              <w:rPr>
                <w:rFonts w:ascii="Arial" w:cs="Arial" w:eastAsia="Arial" w:hAnsi="Arial"/>
                <w:sz w:val="16"/>
                <w:szCs w:val="16"/>
                <w:b w:val="1"/>
                <w:bCs w:val="1"/>
                <w:color w:val="auto"/>
              </w:rPr>
              <w:t>Independent Registered Public</w:t>
            </w:r>
          </w:p>
        </w:tc>
        <w:tc>
          <w:tcPr>
            <w:tcW w:w="30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voting power present in person or</w:t>
            </w:r>
          </w:p>
        </w:tc>
        <w:tc>
          <w:tcPr>
            <w:tcW w:w="1600" w:type="dxa"/>
            <w:vAlign w:val="bottom"/>
            <w:tcBorders>
              <w:right w:val="single" w:sz="8" w:color="95B3D7"/>
            </w:tcBorders>
            <w:shd w:val="clear" w:color="auto" w:fill="DBE5F1"/>
          </w:tcPr>
          <w:p>
            <w:pPr>
              <w:spacing w:after="0"/>
              <w:rPr>
                <w:sz w:val="16"/>
                <w:szCs w:val="16"/>
                <w:color w:val="auto"/>
              </w:rPr>
            </w:pPr>
          </w:p>
        </w:tc>
        <w:tc>
          <w:tcPr>
            <w:tcW w:w="1460" w:type="dxa"/>
            <w:vAlign w:val="bottom"/>
            <w:shd w:val="clear" w:color="auto" w:fill="DBE5F1"/>
          </w:tcPr>
          <w:p>
            <w:pPr>
              <w:ind w:left="160"/>
              <w:spacing w:after="0"/>
              <w:rPr>
                <w:sz w:val="20"/>
                <w:szCs w:val="20"/>
                <w:color w:val="auto"/>
              </w:rPr>
            </w:pPr>
            <w:r>
              <w:rPr>
                <w:rFonts w:ascii="Arial" w:cs="Arial" w:eastAsia="Arial" w:hAnsi="Arial"/>
                <w:sz w:val="16"/>
                <w:szCs w:val="16"/>
                <w:color w:val="auto"/>
                <w:w w:val="99"/>
              </w:rPr>
              <w:t>(brokers may vote</w:t>
            </w:r>
          </w:p>
        </w:tc>
      </w:tr>
      <w:tr>
        <w:trPr>
          <w:trHeight w:val="189"/>
        </w:trPr>
        <w:tc>
          <w:tcPr>
            <w:tcW w:w="3280" w:type="dxa"/>
            <w:vAlign w:val="bottom"/>
            <w:tcBorders>
              <w:right w:val="single" w:sz="8" w:color="95B3D7"/>
            </w:tcBorders>
            <w:gridSpan w:val="2"/>
            <w:shd w:val="clear" w:color="auto" w:fill="DBE5F1"/>
          </w:tcPr>
          <w:p>
            <w:pPr>
              <w:ind w:left="140"/>
              <w:spacing w:after="0"/>
              <w:rPr>
                <w:sz w:val="20"/>
                <w:szCs w:val="20"/>
                <w:color w:val="auto"/>
              </w:rPr>
            </w:pPr>
            <w:r>
              <w:rPr>
                <w:rFonts w:ascii="Arial" w:cs="Arial" w:eastAsia="Arial" w:hAnsi="Arial"/>
                <w:sz w:val="16"/>
                <w:szCs w:val="16"/>
                <w:b w:val="1"/>
                <w:bCs w:val="1"/>
                <w:color w:val="auto"/>
              </w:rPr>
              <w:t>Accounting Firm</w:t>
            </w:r>
          </w:p>
        </w:tc>
        <w:tc>
          <w:tcPr>
            <w:tcW w:w="30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represented by proxy at the Annual</w:t>
            </w:r>
          </w:p>
        </w:tc>
        <w:tc>
          <w:tcPr>
            <w:tcW w:w="1600" w:type="dxa"/>
            <w:vAlign w:val="bottom"/>
            <w:tcBorders>
              <w:right w:val="single" w:sz="8" w:color="95B3D7"/>
            </w:tcBorders>
            <w:shd w:val="clear" w:color="auto" w:fill="DBE5F1"/>
          </w:tcPr>
          <w:p>
            <w:pPr>
              <w:spacing w:after="0"/>
              <w:rPr>
                <w:sz w:val="16"/>
                <w:szCs w:val="16"/>
                <w:color w:val="auto"/>
              </w:rPr>
            </w:pPr>
          </w:p>
        </w:tc>
        <w:tc>
          <w:tcPr>
            <w:tcW w:w="14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uninstructed</w:t>
            </w:r>
          </w:p>
        </w:tc>
      </w:tr>
      <w:tr>
        <w:trPr>
          <w:trHeight w:val="189"/>
        </w:trPr>
        <w:tc>
          <w:tcPr>
            <w:tcW w:w="360" w:type="dxa"/>
            <w:vAlign w:val="bottom"/>
            <w:shd w:val="clear" w:color="auto" w:fill="DBE5F1"/>
          </w:tcPr>
          <w:p>
            <w:pPr>
              <w:spacing w:after="0"/>
              <w:rPr>
                <w:sz w:val="16"/>
                <w:szCs w:val="16"/>
                <w:color w:val="auto"/>
              </w:rPr>
            </w:pPr>
          </w:p>
        </w:tc>
        <w:tc>
          <w:tcPr>
            <w:tcW w:w="2920" w:type="dxa"/>
            <w:vAlign w:val="bottom"/>
            <w:tcBorders>
              <w:right w:val="single" w:sz="8" w:color="95B3D7"/>
            </w:tcBorders>
            <w:shd w:val="clear" w:color="auto" w:fill="DBE5F1"/>
          </w:tcPr>
          <w:p>
            <w:pPr>
              <w:spacing w:after="0"/>
              <w:rPr>
                <w:sz w:val="16"/>
                <w:szCs w:val="16"/>
                <w:color w:val="auto"/>
              </w:rPr>
            </w:pPr>
          </w:p>
        </w:tc>
        <w:tc>
          <w:tcPr>
            <w:tcW w:w="300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Meeting and entitled to vote on the</w:t>
            </w:r>
          </w:p>
        </w:tc>
        <w:tc>
          <w:tcPr>
            <w:tcW w:w="1600" w:type="dxa"/>
            <w:vAlign w:val="bottom"/>
            <w:tcBorders>
              <w:right w:val="single" w:sz="8" w:color="95B3D7"/>
            </w:tcBorders>
            <w:shd w:val="clear" w:color="auto" w:fill="DBE5F1"/>
          </w:tcPr>
          <w:p>
            <w:pPr>
              <w:spacing w:after="0"/>
              <w:rPr>
                <w:sz w:val="16"/>
                <w:szCs w:val="16"/>
                <w:color w:val="auto"/>
              </w:rPr>
            </w:pPr>
          </w:p>
        </w:tc>
        <w:tc>
          <w:tcPr>
            <w:tcW w:w="1460" w:type="dxa"/>
            <w:vAlign w:val="bottom"/>
            <w:shd w:val="clear" w:color="auto" w:fill="DBE5F1"/>
          </w:tcPr>
          <w:p>
            <w:pPr>
              <w:ind w:left="160"/>
              <w:spacing w:after="0"/>
              <w:rPr>
                <w:sz w:val="20"/>
                <w:szCs w:val="20"/>
                <w:color w:val="auto"/>
              </w:rPr>
            </w:pPr>
            <w:r>
              <w:rPr>
                <w:rFonts w:ascii="Arial" w:cs="Arial" w:eastAsia="Arial" w:hAnsi="Arial"/>
                <w:sz w:val="16"/>
                <w:szCs w:val="16"/>
                <w:color w:val="auto"/>
              </w:rPr>
              <w:t>shares)</w:t>
            </w:r>
          </w:p>
        </w:tc>
      </w:tr>
      <w:tr>
        <w:trPr>
          <w:trHeight w:val="262"/>
        </w:trPr>
        <w:tc>
          <w:tcPr>
            <w:tcW w:w="360" w:type="dxa"/>
            <w:vAlign w:val="bottom"/>
            <w:tcBorders>
              <w:bottom w:val="single" w:sz="8" w:color="DBE5F1"/>
            </w:tcBorders>
            <w:shd w:val="clear" w:color="auto" w:fill="DBE5F1"/>
          </w:tcPr>
          <w:p>
            <w:pPr>
              <w:spacing w:after="0"/>
              <w:rPr>
                <w:sz w:val="22"/>
                <w:szCs w:val="22"/>
                <w:color w:val="auto"/>
              </w:rPr>
            </w:pPr>
          </w:p>
        </w:tc>
        <w:tc>
          <w:tcPr>
            <w:tcW w:w="2920" w:type="dxa"/>
            <w:vAlign w:val="bottom"/>
            <w:tcBorders>
              <w:bottom w:val="single" w:sz="8" w:color="DBE5F1"/>
              <w:right w:val="single" w:sz="8" w:color="95B3D7"/>
            </w:tcBorders>
            <w:shd w:val="clear" w:color="auto" w:fill="DBE5F1"/>
          </w:tcPr>
          <w:p>
            <w:pPr>
              <w:spacing w:after="0"/>
              <w:rPr>
                <w:sz w:val="22"/>
                <w:szCs w:val="22"/>
                <w:color w:val="auto"/>
              </w:rPr>
            </w:pPr>
          </w:p>
        </w:tc>
        <w:tc>
          <w:tcPr>
            <w:tcW w:w="300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matter</w:t>
            </w:r>
          </w:p>
        </w:tc>
        <w:tc>
          <w:tcPr>
            <w:tcW w:w="1600" w:type="dxa"/>
            <w:vAlign w:val="bottom"/>
            <w:tcBorders>
              <w:bottom w:val="single" w:sz="8" w:color="DBE5F1"/>
              <w:right w:val="single" w:sz="8" w:color="95B3D7"/>
            </w:tcBorders>
            <w:shd w:val="clear" w:color="auto" w:fill="DBE5F1"/>
          </w:tcPr>
          <w:p>
            <w:pPr>
              <w:spacing w:after="0"/>
              <w:rPr>
                <w:sz w:val="22"/>
                <w:szCs w:val="22"/>
                <w:color w:val="auto"/>
              </w:rPr>
            </w:pPr>
          </w:p>
        </w:tc>
        <w:tc>
          <w:tcPr>
            <w:tcW w:w="1460" w:type="dxa"/>
            <w:vAlign w:val="bottom"/>
            <w:tcBorders>
              <w:bottom w:val="single" w:sz="8" w:color="DBE5F1"/>
            </w:tcBorders>
            <w:shd w:val="clear" w:color="auto" w:fill="DBE5F1"/>
          </w:tcPr>
          <w:p>
            <w:pPr>
              <w:spacing w:after="0"/>
              <w:rPr>
                <w:sz w:val="22"/>
                <w:szCs w:val="22"/>
                <w:color w:val="auto"/>
              </w:rPr>
            </w:pPr>
          </w:p>
        </w:tc>
      </w:tr>
      <w:tr>
        <w:trPr>
          <w:trHeight w:val="222"/>
        </w:trPr>
        <w:tc>
          <w:tcPr>
            <w:tcW w:w="360" w:type="dxa"/>
            <w:vAlign w:val="bottom"/>
            <w:tcBorders>
              <w:top w:val="single" w:sz="8" w:color="95B3D7"/>
            </w:tcBorders>
          </w:tcPr>
          <w:p>
            <w:pPr>
              <w:ind w:left="140"/>
              <w:spacing w:after="0"/>
              <w:rPr>
                <w:sz w:val="20"/>
                <w:szCs w:val="20"/>
                <w:color w:val="auto"/>
              </w:rPr>
            </w:pPr>
            <w:r>
              <w:rPr>
                <w:rFonts w:ascii="Arial" w:cs="Arial" w:eastAsia="Arial" w:hAnsi="Arial"/>
                <w:sz w:val="16"/>
                <w:szCs w:val="16"/>
                <w:b w:val="1"/>
                <w:bCs w:val="1"/>
                <w:color w:val="auto"/>
              </w:rPr>
              <w:t>(4)</w:t>
            </w:r>
          </w:p>
        </w:tc>
        <w:tc>
          <w:tcPr>
            <w:tcW w:w="2920" w:type="dxa"/>
            <w:vAlign w:val="bottom"/>
            <w:tcBorders>
              <w:top w:val="single" w:sz="8" w:color="95B3D7"/>
              <w:right w:val="single" w:sz="8" w:color="95B3D7"/>
            </w:tcBorders>
          </w:tcPr>
          <w:p>
            <w:pPr>
              <w:ind w:left="20"/>
              <w:spacing w:after="0"/>
              <w:rPr>
                <w:sz w:val="20"/>
                <w:szCs w:val="20"/>
                <w:color w:val="auto"/>
              </w:rPr>
            </w:pPr>
            <w:r>
              <w:rPr>
                <w:rFonts w:ascii="Arial" w:cs="Arial" w:eastAsia="Arial" w:hAnsi="Arial"/>
                <w:sz w:val="16"/>
                <w:szCs w:val="16"/>
                <w:b w:val="1"/>
                <w:bCs w:val="1"/>
                <w:color w:val="auto"/>
              </w:rPr>
              <w:t>Approval, on an Advisory Basis, of</w:t>
            </w:r>
          </w:p>
        </w:tc>
        <w:tc>
          <w:tcPr>
            <w:tcW w:w="3000" w:type="dxa"/>
            <w:vAlign w:val="bottom"/>
            <w:tcBorders>
              <w:top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Affirmative vote of a majority of the</w:t>
            </w:r>
          </w:p>
        </w:tc>
        <w:tc>
          <w:tcPr>
            <w:tcW w:w="1600" w:type="dxa"/>
            <w:vAlign w:val="bottom"/>
            <w:tcBorders>
              <w:top w:val="single" w:sz="8" w:color="95B3D7"/>
              <w:right w:val="single" w:sz="8" w:color="95B3D7"/>
            </w:tcBorders>
          </w:tcPr>
          <w:p>
            <w:pPr>
              <w:ind w:left="260"/>
              <w:spacing w:after="0" w:line="222" w:lineRule="exact"/>
              <w:rPr>
                <w:sz w:val="20"/>
                <w:szCs w:val="20"/>
                <w:color w:val="auto"/>
              </w:rPr>
            </w:pPr>
            <w:r>
              <w:rPr>
                <w:rFonts w:ascii="Arial" w:cs="Arial" w:eastAsia="Arial" w:hAnsi="Arial"/>
                <w:sz w:val="16"/>
                <w:szCs w:val="16"/>
                <w:color w:val="auto"/>
              </w:rPr>
              <w:t>Vote “Against”</w:t>
            </w:r>
            <w:r>
              <w:rPr>
                <w:rFonts w:ascii="Arial" w:cs="Arial" w:eastAsia="Arial" w:hAnsi="Arial"/>
                <w:sz w:val="24"/>
                <w:szCs w:val="24"/>
                <w:color w:val="auto"/>
                <w:vertAlign w:val="superscript"/>
              </w:rPr>
              <w:t>(4)</w:t>
            </w:r>
          </w:p>
        </w:tc>
        <w:tc>
          <w:tcPr>
            <w:tcW w:w="1460" w:type="dxa"/>
            <w:vAlign w:val="bottom"/>
            <w:tcBorders>
              <w:top w:val="single" w:sz="8" w:color="95B3D7"/>
            </w:tcBorders>
          </w:tcPr>
          <w:p>
            <w:pPr>
              <w:ind w:left="160"/>
              <w:spacing w:after="0"/>
              <w:rPr>
                <w:sz w:val="20"/>
                <w:szCs w:val="20"/>
                <w:color w:val="auto"/>
              </w:rPr>
            </w:pPr>
            <w:r>
              <w:rPr>
                <w:rFonts w:ascii="Arial" w:cs="Arial" w:eastAsia="Arial" w:hAnsi="Arial"/>
                <w:sz w:val="16"/>
                <w:szCs w:val="16"/>
                <w:color w:val="auto"/>
              </w:rPr>
              <w:t>No effect</w:t>
            </w:r>
          </w:p>
        </w:tc>
      </w:tr>
      <w:tr>
        <w:trPr>
          <w:trHeight w:val="189"/>
        </w:trPr>
        <w:tc>
          <w:tcPr>
            <w:tcW w:w="3280" w:type="dxa"/>
            <w:vAlign w:val="bottom"/>
            <w:tcBorders>
              <w:right w:val="single" w:sz="8" w:color="95B3D7"/>
            </w:tcBorders>
            <w:gridSpan w:val="2"/>
          </w:tcPr>
          <w:p>
            <w:pPr>
              <w:ind w:left="140"/>
              <w:spacing w:after="0"/>
              <w:rPr>
                <w:sz w:val="20"/>
                <w:szCs w:val="20"/>
                <w:color w:val="auto"/>
              </w:rPr>
            </w:pPr>
            <w:r>
              <w:rPr>
                <w:rFonts w:ascii="Arial" w:cs="Arial" w:eastAsia="Arial" w:hAnsi="Arial"/>
                <w:sz w:val="16"/>
                <w:szCs w:val="16"/>
                <w:b w:val="1"/>
                <w:bCs w:val="1"/>
                <w:color w:val="auto"/>
              </w:rPr>
              <w:t>Executive Compensation</w:t>
            </w:r>
          </w:p>
        </w:tc>
        <w:tc>
          <w:tcPr>
            <w:tcW w:w="30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voting power present in person or</w:t>
            </w:r>
          </w:p>
        </w:tc>
        <w:tc>
          <w:tcPr>
            <w:tcW w:w="1600" w:type="dxa"/>
            <w:vAlign w:val="bottom"/>
            <w:tcBorders>
              <w:right w:val="single" w:sz="8" w:color="95B3D7"/>
            </w:tcBorders>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2920" w:type="dxa"/>
            <w:vAlign w:val="bottom"/>
            <w:tcBorders>
              <w:right w:val="single" w:sz="8" w:color="95B3D7"/>
            </w:tcBorders>
          </w:tcPr>
          <w:p>
            <w:pPr>
              <w:spacing w:after="0"/>
              <w:rPr>
                <w:sz w:val="16"/>
                <w:szCs w:val="16"/>
                <w:color w:val="auto"/>
              </w:rPr>
            </w:pPr>
          </w:p>
        </w:tc>
        <w:tc>
          <w:tcPr>
            <w:tcW w:w="30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represented by proxy at the Annual</w:t>
            </w:r>
          </w:p>
        </w:tc>
        <w:tc>
          <w:tcPr>
            <w:tcW w:w="1600" w:type="dxa"/>
            <w:vAlign w:val="bottom"/>
            <w:tcBorders>
              <w:right w:val="single" w:sz="8" w:color="95B3D7"/>
            </w:tcBorders>
          </w:tcPr>
          <w:p>
            <w:pPr>
              <w:spacing w:after="0"/>
              <w:rPr>
                <w:sz w:val="16"/>
                <w:szCs w:val="16"/>
                <w:color w:val="auto"/>
              </w:rPr>
            </w:pPr>
          </w:p>
        </w:tc>
        <w:tc>
          <w:tcPr>
            <w:tcW w:w="1460" w:type="dxa"/>
            <w:vAlign w:val="bottom"/>
          </w:tcPr>
          <w:p>
            <w:pPr>
              <w:spacing w:after="0"/>
              <w:rPr>
                <w:sz w:val="16"/>
                <w:szCs w:val="16"/>
                <w:color w:val="auto"/>
              </w:rPr>
            </w:pPr>
          </w:p>
        </w:tc>
      </w:tr>
      <w:tr>
        <w:trPr>
          <w:trHeight w:val="189"/>
        </w:trPr>
        <w:tc>
          <w:tcPr>
            <w:tcW w:w="360" w:type="dxa"/>
            <w:vAlign w:val="bottom"/>
          </w:tcPr>
          <w:p>
            <w:pPr>
              <w:spacing w:after="0"/>
              <w:rPr>
                <w:sz w:val="16"/>
                <w:szCs w:val="16"/>
                <w:color w:val="auto"/>
              </w:rPr>
            </w:pPr>
          </w:p>
        </w:tc>
        <w:tc>
          <w:tcPr>
            <w:tcW w:w="2920" w:type="dxa"/>
            <w:vAlign w:val="bottom"/>
            <w:tcBorders>
              <w:right w:val="single" w:sz="8" w:color="95B3D7"/>
            </w:tcBorders>
          </w:tcPr>
          <w:p>
            <w:pPr>
              <w:spacing w:after="0"/>
              <w:rPr>
                <w:sz w:val="16"/>
                <w:szCs w:val="16"/>
                <w:color w:val="auto"/>
              </w:rPr>
            </w:pPr>
          </w:p>
        </w:tc>
        <w:tc>
          <w:tcPr>
            <w:tcW w:w="30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Meeting and entitled to vote on the</w:t>
            </w:r>
          </w:p>
        </w:tc>
        <w:tc>
          <w:tcPr>
            <w:tcW w:w="1600" w:type="dxa"/>
            <w:vAlign w:val="bottom"/>
            <w:tcBorders>
              <w:right w:val="single" w:sz="8" w:color="95B3D7"/>
            </w:tcBorders>
          </w:tcPr>
          <w:p>
            <w:pPr>
              <w:spacing w:after="0"/>
              <w:rPr>
                <w:sz w:val="16"/>
                <w:szCs w:val="16"/>
                <w:color w:val="auto"/>
              </w:rPr>
            </w:pPr>
          </w:p>
        </w:tc>
        <w:tc>
          <w:tcPr>
            <w:tcW w:w="1460" w:type="dxa"/>
            <w:vAlign w:val="bottom"/>
          </w:tcPr>
          <w:p>
            <w:pPr>
              <w:spacing w:after="0"/>
              <w:rPr>
                <w:sz w:val="16"/>
                <w:szCs w:val="16"/>
                <w:color w:val="auto"/>
              </w:rPr>
            </w:pPr>
          </w:p>
        </w:tc>
      </w:tr>
      <w:tr>
        <w:trPr>
          <w:trHeight w:val="215"/>
        </w:trPr>
        <w:tc>
          <w:tcPr>
            <w:tcW w:w="360" w:type="dxa"/>
            <w:vAlign w:val="bottom"/>
          </w:tcPr>
          <w:p>
            <w:pPr>
              <w:spacing w:after="0"/>
              <w:rPr>
                <w:sz w:val="18"/>
                <w:szCs w:val="18"/>
                <w:color w:val="auto"/>
              </w:rPr>
            </w:pPr>
          </w:p>
        </w:tc>
        <w:tc>
          <w:tcPr>
            <w:tcW w:w="2920" w:type="dxa"/>
            <w:vAlign w:val="bottom"/>
            <w:tcBorders>
              <w:right w:val="single" w:sz="8" w:color="95B3D7"/>
            </w:tcBorders>
          </w:tcPr>
          <w:p>
            <w:pPr>
              <w:spacing w:after="0"/>
              <w:rPr>
                <w:sz w:val="18"/>
                <w:szCs w:val="18"/>
                <w:color w:val="auto"/>
              </w:rPr>
            </w:pPr>
          </w:p>
        </w:tc>
        <w:tc>
          <w:tcPr>
            <w:tcW w:w="300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matter</w:t>
            </w:r>
          </w:p>
        </w:tc>
        <w:tc>
          <w:tcPr>
            <w:tcW w:w="1600" w:type="dxa"/>
            <w:vAlign w:val="bottom"/>
            <w:tcBorders>
              <w:right w:val="single" w:sz="8" w:color="95B3D7"/>
            </w:tcBorders>
          </w:tcPr>
          <w:p>
            <w:pPr>
              <w:spacing w:after="0"/>
              <w:rPr>
                <w:sz w:val="18"/>
                <w:szCs w:val="18"/>
                <w:color w:val="auto"/>
              </w:rPr>
            </w:pPr>
          </w:p>
        </w:tc>
        <w:tc>
          <w:tcPr>
            <w:tcW w:w="1460" w:type="dxa"/>
            <w:vAlign w:val="bottom"/>
          </w:tcPr>
          <w:p>
            <w:pPr>
              <w:spacing w:after="0"/>
              <w:rPr>
                <w:sz w:val="18"/>
                <w:szCs w:val="18"/>
                <w:color w:val="auto"/>
              </w:rPr>
            </w:pPr>
          </w:p>
        </w:tc>
      </w:tr>
      <w:tr>
        <w:trPr>
          <w:trHeight w:val="43"/>
        </w:trPr>
        <w:tc>
          <w:tcPr>
            <w:tcW w:w="360" w:type="dxa"/>
            <w:vAlign w:val="bottom"/>
            <w:tcBorders>
              <w:bottom w:val="single" w:sz="8" w:color="95B3D7"/>
            </w:tcBorders>
          </w:tcPr>
          <w:p>
            <w:pPr>
              <w:spacing w:after="0"/>
              <w:rPr>
                <w:sz w:val="3"/>
                <w:szCs w:val="3"/>
                <w:color w:val="auto"/>
              </w:rPr>
            </w:pPr>
          </w:p>
        </w:tc>
        <w:tc>
          <w:tcPr>
            <w:tcW w:w="2920" w:type="dxa"/>
            <w:vAlign w:val="bottom"/>
            <w:tcBorders>
              <w:bottom w:val="single" w:sz="8" w:color="95B3D7"/>
              <w:right w:val="single" w:sz="8" w:color="95B3D7"/>
            </w:tcBorders>
          </w:tcPr>
          <w:p>
            <w:pPr>
              <w:spacing w:after="0"/>
              <w:rPr>
                <w:sz w:val="3"/>
                <w:szCs w:val="3"/>
                <w:color w:val="auto"/>
              </w:rPr>
            </w:pPr>
          </w:p>
        </w:tc>
        <w:tc>
          <w:tcPr>
            <w:tcW w:w="3000" w:type="dxa"/>
            <w:vAlign w:val="bottom"/>
            <w:tcBorders>
              <w:bottom w:val="single" w:sz="8" w:color="95B3D7"/>
              <w:right w:val="single" w:sz="8" w:color="95B3D7"/>
            </w:tcBorders>
          </w:tcPr>
          <w:p>
            <w:pPr>
              <w:spacing w:after="0"/>
              <w:rPr>
                <w:sz w:val="3"/>
                <w:szCs w:val="3"/>
                <w:color w:val="auto"/>
              </w:rPr>
            </w:pPr>
          </w:p>
        </w:tc>
        <w:tc>
          <w:tcPr>
            <w:tcW w:w="1600" w:type="dxa"/>
            <w:vAlign w:val="bottom"/>
            <w:tcBorders>
              <w:bottom w:val="single" w:sz="8" w:color="95B3D7"/>
              <w:right w:val="single" w:sz="8" w:color="95B3D7"/>
            </w:tcBorders>
          </w:tcPr>
          <w:p>
            <w:pPr>
              <w:spacing w:after="0"/>
              <w:rPr>
                <w:sz w:val="3"/>
                <w:szCs w:val="3"/>
                <w:color w:val="auto"/>
              </w:rPr>
            </w:pPr>
          </w:p>
        </w:tc>
        <w:tc>
          <w:tcPr>
            <w:tcW w:w="1460" w:type="dxa"/>
            <w:vAlign w:val="bottom"/>
            <w:tcBorders>
              <w:bottom w:val="single" w:sz="8" w:color="95B3D7"/>
            </w:tcBorders>
          </w:tcPr>
          <w:p>
            <w:pPr>
              <w:spacing w:after="0"/>
              <w:rPr>
                <w:sz w:val="3"/>
                <w:szCs w:val="3"/>
                <w:color w:val="auto"/>
              </w:rPr>
            </w:pPr>
          </w:p>
        </w:tc>
      </w:tr>
    </w:tbl>
    <w:p>
      <w:pPr>
        <w:spacing w:after="0" w:line="234" w:lineRule="exact"/>
        <w:rPr>
          <w:sz w:val="20"/>
          <w:szCs w:val="20"/>
          <w:color w:val="auto"/>
        </w:rPr>
      </w:pPr>
    </w:p>
    <w:p>
      <w:pPr>
        <w:ind w:left="760" w:hanging="332"/>
        <w:spacing w:after="0"/>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Proxy cards that are signed and returned but include unmarked votes will be voted in accordance with our Board’s recommendations.</w:t>
      </w:r>
    </w:p>
    <w:p>
      <w:pPr>
        <w:spacing w:after="0" w:line="122" w:lineRule="exact"/>
        <w:rPr>
          <w:rFonts w:ascii="Arial" w:cs="Arial" w:eastAsia="Arial" w:hAnsi="Arial"/>
          <w:sz w:val="14"/>
          <w:szCs w:val="14"/>
          <w:color w:val="auto"/>
        </w:rPr>
      </w:pPr>
    </w:p>
    <w:p>
      <w:pPr>
        <w:ind w:left="760" w:right="80" w:hanging="332"/>
        <w:spacing w:after="0" w:line="229"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If you are a beneficial owner whose shares are held of record by a broker or other New York Stock Exchange (“NYSE”) member organization, you must instruct the broker how to vote your shares. If you do not provide voting instructions, your shares will not be voted on any proposal on which the broker does not have discretionary authority to vote. This is called a “broker non-vote.” A broker non-vote will not affect the outcome of the vote for Proposal 1 or Proposal 4, because they are not considered to be shares entitled to vote on these “non-routine” matters. Proposal 2 requires the affirmative approval of at least sixty-six and two-thirds percent (66</w:t>
      </w:r>
      <w:r>
        <w:rPr>
          <w:rFonts w:ascii="Arial" w:cs="Arial" w:eastAsia="Arial" w:hAnsi="Arial"/>
          <w:sz w:val="21"/>
          <w:szCs w:val="21"/>
          <w:color w:val="auto"/>
          <w:vertAlign w:val="superscript"/>
        </w:rPr>
        <w:t>2/3</w:t>
      </w:r>
      <w:r>
        <w:rPr>
          <w:rFonts w:ascii="Arial" w:cs="Arial" w:eastAsia="Arial" w:hAnsi="Arial"/>
          <w:sz w:val="14"/>
          <w:szCs w:val="14"/>
          <w:color w:val="auto"/>
        </w:rPr>
        <w:t>%) of the voting power of all outstanding shares and therefore a broker non-vote has the effect of a negative vote. Proposal 3 is a “routine” matter, and so brokers are permitted discretionary authority to vote.</w:t>
      </w:r>
    </w:p>
    <w:p>
      <w:pPr>
        <w:spacing w:after="0" w:line="189" w:lineRule="exact"/>
        <w:rPr>
          <w:rFonts w:ascii="Arial" w:cs="Arial" w:eastAsia="Arial" w:hAnsi="Arial"/>
          <w:sz w:val="14"/>
          <w:szCs w:val="14"/>
          <w:color w:val="auto"/>
        </w:rPr>
      </w:pPr>
    </w:p>
    <w:p>
      <w:pPr>
        <w:ind w:left="760" w:right="100" w:hanging="332"/>
        <w:spacing w:after="0" w:line="263"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plurality of the votes cast by the shares of common stock present or represented by proxy at the meeting and entitled to vote thereon is required to elect each nominee named herein. This means that the four nominees receiving the highest number of votes at the Annual Meeting will be elected, even if those votes do not constitute a majority of the votes cast.</w:t>
      </w:r>
    </w:p>
    <w:p>
      <w:pPr>
        <w:spacing w:after="0" w:line="78" w:lineRule="exact"/>
        <w:rPr>
          <w:rFonts w:ascii="Arial" w:cs="Arial" w:eastAsia="Arial" w:hAnsi="Arial"/>
          <w:sz w:val="14"/>
          <w:szCs w:val="14"/>
          <w:color w:val="auto"/>
        </w:rPr>
      </w:pPr>
    </w:p>
    <w:p>
      <w:pPr>
        <w:ind w:left="760" w:right="60" w:hanging="332"/>
        <w:spacing w:after="0" w:line="285" w:lineRule="auto"/>
        <w:tabs>
          <w:tab w:leader="none" w:pos="7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Abstentions will be counted as present and entitled to vote on the proposals and will therefore have the effect of a negative vote. If you hold your shares through a bank, broker or other holder of record and you do not instruct them on how to vote on this proposal, they will not have the authority to vote your shares.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is a “broker non-vote”?</w:t>
      </w:r>
    </w:p>
    <w:p>
      <w:pPr>
        <w:spacing w:after="0" w:line="21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A broker non-vote occurs when a broker holding shares for a beneficial owner does not vote on a particular proposal because the broker does not have discretionary voting power with respect to that item and has not received voting instructions from the beneficial owner, but does have discretionary voting power over other items and submits votes for those matters. As discussed above, if you hold shares through a broker or other nominee and do not provide voting instructions to your broker, your shares may not be voted with respect to certain proposals, including the proposals listed above that are not considered “routine” and therefore discretionary voting by the broker or other NYSE member is not permitted. Among the matters submitted to the vote of stockholders at the Annual Meeting, only Proposal 3 is considered a “routine” matter.</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0"/>
          </w:cols>
          <w:pgMar w:left="440" w:top="296" w:right="47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What constitutes a “quorum”?</w:t>
      </w:r>
    </w:p>
    <w:p>
      <w:pPr>
        <w:spacing w:after="0" w:line="212"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color w:val="auto"/>
        </w:rPr>
        <w:t>A “quorum” is the presence at the Annual Meeting, virtually or by proxy, of a majority of the outstanding shares entitled to vote at the Annual Meeting. Shares may be voted at the Annual Meeting by a signed proxy card, by telephone instruction, or electronically on the Internet. There must be a quorum for the Annual Meeting to be held. Abstentions and broker non-votes are counted as present and entitled to vote for purposes of determining whether a quorum exists.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When will the results of the vote be announced?</w:t>
      </w:r>
    </w:p>
    <w:p>
      <w:pPr>
        <w:spacing w:after="0" w:line="212" w:lineRule="exact"/>
        <w:rPr>
          <w:sz w:val="20"/>
          <w:szCs w:val="20"/>
          <w:color w:val="auto"/>
        </w:rPr>
      </w:pPr>
    </w:p>
    <w:p>
      <w:pPr>
        <w:ind w:right="100" w:firstLine="440"/>
        <w:spacing w:after="0" w:line="271" w:lineRule="auto"/>
        <w:rPr>
          <w:sz w:val="20"/>
          <w:szCs w:val="20"/>
          <w:color w:val="auto"/>
        </w:rPr>
      </w:pPr>
      <w:r>
        <w:rPr>
          <w:rFonts w:ascii="Arial" w:cs="Arial" w:eastAsia="Arial" w:hAnsi="Arial"/>
          <w:sz w:val="18"/>
          <w:szCs w:val="18"/>
          <w:color w:val="auto"/>
        </w:rPr>
        <w:t>The preliminary voting results will be announced at the Annual Meeting. The final voting results will be published in a Current Report on Form 8-K filed with the SEC within four business days after the Annual Meeting.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is the deadline for submitting a stockholder proposal or director nomination for the 2025 Annual Meeting?</w:t>
      </w:r>
    </w:p>
    <w:p>
      <w:pPr>
        <w:spacing w:after="0" w:line="212" w:lineRule="exact"/>
        <w:rPr>
          <w:sz w:val="20"/>
          <w:szCs w:val="20"/>
          <w:color w:val="auto"/>
        </w:rPr>
      </w:pPr>
    </w:p>
    <w:p>
      <w:pPr>
        <w:ind w:right="40" w:firstLine="440"/>
        <w:spacing w:after="0" w:line="253" w:lineRule="auto"/>
        <w:rPr>
          <w:sz w:val="20"/>
          <w:szCs w:val="20"/>
          <w:color w:val="auto"/>
        </w:rPr>
      </w:pPr>
      <w:r>
        <w:rPr>
          <w:rFonts w:ascii="Arial" w:cs="Arial" w:eastAsia="Arial" w:hAnsi="Arial"/>
          <w:sz w:val="17"/>
          <w:szCs w:val="17"/>
          <w:color w:val="auto"/>
        </w:rPr>
        <w:t>Stockholder proposals pursuant to SEC Rule 14a-8 for inclusion in the proxy statement and form of proxy for Alignment’s Annual Meeting of Stockholders to be held in 2025 must be received by us at our principal executive offices at 1100 W. Town &amp; Country Rd., Suite 1600, Orange, CA 92868 no later than the close of business on December 28, 2024. Stockholders wishing to make a director nomination or bring a proposal before the annual meeting to be held in 2025 (but not include it in our proxy materials) must provide written notice of such nomination or proposal to the General Counsel and Secretary at our principal executive offices no later than the close of business on March 9, 2025 and not earlier than the close of business on February 7, 2025, assuming we do not change the date of the 2025 annual meeting of stockholders by more than 30 days before or after the anniversary of the 2024 Annual Meeting. If we do, written notice of the proposal or nomination must be delivered by the later of (x) the tenth day following the day that public announcement of the date of the 2025 annual meeting is first made, or (y) the date which is ninety (90) days prior to the date of the 2025 annual meeting. Any stockholder proposal or director nomination must comply with the other provisions of our Amended and Restated Bylaws and be submitted in writing to the General Counsel and Secretary at our principal executive offices in the form provided for in our Amended and Restated Bylaws.</w:t>
      </w:r>
    </w:p>
    <w:p>
      <w:pPr>
        <w:spacing w:after="0" w:line="177" w:lineRule="exact"/>
        <w:rPr>
          <w:sz w:val="20"/>
          <w:szCs w:val="20"/>
          <w:color w:val="auto"/>
        </w:rPr>
      </w:pPr>
    </w:p>
    <w:p>
      <w:pPr>
        <w:ind w:firstLine="440"/>
        <w:spacing w:after="0" w:line="250" w:lineRule="auto"/>
        <w:rPr>
          <w:sz w:val="20"/>
          <w:szCs w:val="20"/>
          <w:color w:val="auto"/>
        </w:rPr>
      </w:pPr>
      <w:r>
        <w:rPr>
          <w:rFonts w:ascii="Arial" w:cs="Arial" w:eastAsia="Arial" w:hAnsi="Arial"/>
          <w:sz w:val="18"/>
          <w:szCs w:val="18"/>
          <w:color w:val="auto"/>
        </w:rPr>
        <w:t>Additionally, to comply with the SEC’s universal proxy rules, stockholders who intend to solicit proxies in support of director nominees other than the Company’s nominees must provide notice that sets forth the information required by Rule 14a-19 under the Exchange Act no later than April 8, 2025. If the date of the 2025 annual meeting changes by more than 30 calendar days before or after the anniversary of the 2024 Annual Meeting, such notice must instead be provided by the later of 60 calendar days prior to the date of the 2025 annual meeting or the 10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calendar day following public announcement by the Company of the date of the 2025 annual meeting.</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440" w:top="296" w:right="4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PROXY SUMMARY</w:t>
      </w:r>
    </w:p>
    <w:p>
      <w:pPr>
        <w:spacing w:after="0" w:line="214" w:lineRule="exact"/>
        <w:rPr>
          <w:sz w:val="20"/>
          <w:szCs w:val="20"/>
          <w:color w:val="auto"/>
        </w:rPr>
      </w:pPr>
    </w:p>
    <w:p>
      <w:pPr>
        <w:ind w:right="260" w:firstLine="440"/>
        <w:spacing w:after="0" w:line="252" w:lineRule="auto"/>
        <w:rPr>
          <w:sz w:val="20"/>
          <w:szCs w:val="20"/>
          <w:color w:val="auto"/>
        </w:rPr>
      </w:pPr>
      <w:r>
        <w:rPr>
          <w:rFonts w:ascii="Arial" w:cs="Arial" w:eastAsia="Arial" w:hAnsi="Arial"/>
          <w:sz w:val="18"/>
          <w:szCs w:val="18"/>
          <w:i w:val="1"/>
          <w:iCs w:val="1"/>
          <w:color w:val="auto"/>
        </w:rPr>
        <w:t>This summary highlights certain information contained elsewhere in our proxy statement. This summary does not contain all of the information that you should consider, and you should carefully read the entire proxy statement and our 2023 Annual Report to Stockholders before voting.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About Us</w:t>
      </w:r>
    </w:p>
    <w:p>
      <w:pPr>
        <w:spacing w:after="0" w:line="212" w:lineRule="exact"/>
        <w:rPr>
          <w:sz w:val="20"/>
          <w:szCs w:val="20"/>
          <w:color w:val="auto"/>
        </w:rPr>
      </w:pPr>
    </w:p>
    <w:p>
      <w:pPr>
        <w:ind w:right="200" w:firstLine="440"/>
        <w:spacing w:after="0" w:line="239" w:lineRule="auto"/>
        <w:rPr>
          <w:sz w:val="20"/>
          <w:szCs w:val="20"/>
          <w:color w:val="auto"/>
        </w:rPr>
      </w:pPr>
      <w:r>
        <w:rPr>
          <w:rFonts w:ascii="Arial" w:cs="Arial" w:eastAsia="Arial" w:hAnsi="Arial"/>
          <w:sz w:val="18"/>
          <w:szCs w:val="18"/>
          <w:color w:val="auto"/>
        </w:rPr>
        <w:t>Alignment is a next generation, consumer-centric platform designed to improve the health 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We combine a proprietary technology platform and a high-touch clinical model that enhances our members’ lifestyles and health outcomes while simultaneously controlling costs, which allows us to reinvest savings back into our platform and products to directly benefit the senior consumer. As of January 1, 2024, we had approximately 155,500 members enrolled in our health maintenance organization and preferred provider organization contracts in 53 markets across six states. Our ultimate goal is to bring this differentiated, advocacy-driven health care experience to millions of senior consumers in the United States and to become the most trusted senior health care brand in the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145415</wp:posOffset>
            </wp:positionV>
            <wp:extent cx="5332095" cy="3429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33209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120" w:firstLine="440"/>
        <w:spacing w:after="0" w:line="271" w:lineRule="auto"/>
        <w:rPr>
          <w:sz w:val="20"/>
          <w:szCs w:val="20"/>
          <w:color w:val="auto"/>
        </w:rPr>
      </w:pPr>
      <w:r>
        <w:rPr>
          <w:rFonts w:ascii="Arial" w:cs="Arial" w:eastAsia="Arial" w:hAnsi="Arial"/>
          <w:sz w:val="18"/>
          <w:szCs w:val="18"/>
          <w:color w:val="auto"/>
        </w:rPr>
        <w:t>Our platform was developed to align with the six core principles that we believe will be required to successfully deliver health care in the 21st century and that we believe represent our key competitive strengths. Our platform enables us to:</w:t>
      </w:r>
    </w:p>
    <w:p>
      <w:pPr>
        <w:spacing w:after="0" w:line="181" w:lineRule="exact"/>
        <w:rPr>
          <w:sz w:val="20"/>
          <w:szCs w:val="20"/>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leverage data, technology and analytics to power all aspects of our model;</w:t>
      </w:r>
    </w:p>
    <w:p>
      <w:pPr>
        <w:spacing w:after="0" w:line="129"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engage consumers directly and develop products to meet their needs;</w:t>
      </w:r>
    </w:p>
    <w:p>
      <w:pPr>
        <w:spacing w:after="0" w:line="129"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proactively manage and coordinate care for our most vulnerable members;</w:t>
      </w:r>
    </w:p>
    <w:p>
      <w:pPr>
        <w:spacing w:after="0" w:line="129"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empower providers and employ flexible care delivery models;</w:t>
      </w:r>
    </w:p>
    <w:p>
      <w:pPr>
        <w:spacing w:after="0" w:line="129"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design and deploy innovative value-based payment models; and</w:t>
      </w:r>
    </w:p>
    <w:p>
      <w:pPr>
        <w:spacing w:after="0" w:line="129" w:lineRule="exact"/>
        <w:rPr>
          <w:rFonts w:ascii="Times New Roman" w:cs="Times New Roman" w:eastAsia="Times New Roman" w:hAnsi="Times New Roman"/>
          <w:sz w:val="18"/>
          <w:szCs w:val="18"/>
          <w:color w:val="auto"/>
        </w:rPr>
      </w:pPr>
    </w:p>
    <w:p>
      <w:pPr>
        <w:ind w:left="860" w:hanging="324"/>
        <w:spacing w:after="0"/>
        <w:tabs>
          <w:tab w:leader="none" w:pos="86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color w:val="auto"/>
        </w:rPr>
        <w:t>cultivate a culture of innovation.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Voting Matters and Board Recommendations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Board Vote</w:t>
            </w:r>
          </w:p>
        </w:tc>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See</w:t>
            </w:r>
          </w:p>
        </w:tc>
      </w:tr>
      <w:tr>
        <w:trPr>
          <w:trHeight w:val="236"/>
        </w:trPr>
        <w:tc>
          <w:tcPr>
            <w:tcW w:w="1680" w:type="dxa"/>
            <w:vAlign w:val="bottom"/>
          </w:tcPr>
          <w:p>
            <w:pPr>
              <w:spacing w:after="0"/>
              <w:rPr>
                <w:sz w:val="20"/>
                <w:szCs w:val="20"/>
                <w:color w:val="auto"/>
              </w:rPr>
            </w:pPr>
          </w:p>
        </w:tc>
        <w:tc>
          <w:tcPr>
            <w:tcW w:w="2980" w:type="dxa"/>
            <w:vAlign w:val="bottom"/>
          </w:tcPr>
          <w:p>
            <w:pPr>
              <w:ind w:left="100"/>
              <w:spacing w:after="0"/>
              <w:rPr>
                <w:sz w:val="20"/>
                <w:szCs w:val="20"/>
                <w:color w:val="auto"/>
              </w:rPr>
            </w:pPr>
            <w:r>
              <w:rPr>
                <w:rFonts w:ascii="Arial" w:cs="Arial" w:eastAsia="Arial" w:hAnsi="Arial"/>
                <w:sz w:val="16"/>
                <w:szCs w:val="16"/>
                <w:b w:val="1"/>
                <w:bCs w:val="1"/>
                <w:color w:val="auto"/>
              </w:rPr>
              <w:t>Voting Matter</w:t>
            </w:r>
          </w:p>
        </w:tc>
        <w:tc>
          <w:tcPr>
            <w:tcW w:w="2860" w:type="dxa"/>
            <w:vAlign w:val="bottom"/>
          </w:tcPr>
          <w:p>
            <w:pPr>
              <w:ind w:left="80"/>
              <w:spacing w:after="0"/>
              <w:rPr>
                <w:sz w:val="20"/>
                <w:szCs w:val="20"/>
                <w:color w:val="auto"/>
              </w:rPr>
            </w:pPr>
            <w:r>
              <w:rPr>
                <w:rFonts w:ascii="Arial" w:cs="Arial" w:eastAsia="Arial" w:hAnsi="Arial"/>
                <w:sz w:val="16"/>
                <w:szCs w:val="16"/>
                <w:b w:val="1"/>
                <w:bCs w:val="1"/>
                <w:color w:val="auto"/>
              </w:rPr>
              <w:t>Vote Standard</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Recommendation</w:t>
            </w:r>
          </w:p>
        </w:tc>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Page</w:t>
            </w:r>
          </w:p>
        </w:tc>
      </w:tr>
      <w:tr>
        <w:trPr>
          <w:trHeight w:val="35"/>
        </w:trPr>
        <w:tc>
          <w:tcPr>
            <w:tcW w:w="1680" w:type="dxa"/>
            <w:vAlign w:val="bottom"/>
            <w:tcBorders>
              <w:bottom w:val="single" w:sz="8" w:color="95B3D7"/>
            </w:tcBorders>
          </w:tcPr>
          <w:p>
            <w:pPr>
              <w:spacing w:after="0"/>
              <w:rPr>
                <w:sz w:val="3"/>
                <w:szCs w:val="3"/>
                <w:color w:val="auto"/>
              </w:rPr>
            </w:pPr>
          </w:p>
        </w:tc>
        <w:tc>
          <w:tcPr>
            <w:tcW w:w="2980" w:type="dxa"/>
            <w:vAlign w:val="bottom"/>
            <w:tcBorders>
              <w:bottom w:val="single" w:sz="8" w:color="95B3D7"/>
            </w:tcBorders>
          </w:tcPr>
          <w:p>
            <w:pPr>
              <w:spacing w:after="0"/>
              <w:rPr>
                <w:sz w:val="3"/>
                <w:szCs w:val="3"/>
                <w:color w:val="auto"/>
              </w:rPr>
            </w:pPr>
          </w:p>
        </w:tc>
        <w:tc>
          <w:tcPr>
            <w:tcW w:w="2860" w:type="dxa"/>
            <w:vAlign w:val="bottom"/>
            <w:tcBorders>
              <w:bottom w:val="single" w:sz="8" w:color="95B3D7"/>
            </w:tcBorders>
          </w:tcPr>
          <w:p>
            <w:pPr>
              <w:spacing w:after="0"/>
              <w:rPr>
                <w:sz w:val="3"/>
                <w:szCs w:val="3"/>
                <w:color w:val="auto"/>
              </w:rPr>
            </w:pPr>
          </w:p>
        </w:tc>
        <w:tc>
          <w:tcPr>
            <w:tcW w:w="2860" w:type="dxa"/>
            <w:vAlign w:val="bottom"/>
            <w:tcBorders>
              <w:bottom w:val="single" w:sz="8" w:color="95B3D7"/>
            </w:tcBorders>
          </w:tcPr>
          <w:p>
            <w:pPr>
              <w:spacing w:after="0"/>
              <w:rPr>
                <w:sz w:val="3"/>
                <w:szCs w:val="3"/>
                <w:color w:val="auto"/>
              </w:rPr>
            </w:pPr>
          </w:p>
        </w:tc>
        <w:tc>
          <w:tcPr>
            <w:tcW w:w="640" w:type="dxa"/>
            <w:vAlign w:val="bottom"/>
            <w:tcBorders>
              <w:bottom w:val="single" w:sz="8" w:color="95B3D7"/>
            </w:tcBorders>
          </w:tcPr>
          <w:p>
            <w:pPr>
              <w:spacing w:after="0"/>
              <w:rPr>
                <w:sz w:val="3"/>
                <w:szCs w:val="3"/>
                <w:color w:val="auto"/>
              </w:rPr>
            </w:pPr>
          </w:p>
        </w:tc>
      </w:tr>
      <w:tr>
        <w:trPr>
          <w:trHeight w:val="309"/>
        </w:trPr>
        <w:tc>
          <w:tcPr>
            <w:tcW w:w="168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Proposal 1</w:t>
            </w:r>
          </w:p>
        </w:tc>
        <w:tc>
          <w:tcPr>
            <w:tcW w:w="2980" w:type="dxa"/>
            <w:vAlign w:val="bottom"/>
            <w:tcBorders>
              <w:bottom w:val="single" w:sz="8" w:color="DBE5F1"/>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Election of Directors</w:t>
            </w:r>
          </w:p>
        </w:tc>
        <w:tc>
          <w:tcPr>
            <w:tcW w:w="286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Plurality of votes cast</w:t>
            </w:r>
          </w:p>
        </w:tc>
        <w:tc>
          <w:tcPr>
            <w:tcW w:w="2860" w:type="dxa"/>
            <w:vAlign w:val="bottom"/>
            <w:tcBorders>
              <w:bottom w:val="single" w:sz="8" w:color="DBE5F1"/>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FOR EACH NOMINEE</w:t>
            </w:r>
          </w:p>
        </w:tc>
        <w:tc>
          <w:tcPr>
            <w:tcW w:w="640" w:type="dxa"/>
            <w:vAlign w:val="bottom"/>
            <w:tcBorders>
              <w:bottom w:val="single" w:sz="8" w:color="DBE5F1"/>
            </w:tcBorders>
            <w:shd w:val="clear" w:color="auto" w:fill="DBE5F1"/>
          </w:tcPr>
          <w:p>
            <w:pPr>
              <w:ind w:left="100"/>
              <w:spacing w:after="0"/>
              <w:rPr>
                <w:sz w:val="20"/>
                <w:szCs w:val="20"/>
                <w:color w:val="auto"/>
              </w:rPr>
            </w:pPr>
            <w:r>
              <w:rPr>
                <w:rFonts w:ascii="Arial" w:cs="Arial" w:eastAsia="Arial" w:hAnsi="Arial"/>
                <w:sz w:val="16"/>
                <w:szCs w:val="16"/>
                <w:color w:val="auto"/>
              </w:rPr>
              <w:t>13</w:t>
            </w:r>
          </w:p>
        </w:tc>
      </w:tr>
      <w:tr>
        <w:trPr>
          <w:trHeight w:val="222"/>
        </w:trPr>
        <w:tc>
          <w:tcPr>
            <w:tcW w:w="1680" w:type="dxa"/>
            <w:vAlign w:val="bottom"/>
            <w:tcBorders>
              <w:top w:val="single" w:sz="8" w:color="95B3D7"/>
              <w:right w:val="single" w:sz="8" w:color="95B3D7"/>
            </w:tcBorders>
          </w:tcPr>
          <w:p>
            <w:pPr>
              <w:ind w:left="140"/>
              <w:spacing w:after="0"/>
              <w:rPr>
                <w:sz w:val="20"/>
                <w:szCs w:val="20"/>
                <w:color w:val="auto"/>
              </w:rPr>
            </w:pPr>
            <w:r>
              <w:rPr>
                <w:rFonts w:ascii="Arial" w:cs="Arial" w:eastAsia="Arial" w:hAnsi="Arial"/>
                <w:sz w:val="16"/>
                <w:szCs w:val="16"/>
                <w:b w:val="1"/>
                <w:bCs w:val="1"/>
                <w:color w:val="auto"/>
              </w:rPr>
              <w:t>Proposal 2</w:t>
            </w:r>
          </w:p>
        </w:tc>
        <w:tc>
          <w:tcPr>
            <w:tcW w:w="2980" w:type="dxa"/>
            <w:vAlign w:val="bottom"/>
            <w:tcBorders>
              <w:top w:val="single" w:sz="8" w:color="95B3D7"/>
              <w:right w:val="single" w:sz="8" w:color="95B3D7"/>
            </w:tcBorders>
          </w:tcPr>
          <w:p>
            <w:pPr>
              <w:ind w:left="100"/>
              <w:spacing w:after="0"/>
              <w:rPr>
                <w:sz w:val="20"/>
                <w:szCs w:val="20"/>
                <w:color w:val="auto"/>
              </w:rPr>
            </w:pPr>
            <w:r>
              <w:rPr>
                <w:rFonts w:ascii="Arial" w:cs="Arial" w:eastAsia="Arial" w:hAnsi="Arial"/>
                <w:sz w:val="16"/>
                <w:szCs w:val="16"/>
                <w:color w:val="auto"/>
              </w:rPr>
              <w:t>Approval of Charter Amendment</w:t>
            </w:r>
          </w:p>
        </w:tc>
        <w:tc>
          <w:tcPr>
            <w:tcW w:w="2860" w:type="dxa"/>
            <w:vAlign w:val="bottom"/>
            <w:tcBorders>
              <w:top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Approval of sixty-six and two-thirds</w:t>
            </w:r>
          </w:p>
        </w:tc>
        <w:tc>
          <w:tcPr>
            <w:tcW w:w="2860" w:type="dxa"/>
            <w:vAlign w:val="bottom"/>
            <w:tcBorders>
              <w:top w:val="single" w:sz="8" w:color="95B3D7"/>
              <w:right w:val="single" w:sz="8" w:color="95B3D7"/>
            </w:tcBorders>
          </w:tcPr>
          <w:p>
            <w:pPr>
              <w:ind w:left="100"/>
              <w:spacing w:after="0"/>
              <w:rPr>
                <w:sz w:val="20"/>
                <w:szCs w:val="20"/>
                <w:color w:val="auto"/>
              </w:rPr>
            </w:pPr>
            <w:r>
              <w:rPr>
                <w:rFonts w:ascii="Arial" w:cs="Arial" w:eastAsia="Arial" w:hAnsi="Arial"/>
                <w:sz w:val="16"/>
                <w:szCs w:val="16"/>
                <w:color w:val="auto"/>
              </w:rPr>
              <w:t>FOR</w:t>
            </w:r>
          </w:p>
        </w:tc>
        <w:tc>
          <w:tcPr>
            <w:tcW w:w="640" w:type="dxa"/>
            <w:vAlign w:val="bottom"/>
            <w:tcBorders>
              <w:top w:val="single" w:sz="8" w:color="95B3D7"/>
            </w:tcBorders>
          </w:tcPr>
          <w:p>
            <w:pPr>
              <w:ind w:left="100"/>
              <w:spacing w:after="0"/>
              <w:rPr>
                <w:sz w:val="20"/>
                <w:szCs w:val="20"/>
                <w:color w:val="auto"/>
              </w:rPr>
            </w:pPr>
            <w:r>
              <w:rPr>
                <w:rFonts w:ascii="Arial" w:cs="Arial" w:eastAsia="Arial" w:hAnsi="Arial"/>
                <w:sz w:val="16"/>
                <w:szCs w:val="16"/>
                <w:color w:val="auto"/>
              </w:rPr>
              <w:t>81</w:t>
            </w:r>
          </w:p>
        </w:tc>
      </w:tr>
      <w:tr>
        <w:trPr>
          <w:trHeight w:val="189"/>
        </w:trPr>
        <w:tc>
          <w:tcPr>
            <w:tcW w:w="1680" w:type="dxa"/>
            <w:vAlign w:val="bottom"/>
            <w:tcBorders>
              <w:right w:val="single" w:sz="8" w:color="95B3D7"/>
            </w:tcBorders>
          </w:tcPr>
          <w:p>
            <w:pPr>
              <w:spacing w:after="0"/>
              <w:rPr>
                <w:sz w:val="16"/>
                <w:szCs w:val="16"/>
                <w:color w:val="auto"/>
              </w:rPr>
            </w:pPr>
          </w:p>
        </w:tc>
        <w:tc>
          <w:tcPr>
            <w:tcW w:w="298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Providing for Exculpation of Officers</w:t>
            </w:r>
          </w:p>
        </w:tc>
        <w:tc>
          <w:tcPr>
            <w:tcW w:w="2860" w:type="dxa"/>
            <w:vAlign w:val="bottom"/>
            <w:tcBorders>
              <w:right w:val="single" w:sz="8" w:color="95B3D7"/>
            </w:tcBorders>
          </w:tcPr>
          <w:p>
            <w:pPr>
              <w:ind w:left="80"/>
              <w:spacing w:after="0" w:line="189" w:lineRule="exact"/>
              <w:rPr>
                <w:sz w:val="20"/>
                <w:szCs w:val="20"/>
                <w:color w:val="auto"/>
              </w:rPr>
            </w:pPr>
            <w:r>
              <w:rPr>
                <w:rFonts w:ascii="Arial" w:cs="Arial" w:eastAsia="Arial" w:hAnsi="Arial"/>
                <w:sz w:val="14"/>
                <w:szCs w:val="14"/>
                <w:color w:val="auto"/>
              </w:rPr>
              <w:t>percent (66</w:t>
            </w:r>
            <w:r>
              <w:rPr>
                <w:rFonts w:ascii="Arial" w:cs="Arial" w:eastAsia="Arial" w:hAnsi="Arial"/>
                <w:sz w:val="21"/>
                <w:szCs w:val="21"/>
                <w:color w:val="auto"/>
                <w:vertAlign w:val="superscript"/>
              </w:rPr>
              <w:t>2/3</w:t>
            </w:r>
            <w:r>
              <w:rPr>
                <w:rFonts w:ascii="Arial" w:cs="Arial" w:eastAsia="Arial" w:hAnsi="Arial"/>
                <w:sz w:val="14"/>
                <w:szCs w:val="14"/>
                <w:color w:val="auto"/>
              </w:rPr>
              <w:t>%) of the voting power</w:t>
            </w:r>
          </w:p>
        </w:tc>
        <w:tc>
          <w:tcPr>
            <w:tcW w:w="2860" w:type="dxa"/>
            <w:vAlign w:val="bottom"/>
            <w:tcBorders>
              <w:right w:val="single" w:sz="8" w:color="95B3D7"/>
            </w:tcBorders>
          </w:tcPr>
          <w:p>
            <w:pPr>
              <w:spacing w:after="0"/>
              <w:rPr>
                <w:sz w:val="16"/>
                <w:szCs w:val="16"/>
                <w:color w:val="auto"/>
              </w:rPr>
            </w:pPr>
          </w:p>
        </w:tc>
        <w:tc>
          <w:tcPr>
            <w:tcW w:w="640" w:type="dxa"/>
            <w:vAlign w:val="bottom"/>
          </w:tcPr>
          <w:p>
            <w:pPr>
              <w:spacing w:after="0"/>
              <w:rPr>
                <w:sz w:val="16"/>
                <w:szCs w:val="16"/>
                <w:color w:val="auto"/>
              </w:rPr>
            </w:pPr>
          </w:p>
        </w:tc>
      </w:tr>
      <w:tr>
        <w:trPr>
          <w:trHeight w:val="215"/>
        </w:trPr>
        <w:tc>
          <w:tcPr>
            <w:tcW w:w="1680" w:type="dxa"/>
            <w:vAlign w:val="bottom"/>
            <w:tcBorders>
              <w:right w:val="single" w:sz="8" w:color="95B3D7"/>
            </w:tcBorders>
          </w:tcPr>
          <w:p>
            <w:pPr>
              <w:spacing w:after="0"/>
              <w:rPr>
                <w:sz w:val="18"/>
                <w:szCs w:val="18"/>
                <w:color w:val="auto"/>
              </w:rPr>
            </w:pPr>
          </w:p>
        </w:tc>
        <w:tc>
          <w:tcPr>
            <w:tcW w:w="2980" w:type="dxa"/>
            <w:vAlign w:val="bottom"/>
            <w:tcBorders>
              <w:right w:val="single" w:sz="8" w:color="95B3D7"/>
            </w:tcBorders>
          </w:tcPr>
          <w:p>
            <w:pPr>
              <w:spacing w:after="0"/>
              <w:rPr>
                <w:sz w:val="18"/>
                <w:szCs w:val="18"/>
                <w:color w:val="auto"/>
              </w:rPr>
            </w:pPr>
          </w:p>
        </w:tc>
        <w:tc>
          <w:tcPr>
            <w:tcW w:w="286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of all outstanding shares</w:t>
            </w:r>
          </w:p>
        </w:tc>
        <w:tc>
          <w:tcPr>
            <w:tcW w:w="2860" w:type="dxa"/>
            <w:vAlign w:val="bottom"/>
            <w:tcBorders>
              <w:right w:val="single" w:sz="8" w:color="95B3D7"/>
            </w:tcBorders>
          </w:tcPr>
          <w:p>
            <w:pPr>
              <w:spacing w:after="0"/>
              <w:rPr>
                <w:sz w:val="18"/>
                <w:szCs w:val="18"/>
                <w:color w:val="auto"/>
              </w:rPr>
            </w:pPr>
          </w:p>
        </w:tc>
        <w:tc>
          <w:tcPr>
            <w:tcW w:w="640" w:type="dxa"/>
            <w:vAlign w:val="bottom"/>
          </w:tcPr>
          <w:p>
            <w:pPr>
              <w:spacing w:after="0"/>
              <w:rPr>
                <w:sz w:val="18"/>
                <w:szCs w:val="18"/>
                <w:color w:val="auto"/>
              </w:rPr>
            </w:pPr>
          </w:p>
        </w:tc>
      </w:tr>
      <w:tr>
        <w:trPr>
          <w:trHeight w:val="56"/>
        </w:trPr>
        <w:tc>
          <w:tcPr>
            <w:tcW w:w="1680" w:type="dxa"/>
            <w:vAlign w:val="bottom"/>
            <w:tcBorders>
              <w:bottom w:val="single" w:sz="8" w:color="95B3D7"/>
              <w:right w:val="single" w:sz="8" w:color="95B3D7"/>
            </w:tcBorders>
          </w:tcPr>
          <w:p>
            <w:pPr>
              <w:spacing w:after="0"/>
              <w:rPr>
                <w:sz w:val="4"/>
                <w:szCs w:val="4"/>
                <w:color w:val="auto"/>
              </w:rPr>
            </w:pPr>
          </w:p>
        </w:tc>
        <w:tc>
          <w:tcPr>
            <w:tcW w:w="2980" w:type="dxa"/>
            <w:vAlign w:val="bottom"/>
            <w:tcBorders>
              <w:bottom w:val="single" w:sz="8" w:color="95B3D7"/>
              <w:right w:val="single" w:sz="8" w:color="95B3D7"/>
            </w:tcBorders>
          </w:tcPr>
          <w:p>
            <w:pPr>
              <w:spacing w:after="0"/>
              <w:rPr>
                <w:sz w:val="4"/>
                <w:szCs w:val="4"/>
                <w:color w:val="auto"/>
              </w:rPr>
            </w:pPr>
          </w:p>
        </w:tc>
        <w:tc>
          <w:tcPr>
            <w:tcW w:w="2860" w:type="dxa"/>
            <w:vAlign w:val="bottom"/>
            <w:tcBorders>
              <w:bottom w:val="single" w:sz="8" w:color="95B3D7"/>
              <w:right w:val="single" w:sz="8" w:color="95B3D7"/>
            </w:tcBorders>
          </w:tcPr>
          <w:p>
            <w:pPr>
              <w:spacing w:after="0"/>
              <w:rPr>
                <w:sz w:val="4"/>
                <w:szCs w:val="4"/>
                <w:color w:val="auto"/>
              </w:rPr>
            </w:pPr>
          </w:p>
        </w:tc>
        <w:tc>
          <w:tcPr>
            <w:tcW w:w="2860" w:type="dxa"/>
            <w:vAlign w:val="bottom"/>
            <w:tcBorders>
              <w:bottom w:val="single" w:sz="8" w:color="95B3D7"/>
              <w:right w:val="single" w:sz="8" w:color="95B3D7"/>
            </w:tcBorders>
          </w:tcPr>
          <w:p>
            <w:pPr>
              <w:spacing w:after="0"/>
              <w:rPr>
                <w:sz w:val="4"/>
                <w:szCs w:val="4"/>
                <w:color w:val="auto"/>
              </w:rPr>
            </w:pPr>
          </w:p>
        </w:tc>
        <w:tc>
          <w:tcPr>
            <w:tcW w:w="640" w:type="dxa"/>
            <w:vAlign w:val="bottom"/>
            <w:tcBorders>
              <w:bottom w:val="single" w:sz="8" w:color="95B3D7"/>
            </w:tcBorders>
          </w:tcPr>
          <w:p>
            <w:pPr>
              <w:spacing w:after="0"/>
              <w:rPr>
                <w:sz w:val="4"/>
                <w:szCs w:val="4"/>
                <w:color w:val="auto"/>
              </w:rPr>
            </w:pPr>
          </w:p>
        </w:tc>
      </w:tr>
      <w:tr>
        <w:trPr>
          <w:trHeight w:val="222"/>
        </w:trPr>
        <w:tc>
          <w:tcPr>
            <w:tcW w:w="16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Proposal 3</w:t>
            </w:r>
          </w:p>
        </w:tc>
        <w:tc>
          <w:tcPr>
            <w:tcW w:w="29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Ratification of Independent Registered</w:t>
            </w:r>
          </w:p>
        </w:tc>
        <w:tc>
          <w:tcPr>
            <w:tcW w:w="28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Majority of voting power present in</w:t>
            </w:r>
          </w:p>
        </w:tc>
        <w:tc>
          <w:tcPr>
            <w:tcW w:w="28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FOR</w:t>
            </w:r>
          </w:p>
        </w:tc>
        <w:tc>
          <w:tcPr>
            <w:tcW w:w="640" w:type="dxa"/>
            <w:vAlign w:val="bottom"/>
            <w:shd w:val="clear" w:color="auto" w:fill="DBE5F1"/>
          </w:tcPr>
          <w:p>
            <w:pPr>
              <w:ind w:left="100"/>
              <w:spacing w:after="0"/>
              <w:rPr>
                <w:sz w:val="20"/>
                <w:szCs w:val="20"/>
                <w:color w:val="auto"/>
              </w:rPr>
            </w:pPr>
            <w:r>
              <w:rPr>
                <w:rFonts w:ascii="Arial" w:cs="Arial" w:eastAsia="Arial" w:hAnsi="Arial"/>
                <w:sz w:val="16"/>
                <w:szCs w:val="16"/>
                <w:color w:val="auto"/>
              </w:rPr>
              <w:t>83</w:t>
            </w:r>
          </w:p>
        </w:tc>
      </w:tr>
      <w:tr>
        <w:trPr>
          <w:trHeight w:val="189"/>
        </w:trPr>
        <w:tc>
          <w:tcPr>
            <w:tcW w:w="1680" w:type="dxa"/>
            <w:vAlign w:val="bottom"/>
            <w:tcBorders>
              <w:right w:val="single" w:sz="8" w:color="95B3D7"/>
            </w:tcBorders>
            <w:shd w:val="clear" w:color="auto" w:fill="DBE5F1"/>
          </w:tcPr>
          <w:p>
            <w:pPr>
              <w:spacing w:after="0"/>
              <w:rPr>
                <w:sz w:val="16"/>
                <w:szCs w:val="16"/>
                <w:color w:val="auto"/>
              </w:rPr>
            </w:pPr>
          </w:p>
        </w:tc>
        <w:tc>
          <w:tcPr>
            <w:tcW w:w="298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Public Accounting Firm</w:t>
            </w:r>
          </w:p>
        </w:tc>
        <w:tc>
          <w:tcPr>
            <w:tcW w:w="28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person or represented by proxy at the</w:t>
            </w:r>
          </w:p>
        </w:tc>
        <w:tc>
          <w:tcPr>
            <w:tcW w:w="2860" w:type="dxa"/>
            <w:vAlign w:val="bottom"/>
            <w:tcBorders>
              <w:right w:val="single" w:sz="8" w:color="95B3D7"/>
            </w:tcBorders>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r>
      <w:tr>
        <w:trPr>
          <w:trHeight w:val="189"/>
        </w:trPr>
        <w:tc>
          <w:tcPr>
            <w:tcW w:w="1680" w:type="dxa"/>
            <w:vAlign w:val="bottom"/>
            <w:tcBorders>
              <w:right w:val="single" w:sz="8" w:color="95B3D7"/>
            </w:tcBorders>
            <w:shd w:val="clear" w:color="auto" w:fill="DBE5F1"/>
          </w:tcPr>
          <w:p>
            <w:pPr>
              <w:spacing w:after="0"/>
              <w:rPr>
                <w:sz w:val="16"/>
                <w:szCs w:val="16"/>
                <w:color w:val="auto"/>
              </w:rPr>
            </w:pPr>
          </w:p>
        </w:tc>
        <w:tc>
          <w:tcPr>
            <w:tcW w:w="2980" w:type="dxa"/>
            <w:vAlign w:val="bottom"/>
            <w:tcBorders>
              <w:right w:val="single" w:sz="8" w:color="95B3D7"/>
            </w:tcBorders>
            <w:shd w:val="clear" w:color="auto" w:fill="DBE5F1"/>
          </w:tcPr>
          <w:p>
            <w:pPr>
              <w:spacing w:after="0"/>
              <w:rPr>
                <w:sz w:val="16"/>
                <w:szCs w:val="16"/>
                <w:color w:val="auto"/>
              </w:rPr>
            </w:pPr>
          </w:p>
        </w:tc>
        <w:tc>
          <w:tcPr>
            <w:tcW w:w="2860" w:type="dxa"/>
            <w:vAlign w:val="bottom"/>
            <w:tcBorders>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Annual Meeting and entitled to vote</w:t>
            </w:r>
          </w:p>
        </w:tc>
        <w:tc>
          <w:tcPr>
            <w:tcW w:w="2860" w:type="dxa"/>
            <w:vAlign w:val="bottom"/>
            <w:tcBorders>
              <w:right w:val="single" w:sz="8" w:color="95B3D7"/>
            </w:tcBorders>
            <w:shd w:val="clear" w:color="auto" w:fill="DBE5F1"/>
          </w:tcPr>
          <w:p>
            <w:pPr>
              <w:spacing w:after="0"/>
              <w:rPr>
                <w:sz w:val="16"/>
                <w:szCs w:val="16"/>
                <w:color w:val="auto"/>
              </w:rPr>
            </w:pPr>
          </w:p>
        </w:tc>
        <w:tc>
          <w:tcPr>
            <w:tcW w:w="640" w:type="dxa"/>
            <w:vAlign w:val="bottom"/>
            <w:shd w:val="clear" w:color="auto" w:fill="DBE5F1"/>
          </w:tcPr>
          <w:p>
            <w:pPr>
              <w:spacing w:after="0"/>
              <w:rPr>
                <w:sz w:val="16"/>
                <w:szCs w:val="16"/>
                <w:color w:val="auto"/>
              </w:rPr>
            </w:pPr>
          </w:p>
        </w:tc>
      </w:tr>
      <w:tr>
        <w:trPr>
          <w:trHeight w:val="251"/>
        </w:trPr>
        <w:tc>
          <w:tcPr>
            <w:tcW w:w="1680" w:type="dxa"/>
            <w:vAlign w:val="bottom"/>
            <w:tcBorders>
              <w:bottom w:val="single" w:sz="8" w:color="DBE5F1"/>
              <w:right w:val="single" w:sz="8" w:color="95B3D7"/>
            </w:tcBorders>
            <w:shd w:val="clear" w:color="auto" w:fill="DBE5F1"/>
          </w:tcPr>
          <w:p>
            <w:pPr>
              <w:spacing w:after="0"/>
              <w:rPr>
                <w:sz w:val="21"/>
                <w:szCs w:val="21"/>
                <w:color w:val="auto"/>
              </w:rPr>
            </w:pPr>
          </w:p>
        </w:tc>
        <w:tc>
          <w:tcPr>
            <w:tcW w:w="2980" w:type="dxa"/>
            <w:vAlign w:val="bottom"/>
            <w:tcBorders>
              <w:bottom w:val="single" w:sz="8" w:color="DBE5F1"/>
              <w:right w:val="single" w:sz="8" w:color="95B3D7"/>
            </w:tcBorders>
            <w:shd w:val="clear" w:color="auto" w:fill="DBE5F1"/>
          </w:tcPr>
          <w:p>
            <w:pPr>
              <w:spacing w:after="0"/>
              <w:rPr>
                <w:sz w:val="21"/>
                <w:szCs w:val="21"/>
                <w:color w:val="auto"/>
              </w:rPr>
            </w:pPr>
          </w:p>
        </w:tc>
        <w:tc>
          <w:tcPr>
            <w:tcW w:w="2860" w:type="dxa"/>
            <w:vAlign w:val="bottom"/>
            <w:tcBorders>
              <w:bottom w:val="single" w:sz="8" w:color="DBE5F1"/>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on the matter</w:t>
            </w:r>
          </w:p>
        </w:tc>
        <w:tc>
          <w:tcPr>
            <w:tcW w:w="2860" w:type="dxa"/>
            <w:vAlign w:val="bottom"/>
            <w:tcBorders>
              <w:bottom w:val="single" w:sz="8" w:color="DBE5F1"/>
              <w:right w:val="single" w:sz="8" w:color="95B3D7"/>
            </w:tcBorders>
            <w:shd w:val="clear" w:color="auto" w:fill="DBE5F1"/>
          </w:tcPr>
          <w:p>
            <w:pPr>
              <w:spacing w:after="0"/>
              <w:rPr>
                <w:sz w:val="21"/>
                <w:szCs w:val="21"/>
                <w:color w:val="auto"/>
              </w:rPr>
            </w:pPr>
          </w:p>
        </w:tc>
        <w:tc>
          <w:tcPr>
            <w:tcW w:w="640" w:type="dxa"/>
            <w:vAlign w:val="bottom"/>
            <w:tcBorders>
              <w:bottom w:val="single" w:sz="8" w:color="DBE5F1"/>
            </w:tcBorders>
            <w:shd w:val="clear" w:color="auto" w:fill="DBE5F1"/>
          </w:tcPr>
          <w:p>
            <w:pPr>
              <w:spacing w:after="0"/>
              <w:rPr>
                <w:sz w:val="21"/>
                <w:szCs w:val="21"/>
                <w:color w:val="auto"/>
              </w:rPr>
            </w:pPr>
          </w:p>
        </w:tc>
      </w:tr>
      <w:tr>
        <w:trPr>
          <w:trHeight w:val="20"/>
        </w:trPr>
        <w:tc>
          <w:tcPr>
            <w:tcW w:w="1680" w:type="dxa"/>
            <w:vAlign w:val="bottom"/>
            <w:tcBorders>
              <w:right w:val="single" w:sz="8" w:color="95B3D7"/>
            </w:tcBorders>
            <w:shd w:val="clear" w:color="auto" w:fill="95B3D7"/>
          </w:tcPr>
          <w:p>
            <w:pPr>
              <w:spacing w:after="0" w:line="20" w:lineRule="exact"/>
              <w:rPr>
                <w:sz w:val="1"/>
                <w:szCs w:val="1"/>
                <w:color w:val="auto"/>
              </w:rPr>
            </w:pPr>
          </w:p>
        </w:tc>
        <w:tc>
          <w:tcPr>
            <w:tcW w:w="2980" w:type="dxa"/>
            <w:vAlign w:val="bottom"/>
            <w:tcBorders>
              <w:right w:val="single" w:sz="8" w:color="95B3D7"/>
            </w:tcBorders>
            <w:shd w:val="clear" w:color="auto" w:fill="95B3D7"/>
          </w:tcPr>
          <w:p>
            <w:pPr>
              <w:spacing w:after="0" w:line="20" w:lineRule="exact"/>
              <w:rPr>
                <w:sz w:val="1"/>
                <w:szCs w:val="1"/>
                <w:color w:val="auto"/>
              </w:rPr>
            </w:pPr>
          </w:p>
        </w:tc>
        <w:tc>
          <w:tcPr>
            <w:tcW w:w="2860" w:type="dxa"/>
            <w:vAlign w:val="bottom"/>
            <w:tcBorders>
              <w:right w:val="single" w:sz="8" w:color="95B3D7"/>
            </w:tcBorders>
            <w:shd w:val="clear" w:color="auto" w:fill="95B3D7"/>
          </w:tcPr>
          <w:p>
            <w:pPr>
              <w:spacing w:after="0" w:line="20" w:lineRule="exact"/>
              <w:rPr>
                <w:sz w:val="1"/>
                <w:szCs w:val="1"/>
                <w:color w:val="auto"/>
              </w:rPr>
            </w:pPr>
          </w:p>
        </w:tc>
        <w:tc>
          <w:tcPr>
            <w:tcW w:w="2860" w:type="dxa"/>
            <w:vAlign w:val="bottom"/>
            <w:tcBorders>
              <w:right w:val="single" w:sz="8" w:color="95B3D7"/>
            </w:tcBorders>
            <w:shd w:val="clear" w:color="auto" w:fill="95B3D7"/>
          </w:tcPr>
          <w:p>
            <w:pPr>
              <w:spacing w:after="0" w:line="20" w:lineRule="exact"/>
              <w:rPr>
                <w:sz w:val="1"/>
                <w:szCs w:val="1"/>
                <w:color w:val="auto"/>
              </w:rPr>
            </w:pPr>
          </w:p>
        </w:tc>
        <w:tc>
          <w:tcPr>
            <w:tcW w:w="640" w:type="dxa"/>
            <w:vAlign w:val="bottom"/>
            <w:shd w:val="clear" w:color="auto" w:fill="95B3D7"/>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20"/>
          </w:cols>
          <w:pgMar w:left="440" w:top="296" w:right="4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9"/>
        </w:trPr>
        <w:tc>
          <w:tcPr>
            <w:tcW w:w="168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Board Vote</w:t>
            </w:r>
          </w:p>
        </w:tc>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See</w:t>
            </w:r>
          </w:p>
        </w:tc>
      </w:tr>
      <w:tr>
        <w:trPr>
          <w:trHeight w:val="236"/>
        </w:trPr>
        <w:tc>
          <w:tcPr>
            <w:tcW w:w="1680" w:type="dxa"/>
            <w:vAlign w:val="bottom"/>
          </w:tcPr>
          <w:p>
            <w:pPr>
              <w:spacing w:after="0"/>
              <w:rPr>
                <w:sz w:val="20"/>
                <w:szCs w:val="20"/>
                <w:color w:val="auto"/>
              </w:rPr>
            </w:pPr>
          </w:p>
        </w:tc>
        <w:tc>
          <w:tcPr>
            <w:tcW w:w="2980" w:type="dxa"/>
            <w:vAlign w:val="bottom"/>
          </w:tcPr>
          <w:p>
            <w:pPr>
              <w:ind w:left="100"/>
              <w:spacing w:after="0"/>
              <w:rPr>
                <w:sz w:val="20"/>
                <w:szCs w:val="20"/>
                <w:color w:val="auto"/>
              </w:rPr>
            </w:pPr>
            <w:r>
              <w:rPr>
                <w:rFonts w:ascii="Arial" w:cs="Arial" w:eastAsia="Arial" w:hAnsi="Arial"/>
                <w:sz w:val="16"/>
                <w:szCs w:val="16"/>
                <w:b w:val="1"/>
                <w:bCs w:val="1"/>
                <w:color w:val="auto"/>
              </w:rPr>
              <w:t>Voting Matter</w:t>
            </w:r>
          </w:p>
        </w:tc>
        <w:tc>
          <w:tcPr>
            <w:tcW w:w="2860" w:type="dxa"/>
            <w:vAlign w:val="bottom"/>
          </w:tcPr>
          <w:p>
            <w:pPr>
              <w:ind w:left="80"/>
              <w:spacing w:after="0"/>
              <w:rPr>
                <w:sz w:val="20"/>
                <w:szCs w:val="20"/>
                <w:color w:val="auto"/>
              </w:rPr>
            </w:pPr>
            <w:r>
              <w:rPr>
                <w:rFonts w:ascii="Arial" w:cs="Arial" w:eastAsia="Arial" w:hAnsi="Arial"/>
                <w:sz w:val="16"/>
                <w:szCs w:val="16"/>
                <w:b w:val="1"/>
                <w:bCs w:val="1"/>
                <w:color w:val="auto"/>
              </w:rPr>
              <w:t>Vote Standard</w:t>
            </w:r>
          </w:p>
        </w:tc>
        <w:tc>
          <w:tcPr>
            <w:tcW w:w="2860" w:type="dxa"/>
            <w:vAlign w:val="bottom"/>
          </w:tcPr>
          <w:p>
            <w:pPr>
              <w:ind w:left="100"/>
              <w:spacing w:after="0"/>
              <w:rPr>
                <w:sz w:val="20"/>
                <w:szCs w:val="20"/>
                <w:color w:val="auto"/>
              </w:rPr>
            </w:pPr>
            <w:r>
              <w:rPr>
                <w:rFonts w:ascii="Arial" w:cs="Arial" w:eastAsia="Arial" w:hAnsi="Arial"/>
                <w:sz w:val="16"/>
                <w:szCs w:val="16"/>
                <w:b w:val="1"/>
                <w:bCs w:val="1"/>
                <w:color w:val="auto"/>
              </w:rPr>
              <w:t>Recommendation</w:t>
            </w:r>
          </w:p>
        </w:tc>
        <w:tc>
          <w:tcPr>
            <w:tcW w:w="640" w:type="dxa"/>
            <w:vAlign w:val="bottom"/>
          </w:tcPr>
          <w:p>
            <w:pPr>
              <w:ind w:left="100"/>
              <w:spacing w:after="0"/>
              <w:rPr>
                <w:sz w:val="20"/>
                <w:szCs w:val="20"/>
                <w:color w:val="auto"/>
              </w:rPr>
            </w:pPr>
            <w:r>
              <w:rPr>
                <w:rFonts w:ascii="Arial" w:cs="Arial" w:eastAsia="Arial" w:hAnsi="Arial"/>
                <w:sz w:val="16"/>
                <w:szCs w:val="16"/>
                <w:b w:val="1"/>
                <w:bCs w:val="1"/>
                <w:color w:val="auto"/>
              </w:rPr>
              <w:t>Page</w:t>
            </w:r>
          </w:p>
        </w:tc>
      </w:tr>
      <w:tr>
        <w:trPr>
          <w:trHeight w:val="34"/>
        </w:trPr>
        <w:tc>
          <w:tcPr>
            <w:tcW w:w="1680" w:type="dxa"/>
            <w:vAlign w:val="bottom"/>
            <w:tcBorders>
              <w:bottom w:val="single" w:sz="8" w:color="95B3D7"/>
            </w:tcBorders>
          </w:tcPr>
          <w:p>
            <w:pPr>
              <w:spacing w:after="0"/>
              <w:rPr>
                <w:sz w:val="3"/>
                <w:szCs w:val="3"/>
                <w:color w:val="auto"/>
              </w:rPr>
            </w:pPr>
          </w:p>
        </w:tc>
        <w:tc>
          <w:tcPr>
            <w:tcW w:w="2980" w:type="dxa"/>
            <w:vAlign w:val="bottom"/>
            <w:tcBorders>
              <w:bottom w:val="single" w:sz="8" w:color="95B3D7"/>
            </w:tcBorders>
          </w:tcPr>
          <w:p>
            <w:pPr>
              <w:spacing w:after="0"/>
              <w:rPr>
                <w:sz w:val="3"/>
                <w:szCs w:val="3"/>
                <w:color w:val="auto"/>
              </w:rPr>
            </w:pPr>
          </w:p>
        </w:tc>
        <w:tc>
          <w:tcPr>
            <w:tcW w:w="2860" w:type="dxa"/>
            <w:vAlign w:val="bottom"/>
            <w:tcBorders>
              <w:bottom w:val="single" w:sz="8" w:color="95B3D7"/>
            </w:tcBorders>
          </w:tcPr>
          <w:p>
            <w:pPr>
              <w:spacing w:after="0"/>
              <w:rPr>
                <w:sz w:val="3"/>
                <w:szCs w:val="3"/>
                <w:color w:val="auto"/>
              </w:rPr>
            </w:pPr>
          </w:p>
        </w:tc>
        <w:tc>
          <w:tcPr>
            <w:tcW w:w="2860" w:type="dxa"/>
            <w:vAlign w:val="bottom"/>
            <w:tcBorders>
              <w:bottom w:val="single" w:sz="8" w:color="95B3D7"/>
            </w:tcBorders>
          </w:tcPr>
          <w:p>
            <w:pPr>
              <w:spacing w:after="0"/>
              <w:rPr>
                <w:sz w:val="3"/>
                <w:szCs w:val="3"/>
                <w:color w:val="auto"/>
              </w:rPr>
            </w:pPr>
          </w:p>
        </w:tc>
        <w:tc>
          <w:tcPr>
            <w:tcW w:w="640" w:type="dxa"/>
            <w:vAlign w:val="bottom"/>
            <w:tcBorders>
              <w:bottom w:val="single" w:sz="8" w:color="95B3D7"/>
            </w:tcBorders>
          </w:tcPr>
          <w:p>
            <w:pPr>
              <w:spacing w:after="0"/>
              <w:rPr>
                <w:sz w:val="3"/>
                <w:szCs w:val="3"/>
                <w:color w:val="auto"/>
              </w:rPr>
            </w:pPr>
          </w:p>
        </w:tc>
      </w:tr>
      <w:tr>
        <w:trPr>
          <w:trHeight w:val="209"/>
        </w:trPr>
        <w:tc>
          <w:tcPr>
            <w:tcW w:w="1680" w:type="dxa"/>
            <w:vAlign w:val="bottom"/>
            <w:tcBorders>
              <w:right w:val="single" w:sz="8" w:color="95B3D7"/>
            </w:tcBorders>
          </w:tcPr>
          <w:p>
            <w:pPr>
              <w:ind w:left="140"/>
              <w:spacing w:after="0"/>
              <w:rPr>
                <w:sz w:val="20"/>
                <w:szCs w:val="20"/>
                <w:color w:val="auto"/>
              </w:rPr>
            </w:pPr>
            <w:r>
              <w:rPr>
                <w:rFonts w:ascii="Arial" w:cs="Arial" w:eastAsia="Arial" w:hAnsi="Arial"/>
                <w:sz w:val="16"/>
                <w:szCs w:val="16"/>
                <w:b w:val="1"/>
                <w:bCs w:val="1"/>
                <w:color w:val="auto"/>
              </w:rPr>
              <w:t>Proposal 4</w:t>
            </w:r>
          </w:p>
        </w:tc>
        <w:tc>
          <w:tcPr>
            <w:tcW w:w="298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Non-Binding, Advisory Vote on</w:t>
            </w:r>
          </w:p>
        </w:tc>
        <w:tc>
          <w:tcPr>
            <w:tcW w:w="286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Majority of voting power present in</w:t>
            </w:r>
          </w:p>
        </w:tc>
        <w:tc>
          <w:tcPr>
            <w:tcW w:w="28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FOR</w:t>
            </w:r>
          </w:p>
        </w:tc>
        <w:tc>
          <w:tcPr>
            <w:tcW w:w="640" w:type="dxa"/>
            <w:vAlign w:val="bottom"/>
          </w:tcPr>
          <w:p>
            <w:pPr>
              <w:ind w:left="100"/>
              <w:spacing w:after="0"/>
              <w:rPr>
                <w:sz w:val="20"/>
                <w:szCs w:val="20"/>
                <w:color w:val="auto"/>
              </w:rPr>
            </w:pPr>
            <w:r>
              <w:rPr>
                <w:rFonts w:ascii="Arial" w:cs="Arial" w:eastAsia="Arial" w:hAnsi="Arial"/>
                <w:sz w:val="16"/>
                <w:szCs w:val="16"/>
                <w:color w:val="auto"/>
              </w:rPr>
              <w:t>86</w:t>
            </w:r>
          </w:p>
        </w:tc>
      </w:tr>
      <w:tr>
        <w:trPr>
          <w:trHeight w:val="189"/>
        </w:trPr>
        <w:tc>
          <w:tcPr>
            <w:tcW w:w="1680" w:type="dxa"/>
            <w:vAlign w:val="bottom"/>
            <w:tcBorders>
              <w:right w:val="single" w:sz="8" w:color="95B3D7"/>
            </w:tcBorders>
          </w:tcPr>
          <w:p>
            <w:pPr>
              <w:spacing w:after="0"/>
              <w:rPr>
                <w:sz w:val="16"/>
                <w:szCs w:val="16"/>
                <w:color w:val="auto"/>
              </w:rPr>
            </w:pPr>
          </w:p>
        </w:tc>
        <w:tc>
          <w:tcPr>
            <w:tcW w:w="298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Executive Compensation</w:t>
            </w:r>
          </w:p>
        </w:tc>
        <w:tc>
          <w:tcPr>
            <w:tcW w:w="286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person or represented by proxy at the</w:t>
            </w:r>
          </w:p>
        </w:tc>
        <w:tc>
          <w:tcPr>
            <w:tcW w:w="2860" w:type="dxa"/>
            <w:vAlign w:val="bottom"/>
            <w:tcBorders>
              <w:right w:val="single" w:sz="8" w:color="95B3D7"/>
            </w:tcBorders>
          </w:tcPr>
          <w:p>
            <w:pPr>
              <w:spacing w:after="0"/>
              <w:rPr>
                <w:sz w:val="16"/>
                <w:szCs w:val="16"/>
                <w:color w:val="auto"/>
              </w:rPr>
            </w:pPr>
          </w:p>
        </w:tc>
        <w:tc>
          <w:tcPr>
            <w:tcW w:w="640" w:type="dxa"/>
            <w:vAlign w:val="bottom"/>
          </w:tcPr>
          <w:p>
            <w:pPr>
              <w:spacing w:after="0"/>
              <w:rPr>
                <w:sz w:val="16"/>
                <w:szCs w:val="16"/>
                <w:color w:val="auto"/>
              </w:rPr>
            </w:pPr>
          </w:p>
        </w:tc>
      </w:tr>
      <w:tr>
        <w:trPr>
          <w:trHeight w:val="189"/>
        </w:trPr>
        <w:tc>
          <w:tcPr>
            <w:tcW w:w="1680" w:type="dxa"/>
            <w:vAlign w:val="bottom"/>
            <w:tcBorders>
              <w:right w:val="single" w:sz="8" w:color="95B3D7"/>
            </w:tcBorders>
          </w:tcPr>
          <w:p>
            <w:pPr>
              <w:spacing w:after="0"/>
              <w:rPr>
                <w:sz w:val="16"/>
                <w:szCs w:val="16"/>
                <w:color w:val="auto"/>
              </w:rPr>
            </w:pPr>
          </w:p>
        </w:tc>
        <w:tc>
          <w:tcPr>
            <w:tcW w:w="2980" w:type="dxa"/>
            <w:vAlign w:val="bottom"/>
            <w:tcBorders>
              <w:right w:val="single" w:sz="8" w:color="95B3D7"/>
            </w:tcBorders>
          </w:tcPr>
          <w:p>
            <w:pPr>
              <w:spacing w:after="0"/>
              <w:rPr>
                <w:sz w:val="16"/>
                <w:szCs w:val="16"/>
                <w:color w:val="auto"/>
              </w:rPr>
            </w:pPr>
          </w:p>
        </w:tc>
        <w:tc>
          <w:tcPr>
            <w:tcW w:w="2860" w:type="dxa"/>
            <w:vAlign w:val="bottom"/>
            <w:tcBorders>
              <w:right w:val="single" w:sz="8" w:color="95B3D7"/>
            </w:tcBorders>
          </w:tcPr>
          <w:p>
            <w:pPr>
              <w:ind w:left="80"/>
              <w:spacing w:after="0"/>
              <w:rPr>
                <w:sz w:val="20"/>
                <w:szCs w:val="20"/>
                <w:color w:val="auto"/>
              </w:rPr>
            </w:pPr>
            <w:r>
              <w:rPr>
                <w:rFonts w:ascii="Arial" w:cs="Arial" w:eastAsia="Arial" w:hAnsi="Arial"/>
                <w:sz w:val="16"/>
                <w:szCs w:val="16"/>
                <w:color w:val="auto"/>
              </w:rPr>
              <w:t>Annual Meeting and entitled to vote</w:t>
            </w:r>
          </w:p>
        </w:tc>
        <w:tc>
          <w:tcPr>
            <w:tcW w:w="2860" w:type="dxa"/>
            <w:vAlign w:val="bottom"/>
            <w:tcBorders>
              <w:right w:val="single" w:sz="8" w:color="95B3D7"/>
            </w:tcBorders>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1680" w:type="dxa"/>
            <w:vAlign w:val="bottom"/>
            <w:tcBorders>
              <w:bottom w:val="single" w:sz="8" w:color="95B3D7"/>
              <w:right w:val="single" w:sz="8" w:color="95B3D7"/>
            </w:tcBorders>
          </w:tcPr>
          <w:p>
            <w:pPr>
              <w:spacing w:after="0"/>
              <w:rPr>
                <w:sz w:val="17"/>
                <w:szCs w:val="17"/>
                <w:color w:val="auto"/>
              </w:rPr>
            </w:pPr>
          </w:p>
        </w:tc>
        <w:tc>
          <w:tcPr>
            <w:tcW w:w="2980" w:type="dxa"/>
            <w:vAlign w:val="bottom"/>
            <w:tcBorders>
              <w:bottom w:val="single" w:sz="8" w:color="95B3D7"/>
              <w:right w:val="single" w:sz="8" w:color="95B3D7"/>
            </w:tcBorders>
          </w:tcPr>
          <w:p>
            <w:pPr>
              <w:spacing w:after="0"/>
              <w:rPr>
                <w:sz w:val="17"/>
                <w:szCs w:val="17"/>
                <w:color w:val="auto"/>
              </w:rPr>
            </w:pPr>
          </w:p>
        </w:tc>
        <w:tc>
          <w:tcPr>
            <w:tcW w:w="286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on the matter</w:t>
            </w:r>
          </w:p>
        </w:tc>
        <w:tc>
          <w:tcPr>
            <w:tcW w:w="2860" w:type="dxa"/>
            <w:vAlign w:val="bottom"/>
            <w:tcBorders>
              <w:bottom w:val="single" w:sz="8" w:color="95B3D7"/>
              <w:right w:val="single" w:sz="8" w:color="95B3D7"/>
            </w:tcBorders>
          </w:tcPr>
          <w:p>
            <w:pPr>
              <w:spacing w:after="0"/>
              <w:rPr>
                <w:sz w:val="17"/>
                <w:szCs w:val="17"/>
                <w:color w:val="auto"/>
              </w:rPr>
            </w:pPr>
          </w:p>
        </w:tc>
        <w:tc>
          <w:tcPr>
            <w:tcW w:w="640" w:type="dxa"/>
            <w:vAlign w:val="bottom"/>
            <w:tcBorders>
              <w:bottom w:val="single" w:sz="8" w:color="95B3D7"/>
            </w:tcBorders>
          </w:tcPr>
          <w:p>
            <w:pPr>
              <w:spacing w:after="0"/>
              <w:rPr>
                <w:sz w:val="17"/>
                <w:szCs w:val="17"/>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1F497D"/>
        </w:rPr>
        <w:t>Our Director Nominees</w:t>
      </w:r>
    </w:p>
    <w:p>
      <w:pPr>
        <w:spacing w:after="0" w:line="212" w:lineRule="exact"/>
        <w:rPr>
          <w:sz w:val="20"/>
          <w:szCs w:val="20"/>
          <w:color w:val="auto"/>
        </w:rPr>
      </w:pPr>
    </w:p>
    <w:p>
      <w:pPr>
        <w:ind w:right="440" w:firstLine="440"/>
        <w:spacing w:after="0" w:line="253" w:lineRule="auto"/>
        <w:rPr>
          <w:sz w:val="20"/>
          <w:szCs w:val="20"/>
          <w:color w:val="auto"/>
        </w:rPr>
      </w:pPr>
      <w:r>
        <w:rPr>
          <w:rFonts w:ascii="Arial" w:cs="Arial" w:eastAsia="Arial" w:hAnsi="Arial"/>
          <w:sz w:val="18"/>
          <w:szCs w:val="18"/>
          <w:color w:val="auto"/>
        </w:rPr>
        <w:t>You are being asked to vote on the election of the four Class III Directors listed below. For additional information about each nominee’s background and experience, please see “</w:t>
      </w:r>
      <w:r>
        <w:rPr>
          <w:rFonts w:ascii="Arial" w:cs="Arial" w:eastAsia="Arial" w:hAnsi="Arial"/>
          <w:sz w:val="18"/>
          <w:szCs w:val="18"/>
          <w:i w:val="1"/>
          <w:iCs w:val="1"/>
          <w:color w:val="auto"/>
        </w:rPr>
        <w:t>Proposal 1 – Election of Directors—Director Nominees to Serve for a Three-Year</w:t>
      </w:r>
      <w:r>
        <w:rPr>
          <w:rFonts w:ascii="Arial" w:cs="Arial" w:eastAsia="Arial" w:hAnsi="Arial"/>
          <w:sz w:val="18"/>
          <w:szCs w:val="18"/>
          <w:color w:val="auto"/>
        </w:rPr>
        <w:t xml:space="preserve"> </w:t>
      </w:r>
      <w:r>
        <w:rPr>
          <w:rFonts w:ascii="Arial" w:cs="Arial" w:eastAsia="Arial" w:hAnsi="Arial"/>
          <w:sz w:val="18"/>
          <w:szCs w:val="18"/>
          <w:i w:val="1"/>
          <w:iCs w:val="1"/>
          <w:color w:val="auto"/>
        </w:rPr>
        <w:t>Term Expiring at the 2027 Annual Meeting</w:t>
      </w:r>
      <w:r>
        <w:rPr>
          <w:rFonts w:ascii="Arial" w:cs="Arial" w:eastAsia="Arial" w:hAnsi="Arial"/>
          <w:sz w:val="18"/>
          <w:szCs w:val="18"/>
          <w:color w:val="auto"/>
        </w:rPr>
        <w:t>” beginning on page 13.</w:t>
      </w:r>
    </w:p>
    <w:p>
      <w:pPr>
        <w:spacing w:after="0" w:line="268" w:lineRule="exact"/>
        <w:rPr>
          <w:sz w:val="20"/>
          <w:szCs w:val="20"/>
          <w:color w:val="auto"/>
        </w:rPr>
      </w:pPr>
    </w:p>
    <w:p>
      <w:pPr>
        <w:ind w:left="4040" w:hanging="446"/>
        <w:spacing w:after="0"/>
        <w:tabs>
          <w:tab w:leader="none" w:pos="4040"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color w:val="auto"/>
        </w:rPr>
        <w:t>Director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00" w:type="dxa"/>
            <w:vAlign w:val="bottom"/>
          </w:tcPr>
          <w:p>
            <w:pPr>
              <w:spacing w:after="0"/>
              <w:rPr>
                <w:sz w:val="20"/>
                <w:szCs w:val="20"/>
                <w:color w:val="auto"/>
              </w:rPr>
            </w:pPr>
            <w:r>
              <w:rPr>
                <w:rFonts w:ascii="Arial" w:cs="Arial" w:eastAsia="Arial" w:hAnsi="Arial"/>
                <w:sz w:val="16"/>
                <w:szCs w:val="16"/>
                <w:b w:val="1"/>
                <w:bCs w:val="1"/>
                <w:color w:val="auto"/>
              </w:rPr>
              <w:t>Name</w:t>
            </w:r>
          </w:p>
        </w:tc>
        <w:tc>
          <w:tcPr>
            <w:tcW w:w="440" w:type="dxa"/>
            <w:vAlign w:val="bottom"/>
          </w:tcPr>
          <w:p>
            <w:pPr>
              <w:jc w:val="center"/>
              <w:spacing w:after="0"/>
              <w:rPr>
                <w:sz w:val="20"/>
                <w:szCs w:val="20"/>
                <w:color w:val="auto"/>
              </w:rPr>
            </w:pPr>
            <w:r>
              <w:rPr>
                <w:rFonts w:ascii="Arial" w:cs="Arial" w:eastAsia="Arial" w:hAnsi="Arial"/>
                <w:sz w:val="16"/>
                <w:szCs w:val="16"/>
                <w:b w:val="1"/>
                <w:bCs w:val="1"/>
                <w:color w:val="auto"/>
                <w:w w:val="94"/>
              </w:rPr>
              <w:t>Age </w:t>
            </w: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Since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Independent</w:t>
            </w:r>
          </w:p>
        </w:tc>
        <w:tc>
          <w:tcPr>
            <w:tcW w:w="3060" w:type="dxa"/>
            <w:vAlign w:val="bottom"/>
          </w:tcPr>
          <w:p>
            <w:pPr>
              <w:ind w:left="180"/>
              <w:spacing w:after="0"/>
              <w:rPr>
                <w:sz w:val="20"/>
                <w:szCs w:val="20"/>
                <w:color w:val="auto"/>
              </w:rPr>
            </w:pPr>
            <w:r>
              <w:rPr>
                <w:rFonts w:ascii="Arial" w:cs="Arial" w:eastAsia="Arial" w:hAnsi="Arial"/>
                <w:sz w:val="16"/>
                <w:szCs w:val="16"/>
                <w:b w:val="1"/>
                <w:bCs w:val="1"/>
                <w:color w:val="auto"/>
              </w:rPr>
              <w:t>Selected Skills &amp;Qualifications</w:t>
            </w:r>
          </w:p>
        </w:tc>
        <w:tc>
          <w:tcPr>
            <w:tcW w:w="1880" w:type="dxa"/>
            <w:vAlign w:val="bottom"/>
          </w:tcPr>
          <w:p>
            <w:pPr>
              <w:ind w:left="200"/>
              <w:spacing w:after="0"/>
              <w:rPr>
                <w:sz w:val="20"/>
                <w:szCs w:val="20"/>
                <w:color w:val="auto"/>
              </w:rPr>
            </w:pPr>
            <w:r>
              <w:rPr>
                <w:rFonts w:ascii="Arial" w:cs="Arial" w:eastAsia="Arial" w:hAnsi="Arial"/>
                <w:sz w:val="16"/>
                <w:szCs w:val="16"/>
                <w:b w:val="1"/>
                <w:bCs w:val="1"/>
                <w:color w:val="auto"/>
              </w:rPr>
              <w:t>Committees</w:t>
            </w:r>
          </w:p>
        </w:tc>
        <w:tc>
          <w:tcPr>
            <w:tcW w:w="0" w:type="dxa"/>
            <w:vAlign w:val="bottom"/>
          </w:tcPr>
          <w:p>
            <w:pPr>
              <w:spacing w:after="0"/>
              <w:rPr>
                <w:sz w:val="1"/>
                <w:szCs w:val="1"/>
                <w:color w:val="auto"/>
              </w:rPr>
            </w:pPr>
          </w:p>
        </w:tc>
      </w:tr>
      <w:tr>
        <w:trPr>
          <w:trHeight w:val="32"/>
        </w:trPr>
        <w:tc>
          <w:tcPr>
            <w:tcW w:w="3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40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Yon Jorden</w:t>
            </w:r>
          </w:p>
        </w:tc>
        <w:tc>
          <w:tcPr>
            <w:tcW w:w="44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69</w:t>
            </w:r>
          </w:p>
        </w:tc>
        <w:tc>
          <w:tcPr>
            <w:tcW w:w="880" w:type="dxa"/>
            <w:vAlign w:val="bottom"/>
            <w:tcBorders>
              <w:right w:val="single" w:sz="8" w:color="95B3D7"/>
            </w:tcBorders>
            <w:shd w:val="clear" w:color="auto" w:fill="DBE5F1"/>
          </w:tcPr>
          <w:p>
            <w:pPr>
              <w:jc w:val="right"/>
              <w:ind w:right="79"/>
              <w:spacing w:after="0"/>
              <w:rPr>
                <w:sz w:val="20"/>
                <w:szCs w:val="20"/>
                <w:color w:val="auto"/>
              </w:rPr>
            </w:pPr>
            <w:r>
              <w:rPr>
                <w:rFonts w:ascii="Arial" w:cs="Arial" w:eastAsia="Arial" w:hAnsi="Arial"/>
                <w:sz w:val="16"/>
                <w:szCs w:val="16"/>
                <w:color w:val="auto"/>
              </w:rPr>
              <w:t>2022</w:t>
            </w:r>
          </w:p>
        </w:tc>
        <w:tc>
          <w:tcPr>
            <w:tcW w:w="13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4"/>
              </w:rPr>
              <w:t>Yes</w:t>
            </w:r>
          </w:p>
        </w:tc>
        <w:tc>
          <w:tcPr>
            <w:tcW w:w="3060" w:type="dxa"/>
            <w:vAlign w:val="bottom"/>
            <w:tcBorders>
              <w:right w:val="single" w:sz="8" w:color="95B3D7"/>
            </w:tcBorders>
            <w:shd w:val="clear" w:color="auto" w:fill="DBE5F1"/>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Executive Leadership</w:t>
            </w:r>
          </w:p>
        </w:tc>
        <w:tc>
          <w:tcPr>
            <w:tcW w:w="188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69"/>
        </w:trPr>
        <w:tc>
          <w:tcPr>
            <w:tcW w:w="3400" w:type="dxa"/>
            <w:vAlign w:val="bottom"/>
            <w:tcBorders>
              <w:right w:val="single" w:sz="8" w:color="95B3D7"/>
            </w:tcBorders>
            <w:shd w:val="clear" w:color="auto" w:fill="DBE5F1"/>
          </w:tcPr>
          <w:p>
            <w:pPr>
              <w:spacing w:after="0"/>
              <w:rPr>
                <w:sz w:val="23"/>
                <w:szCs w:val="23"/>
                <w:color w:val="auto"/>
              </w:rPr>
            </w:pPr>
          </w:p>
        </w:tc>
        <w:tc>
          <w:tcPr>
            <w:tcW w:w="440" w:type="dxa"/>
            <w:vAlign w:val="bottom"/>
            <w:tcBorders>
              <w:right w:val="single" w:sz="8" w:color="95B3D7"/>
            </w:tcBorders>
            <w:shd w:val="clear" w:color="auto" w:fill="DBE5F1"/>
          </w:tcPr>
          <w:p>
            <w:pPr>
              <w:spacing w:after="0"/>
              <w:rPr>
                <w:sz w:val="23"/>
                <w:szCs w:val="23"/>
                <w:color w:val="auto"/>
              </w:rPr>
            </w:pPr>
          </w:p>
        </w:tc>
        <w:tc>
          <w:tcPr>
            <w:tcW w:w="880" w:type="dxa"/>
            <w:vAlign w:val="bottom"/>
            <w:tcBorders>
              <w:right w:val="single" w:sz="8" w:color="95B3D7"/>
            </w:tcBorders>
            <w:shd w:val="clear" w:color="auto" w:fill="DBE5F1"/>
          </w:tcPr>
          <w:p>
            <w:pPr>
              <w:spacing w:after="0"/>
              <w:rPr>
                <w:sz w:val="23"/>
                <w:szCs w:val="23"/>
                <w:color w:val="auto"/>
              </w:rPr>
            </w:pPr>
          </w:p>
        </w:tc>
        <w:tc>
          <w:tcPr>
            <w:tcW w:w="1380" w:type="dxa"/>
            <w:vAlign w:val="bottom"/>
            <w:tcBorders>
              <w:right w:val="single" w:sz="8" w:color="95B3D7"/>
            </w:tcBorders>
            <w:shd w:val="clear" w:color="auto" w:fill="DBE5F1"/>
          </w:tcPr>
          <w:p>
            <w:pPr>
              <w:spacing w:after="0"/>
              <w:rPr>
                <w:sz w:val="23"/>
                <w:szCs w:val="23"/>
                <w:color w:val="auto"/>
              </w:rPr>
            </w:pPr>
          </w:p>
        </w:tc>
        <w:tc>
          <w:tcPr>
            <w:tcW w:w="3060" w:type="dxa"/>
            <w:vAlign w:val="bottom"/>
            <w:tcBorders>
              <w:right w:val="single" w:sz="8" w:color="95B3D7"/>
            </w:tcBorders>
            <w:shd w:val="clear" w:color="auto" w:fill="DBE5F1"/>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Health Care Industry Experience</w:t>
            </w:r>
          </w:p>
        </w:tc>
        <w:tc>
          <w:tcPr>
            <w:tcW w:w="1880" w:type="dxa"/>
            <w:vAlign w:val="bottom"/>
            <w:tcBorders>
              <w:right w:val="single" w:sz="8" w:color="95B3D7"/>
            </w:tcBorders>
            <w:shd w:val="clear" w:color="auto" w:fill="DBE5F1"/>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3400" w:type="dxa"/>
            <w:vAlign w:val="bottom"/>
            <w:tcBorders>
              <w:right w:val="single" w:sz="8" w:color="95B3D7"/>
            </w:tcBorders>
            <w:shd w:val="clear" w:color="auto" w:fill="DBE5F1"/>
          </w:tcPr>
          <w:p>
            <w:pPr>
              <w:spacing w:after="0"/>
              <w:rPr>
                <w:sz w:val="24"/>
                <w:szCs w:val="24"/>
                <w:color w:val="auto"/>
              </w:rPr>
            </w:pPr>
          </w:p>
        </w:tc>
        <w:tc>
          <w:tcPr>
            <w:tcW w:w="440" w:type="dxa"/>
            <w:vAlign w:val="bottom"/>
            <w:tcBorders>
              <w:right w:val="single" w:sz="8" w:color="95B3D7"/>
            </w:tcBorders>
            <w:shd w:val="clear" w:color="auto" w:fill="DBE5F1"/>
          </w:tcPr>
          <w:p>
            <w:pPr>
              <w:spacing w:after="0"/>
              <w:rPr>
                <w:sz w:val="24"/>
                <w:szCs w:val="24"/>
                <w:color w:val="auto"/>
              </w:rPr>
            </w:pPr>
          </w:p>
        </w:tc>
        <w:tc>
          <w:tcPr>
            <w:tcW w:w="880" w:type="dxa"/>
            <w:vAlign w:val="bottom"/>
            <w:tcBorders>
              <w:right w:val="single" w:sz="8" w:color="95B3D7"/>
            </w:tcBorders>
            <w:shd w:val="clear" w:color="auto" w:fill="DBE5F1"/>
          </w:tcPr>
          <w:p>
            <w:pPr>
              <w:spacing w:after="0"/>
              <w:rPr>
                <w:sz w:val="24"/>
                <w:szCs w:val="24"/>
                <w:color w:val="auto"/>
              </w:rPr>
            </w:pPr>
          </w:p>
        </w:tc>
        <w:tc>
          <w:tcPr>
            <w:tcW w:w="1380" w:type="dxa"/>
            <w:vAlign w:val="bottom"/>
            <w:tcBorders>
              <w:right w:val="single" w:sz="8" w:color="95B3D7"/>
            </w:tcBorders>
            <w:shd w:val="clear" w:color="auto" w:fill="DBE5F1"/>
          </w:tcPr>
          <w:p>
            <w:pPr>
              <w:spacing w:after="0"/>
              <w:rPr>
                <w:sz w:val="24"/>
                <w:szCs w:val="24"/>
                <w:color w:val="auto"/>
              </w:rPr>
            </w:pPr>
          </w:p>
        </w:tc>
        <w:tc>
          <w:tcPr>
            <w:tcW w:w="3060" w:type="dxa"/>
            <w:vAlign w:val="bottom"/>
            <w:tcBorders>
              <w:right w:val="single" w:sz="8" w:color="95B3D7"/>
            </w:tcBorders>
            <w:shd w:val="clear" w:color="auto" w:fill="DBE5F1"/>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Audit Committee Experience</w:t>
            </w:r>
          </w:p>
        </w:tc>
        <w:tc>
          <w:tcPr>
            <w:tcW w:w="1880" w:type="dxa"/>
            <w:vAlign w:val="bottom"/>
            <w:tcBorders>
              <w:right w:val="single" w:sz="8" w:color="95B3D7"/>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0" w:type="dxa"/>
            <w:vAlign w:val="bottom"/>
            <w:tcBorders>
              <w:right w:val="single" w:sz="8" w:color="95B3D7"/>
            </w:tcBorders>
            <w:shd w:val="clear" w:color="auto" w:fill="DBE5F1"/>
          </w:tcPr>
          <w:p>
            <w:pPr>
              <w:spacing w:after="0"/>
              <w:rPr>
                <w:sz w:val="24"/>
                <w:szCs w:val="24"/>
                <w:color w:val="auto"/>
              </w:rPr>
            </w:pPr>
          </w:p>
        </w:tc>
        <w:tc>
          <w:tcPr>
            <w:tcW w:w="440" w:type="dxa"/>
            <w:vAlign w:val="bottom"/>
            <w:tcBorders>
              <w:right w:val="single" w:sz="8" w:color="95B3D7"/>
            </w:tcBorders>
            <w:shd w:val="clear" w:color="auto" w:fill="DBE5F1"/>
          </w:tcPr>
          <w:p>
            <w:pPr>
              <w:spacing w:after="0"/>
              <w:rPr>
                <w:sz w:val="24"/>
                <w:szCs w:val="24"/>
                <w:color w:val="auto"/>
              </w:rPr>
            </w:pPr>
          </w:p>
        </w:tc>
        <w:tc>
          <w:tcPr>
            <w:tcW w:w="880" w:type="dxa"/>
            <w:vAlign w:val="bottom"/>
            <w:tcBorders>
              <w:right w:val="single" w:sz="8" w:color="95B3D7"/>
            </w:tcBorders>
            <w:shd w:val="clear" w:color="auto" w:fill="DBE5F1"/>
          </w:tcPr>
          <w:p>
            <w:pPr>
              <w:spacing w:after="0"/>
              <w:rPr>
                <w:sz w:val="24"/>
                <w:szCs w:val="24"/>
                <w:color w:val="auto"/>
              </w:rPr>
            </w:pPr>
          </w:p>
        </w:tc>
        <w:tc>
          <w:tcPr>
            <w:tcW w:w="1380" w:type="dxa"/>
            <w:vAlign w:val="bottom"/>
            <w:tcBorders>
              <w:right w:val="single" w:sz="8" w:color="95B3D7"/>
            </w:tcBorders>
            <w:shd w:val="clear" w:color="auto" w:fill="DBE5F1"/>
          </w:tcPr>
          <w:p>
            <w:pPr>
              <w:spacing w:after="0"/>
              <w:rPr>
                <w:sz w:val="24"/>
                <w:szCs w:val="24"/>
                <w:color w:val="auto"/>
              </w:rPr>
            </w:pPr>
          </w:p>
        </w:tc>
        <w:tc>
          <w:tcPr>
            <w:tcW w:w="3060" w:type="dxa"/>
            <w:vAlign w:val="bottom"/>
            <w:tcBorders>
              <w:right w:val="single" w:sz="8" w:color="95B3D7"/>
            </w:tcBorders>
            <w:shd w:val="clear" w:color="auto" w:fill="DBE5F1"/>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Accounting/Finance Expert</w:t>
            </w:r>
          </w:p>
        </w:tc>
        <w:tc>
          <w:tcPr>
            <w:tcW w:w="1880" w:type="dxa"/>
            <w:vAlign w:val="bottom"/>
            <w:tcBorders>
              <w:right w:val="single" w:sz="8" w:color="95B3D7"/>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0" w:type="dxa"/>
            <w:vAlign w:val="bottom"/>
            <w:tcBorders>
              <w:bottom w:val="single" w:sz="8" w:color="95B3D7"/>
              <w:right w:val="single" w:sz="8" w:color="95B3D7"/>
            </w:tcBorders>
            <w:shd w:val="clear" w:color="auto" w:fill="DBE5F1"/>
          </w:tcPr>
          <w:p>
            <w:pPr>
              <w:spacing w:after="0"/>
              <w:rPr>
                <w:sz w:val="8"/>
                <w:szCs w:val="8"/>
                <w:color w:val="auto"/>
              </w:rPr>
            </w:pPr>
          </w:p>
        </w:tc>
        <w:tc>
          <w:tcPr>
            <w:tcW w:w="440" w:type="dxa"/>
            <w:vAlign w:val="bottom"/>
            <w:tcBorders>
              <w:bottom w:val="single" w:sz="8" w:color="95B3D7"/>
              <w:right w:val="single" w:sz="8" w:color="95B3D7"/>
            </w:tcBorders>
            <w:shd w:val="clear" w:color="auto" w:fill="DBE5F1"/>
          </w:tcPr>
          <w:p>
            <w:pPr>
              <w:spacing w:after="0"/>
              <w:rPr>
                <w:sz w:val="8"/>
                <w:szCs w:val="8"/>
                <w:color w:val="auto"/>
              </w:rPr>
            </w:pPr>
          </w:p>
        </w:tc>
        <w:tc>
          <w:tcPr>
            <w:tcW w:w="880" w:type="dxa"/>
            <w:vAlign w:val="bottom"/>
            <w:tcBorders>
              <w:bottom w:val="single" w:sz="8" w:color="95B3D7"/>
              <w:right w:val="single" w:sz="8" w:color="95B3D7"/>
            </w:tcBorders>
            <w:shd w:val="clear" w:color="auto" w:fill="DBE5F1"/>
          </w:tcPr>
          <w:p>
            <w:pPr>
              <w:spacing w:after="0"/>
              <w:rPr>
                <w:sz w:val="8"/>
                <w:szCs w:val="8"/>
                <w:color w:val="auto"/>
              </w:rPr>
            </w:pPr>
          </w:p>
        </w:tc>
        <w:tc>
          <w:tcPr>
            <w:tcW w:w="1380" w:type="dxa"/>
            <w:vAlign w:val="bottom"/>
            <w:tcBorders>
              <w:bottom w:val="single" w:sz="8" w:color="95B3D7"/>
              <w:right w:val="single" w:sz="8" w:color="95B3D7"/>
            </w:tcBorders>
            <w:shd w:val="clear" w:color="auto" w:fill="DBE5F1"/>
          </w:tcPr>
          <w:p>
            <w:pPr>
              <w:spacing w:after="0"/>
              <w:rPr>
                <w:sz w:val="8"/>
                <w:szCs w:val="8"/>
                <w:color w:val="auto"/>
              </w:rPr>
            </w:pPr>
          </w:p>
        </w:tc>
        <w:tc>
          <w:tcPr>
            <w:tcW w:w="3060" w:type="dxa"/>
            <w:vAlign w:val="bottom"/>
            <w:tcBorders>
              <w:bottom w:val="single" w:sz="8" w:color="95B3D7"/>
              <w:right w:val="single" w:sz="8" w:color="95B3D7"/>
            </w:tcBorders>
            <w:shd w:val="clear" w:color="auto" w:fill="DBE5F1"/>
          </w:tcPr>
          <w:p>
            <w:pPr>
              <w:spacing w:after="0"/>
              <w:rPr>
                <w:sz w:val="8"/>
                <w:szCs w:val="8"/>
                <w:color w:val="auto"/>
              </w:rPr>
            </w:pPr>
          </w:p>
        </w:tc>
        <w:tc>
          <w:tcPr>
            <w:tcW w:w="1880" w:type="dxa"/>
            <w:vAlign w:val="bottom"/>
            <w:tcBorders>
              <w:bottom w:val="single" w:sz="8" w:color="95B3D7"/>
              <w:right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08"/>
        </w:trPr>
        <w:tc>
          <w:tcPr>
            <w:tcW w:w="3400" w:type="dxa"/>
            <w:vAlign w:val="bottom"/>
            <w:tcBorders>
              <w:right w:val="single" w:sz="8" w:color="95B3D7"/>
            </w:tcBorders>
          </w:tcPr>
          <w:p>
            <w:pPr>
              <w:ind w:left="140"/>
              <w:spacing w:after="0"/>
              <w:rPr>
                <w:sz w:val="20"/>
                <w:szCs w:val="20"/>
                <w:color w:val="auto"/>
              </w:rPr>
            </w:pPr>
            <w:r>
              <w:rPr>
                <w:rFonts w:ascii="Arial" w:cs="Arial" w:eastAsia="Arial" w:hAnsi="Arial"/>
                <w:sz w:val="16"/>
                <w:szCs w:val="16"/>
                <w:color w:val="auto"/>
              </w:rPr>
              <w:t>John Kao</w:t>
            </w:r>
          </w:p>
        </w:tc>
        <w:tc>
          <w:tcPr>
            <w:tcW w:w="44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rPr>
              <w:t>62</w:t>
            </w:r>
          </w:p>
        </w:tc>
        <w:tc>
          <w:tcPr>
            <w:tcW w:w="880" w:type="dxa"/>
            <w:vAlign w:val="bottom"/>
            <w:tcBorders>
              <w:right w:val="single" w:sz="8" w:color="95B3D7"/>
            </w:tcBorders>
          </w:tcPr>
          <w:p>
            <w:pPr>
              <w:jc w:val="right"/>
              <w:ind w:right="79"/>
              <w:spacing w:after="0"/>
              <w:rPr>
                <w:sz w:val="20"/>
                <w:szCs w:val="20"/>
                <w:color w:val="auto"/>
              </w:rPr>
            </w:pPr>
            <w:r>
              <w:rPr>
                <w:rFonts w:ascii="Arial" w:cs="Arial" w:eastAsia="Arial" w:hAnsi="Arial"/>
                <w:sz w:val="16"/>
                <w:szCs w:val="16"/>
                <w:color w:val="auto"/>
              </w:rPr>
              <w:t>2014</w:t>
            </w:r>
          </w:p>
        </w:tc>
        <w:tc>
          <w:tcPr>
            <w:tcW w:w="13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w w:val="97"/>
              </w:rPr>
              <w:t>No</w:t>
            </w:r>
          </w:p>
        </w:tc>
        <w:tc>
          <w:tcPr>
            <w:tcW w:w="3060" w:type="dxa"/>
            <w:vAlign w:val="bottom"/>
            <w:tcBorders>
              <w:right w:val="single" w:sz="8" w:color="95B3D7"/>
            </w:tcBorders>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Executive Leadership</w:t>
            </w:r>
          </w:p>
        </w:tc>
        <w:tc>
          <w:tcPr>
            <w:tcW w:w="1880" w:type="dxa"/>
            <w:vAlign w:val="bottom"/>
            <w:tcBorders>
              <w:right w:val="single" w:sz="8" w:color="95B3D7"/>
            </w:tcBorders>
          </w:tcPr>
          <w:p>
            <w:pPr>
              <w:ind w:left="2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9"/>
        </w:trPr>
        <w:tc>
          <w:tcPr>
            <w:tcW w:w="3400" w:type="dxa"/>
            <w:vAlign w:val="bottom"/>
            <w:tcBorders>
              <w:right w:val="single" w:sz="8" w:color="95B3D7"/>
            </w:tcBorders>
          </w:tcPr>
          <w:p>
            <w:pPr>
              <w:spacing w:after="0"/>
              <w:rPr>
                <w:sz w:val="23"/>
                <w:szCs w:val="23"/>
                <w:color w:val="auto"/>
              </w:rPr>
            </w:pPr>
          </w:p>
        </w:tc>
        <w:tc>
          <w:tcPr>
            <w:tcW w:w="440" w:type="dxa"/>
            <w:vAlign w:val="bottom"/>
            <w:tcBorders>
              <w:right w:val="single" w:sz="8" w:color="95B3D7"/>
            </w:tcBorders>
          </w:tcPr>
          <w:p>
            <w:pPr>
              <w:spacing w:after="0"/>
              <w:rPr>
                <w:sz w:val="23"/>
                <w:szCs w:val="23"/>
                <w:color w:val="auto"/>
              </w:rPr>
            </w:pPr>
          </w:p>
        </w:tc>
        <w:tc>
          <w:tcPr>
            <w:tcW w:w="880" w:type="dxa"/>
            <w:vAlign w:val="bottom"/>
            <w:tcBorders>
              <w:right w:val="single" w:sz="8" w:color="95B3D7"/>
            </w:tcBorders>
          </w:tcPr>
          <w:p>
            <w:pPr>
              <w:spacing w:after="0"/>
              <w:rPr>
                <w:sz w:val="23"/>
                <w:szCs w:val="23"/>
                <w:color w:val="auto"/>
              </w:rPr>
            </w:pPr>
          </w:p>
        </w:tc>
        <w:tc>
          <w:tcPr>
            <w:tcW w:w="1380" w:type="dxa"/>
            <w:vAlign w:val="bottom"/>
            <w:tcBorders>
              <w:right w:val="single" w:sz="8" w:color="95B3D7"/>
            </w:tcBorders>
          </w:tcPr>
          <w:p>
            <w:pPr>
              <w:spacing w:after="0"/>
              <w:rPr>
                <w:sz w:val="23"/>
                <w:szCs w:val="23"/>
                <w:color w:val="auto"/>
              </w:rPr>
            </w:pPr>
          </w:p>
        </w:tc>
        <w:tc>
          <w:tcPr>
            <w:tcW w:w="3060" w:type="dxa"/>
            <w:vAlign w:val="bottom"/>
            <w:tcBorders>
              <w:right w:val="single" w:sz="8" w:color="95B3D7"/>
            </w:tcBorders>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Health Care Industry Experience</w:t>
            </w:r>
          </w:p>
        </w:tc>
        <w:tc>
          <w:tcPr>
            <w:tcW w:w="1880" w:type="dxa"/>
            <w:vAlign w:val="bottom"/>
            <w:tcBorders>
              <w:right w:val="single" w:sz="8" w:color="95B3D7"/>
            </w:tcBorders>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3400" w:type="dxa"/>
            <w:vAlign w:val="bottom"/>
            <w:tcBorders>
              <w:bottom w:val="single" w:sz="8" w:color="95B3D7"/>
              <w:right w:val="single" w:sz="8" w:color="95B3D7"/>
            </w:tcBorders>
          </w:tcPr>
          <w:p>
            <w:pPr>
              <w:spacing w:after="0"/>
              <w:rPr>
                <w:sz w:val="8"/>
                <w:szCs w:val="8"/>
                <w:color w:val="auto"/>
              </w:rPr>
            </w:pPr>
          </w:p>
        </w:tc>
        <w:tc>
          <w:tcPr>
            <w:tcW w:w="440" w:type="dxa"/>
            <w:vAlign w:val="bottom"/>
            <w:tcBorders>
              <w:bottom w:val="single" w:sz="8" w:color="95B3D7"/>
              <w:right w:val="single" w:sz="8" w:color="95B3D7"/>
            </w:tcBorders>
          </w:tcPr>
          <w:p>
            <w:pPr>
              <w:spacing w:after="0"/>
              <w:rPr>
                <w:sz w:val="8"/>
                <w:szCs w:val="8"/>
                <w:color w:val="auto"/>
              </w:rPr>
            </w:pPr>
          </w:p>
        </w:tc>
        <w:tc>
          <w:tcPr>
            <w:tcW w:w="880" w:type="dxa"/>
            <w:vAlign w:val="bottom"/>
            <w:tcBorders>
              <w:bottom w:val="single" w:sz="8" w:color="95B3D7"/>
              <w:right w:val="single" w:sz="8" w:color="95B3D7"/>
            </w:tcBorders>
          </w:tcPr>
          <w:p>
            <w:pPr>
              <w:spacing w:after="0"/>
              <w:rPr>
                <w:sz w:val="8"/>
                <w:szCs w:val="8"/>
                <w:color w:val="auto"/>
              </w:rPr>
            </w:pPr>
          </w:p>
        </w:tc>
        <w:tc>
          <w:tcPr>
            <w:tcW w:w="1380" w:type="dxa"/>
            <w:vAlign w:val="bottom"/>
            <w:tcBorders>
              <w:bottom w:val="single" w:sz="8" w:color="95B3D7"/>
              <w:right w:val="single" w:sz="8" w:color="95B3D7"/>
            </w:tcBorders>
          </w:tcPr>
          <w:p>
            <w:pPr>
              <w:spacing w:after="0"/>
              <w:rPr>
                <w:sz w:val="8"/>
                <w:szCs w:val="8"/>
                <w:color w:val="auto"/>
              </w:rPr>
            </w:pPr>
          </w:p>
        </w:tc>
        <w:tc>
          <w:tcPr>
            <w:tcW w:w="3060" w:type="dxa"/>
            <w:vAlign w:val="bottom"/>
            <w:tcBorders>
              <w:bottom w:val="single" w:sz="8" w:color="95B3D7"/>
              <w:right w:val="single" w:sz="8" w:color="95B3D7"/>
            </w:tcBorders>
          </w:tcPr>
          <w:p>
            <w:pPr>
              <w:spacing w:after="0"/>
              <w:rPr>
                <w:sz w:val="8"/>
                <w:szCs w:val="8"/>
                <w:color w:val="auto"/>
              </w:rPr>
            </w:pPr>
          </w:p>
        </w:tc>
        <w:tc>
          <w:tcPr>
            <w:tcW w:w="1880" w:type="dxa"/>
            <w:vAlign w:val="bottom"/>
            <w:tcBorders>
              <w:bottom w:val="single" w:sz="8" w:color="95B3D7"/>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3400" w:type="dxa"/>
            <w:vAlign w:val="bottom"/>
            <w:tcBorders>
              <w:right w:val="single" w:sz="8" w:color="95B3D7"/>
            </w:tcBorders>
            <w:shd w:val="clear" w:color="auto" w:fill="DBE5F1"/>
          </w:tcPr>
          <w:p>
            <w:pPr>
              <w:ind w:left="140"/>
              <w:spacing w:after="0" w:line="168" w:lineRule="exact"/>
              <w:rPr>
                <w:sz w:val="20"/>
                <w:szCs w:val="20"/>
                <w:color w:val="auto"/>
              </w:rPr>
            </w:pPr>
            <w:r>
              <w:rPr>
                <w:rFonts w:ascii="Arial" w:cs="Arial" w:eastAsia="Arial" w:hAnsi="Arial"/>
                <w:sz w:val="16"/>
                <w:szCs w:val="16"/>
                <w:color w:val="auto"/>
              </w:rPr>
              <w:t>Joseph Konowiecki,</w:t>
            </w:r>
          </w:p>
        </w:tc>
        <w:tc>
          <w:tcPr>
            <w:tcW w:w="440" w:type="dxa"/>
            <w:vAlign w:val="bottom"/>
            <w:tcBorders>
              <w:right w:val="single" w:sz="8" w:color="95B3D7"/>
            </w:tcBorders>
            <w:shd w:val="clear" w:color="auto" w:fill="DBE5F1"/>
          </w:tcPr>
          <w:p>
            <w:pPr>
              <w:jc w:val="center"/>
              <w:spacing w:after="0" w:line="168" w:lineRule="exact"/>
              <w:rPr>
                <w:sz w:val="20"/>
                <w:szCs w:val="20"/>
                <w:color w:val="auto"/>
              </w:rPr>
            </w:pPr>
            <w:r>
              <w:rPr>
                <w:rFonts w:ascii="Arial" w:cs="Arial" w:eastAsia="Arial" w:hAnsi="Arial"/>
                <w:sz w:val="16"/>
                <w:szCs w:val="16"/>
                <w:color w:val="auto"/>
              </w:rPr>
              <w:t>70</w:t>
            </w:r>
          </w:p>
        </w:tc>
        <w:tc>
          <w:tcPr>
            <w:tcW w:w="880" w:type="dxa"/>
            <w:vAlign w:val="bottom"/>
            <w:tcBorders>
              <w:right w:val="single" w:sz="8" w:color="95B3D7"/>
            </w:tcBorders>
            <w:shd w:val="clear" w:color="auto" w:fill="DBE5F1"/>
          </w:tcPr>
          <w:p>
            <w:pPr>
              <w:jc w:val="right"/>
              <w:ind w:right="79"/>
              <w:spacing w:after="0" w:line="168" w:lineRule="exact"/>
              <w:rPr>
                <w:sz w:val="20"/>
                <w:szCs w:val="20"/>
                <w:color w:val="auto"/>
              </w:rPr>
            </w:pPr>
            <w:r>
              <w:rPr>
                <w:rFonts w:ascii="Arial" w:cs="Arial" w:eastAsia="Arial" w:hAnsi="Arial"/>
                <w:sz w:val="16"/>
                <w:szCs w:val="16"/>
                <w:color w:val="auto"/>
              </w:rPr>
              <w:t>2014</w:t>
            </w:r>
          </w:p>
        </w:tc>
        <w:tc>
          <w:tcPr>
            <w:tcW w:w="1380" w:type="dxa"/>
            <w:vAlign w:val="bottom"/>
            <w:tcBorders>
              <w:right w:val="single" w:sz="8" w:color="95B3D7"/>
            </w:tcBorders>
            <w:shd w:val="clear" w:color="auto" w:fill="DBE5F1"/>
          </w:tcPr>
          <w:p>
            <w:pPr>
              <w:jc w:val="center"/>
              <w:spacing w:after="0" w:line="168" w:lineRule="exact"/>
              <w:rPr>
                <w:sz w:val="20"/>
                <w:szCs w:val="20"/>
                <w:color w:val="auto"/>
              </w:rPr>
            </w:pPr>
            <w:r>
              <w:rPr>
                <w:rFonts w:ascii="Arial" w:cs="Arial" w:eastAsia="Arial" w:hAnsi="Arial"/>
                <w:sz w:val="16"/>
                <w:szCs w:val="16"/>
                <w:color w:val="auto"/>
                <w:w w:val="97"/>
              </w:rPr>
              <w:t>No</w:t>
            </w:r>
          </w:p>
        </w:tc>
        <w:tc>
          <w:tcPr>
            <w:tcW w:w="3060" w:type="dxa"/>
            <w:vAlign w:val="bottom"/>
            <w:tcBorders>
              <w:right w:val="single" w:sz="8" w:color="95B3D7"/>
            </w:tcBorders>
            <w:shd w:val="clear" w:color="auto" w:fill="DBE5F1"/>
          </w:tcPr>
          <w:p>
            <w:pPr>
              <w:ind w:left="180"/>
              <w:spacing w:after="0" w:line="168"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Executive Leadership</w:t>
            </w:r>
          </w:p>
        </w:tc>
        <w:tc>
          <w:tcPr>
            <w:tcW w:w="1880" w:type="dxa"/>
            <w:vAlign w:val="bottom"/>
            <w:tcBorders>
              <w:right w:val="single" w:sz="8" w:color="95B3D7"/>
            </w:tcBorders>
            <w:shd w:val="clear" w:color="auto" w:fill="DBE5F1"/>
          </w:tcPr>
          <w:p>
            <w:pPr>
              <w:ind w:left="200"/>
              <w:spacing w:after="0" w:line="168"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340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Chairman</w:t>
            </w:r>
          </w:p>
        </w:tc>
        <w:tc>
          <w:tcPr>
            <w:tcW w:w="440" w:type="dxa"/>
            <w:vAlign w:val="bottom"/>
            <w:tcBorders>
              <w:right w:val="single" w:sz="8" w:color="95B3D7"/>
            </w:tcBorders>
            <w:shd w:val="clear" w:color="auto" w:fill="DBE5F1"/>
          </w:tcPr>
          <w:p>
            <w:pPr>
              <w:spacing w:after="0"/>
              <w:rPr>
                <w:sz w:val="18"/>
                <w:szCs w:val="18"/>
                <w:color w:val="auto"/>
              </w:rPr>
            </w:pPr>
          </w:p>
        </w:tc>
        <w:tc>
          <w:tcPr>
            <w:tcW w:w="880" w:type="dxa"/>
            <w:vAlign w:val="bottom"/>
            <w:tcBorders>
              <w:right w:val="single" w:sz="8" w:color="95B3D7"/>
            </w:tcBorders>
            <w:shd w:val="clear" w:color="auto" w:fill="DBE5F1"/>
          </w:tcPr>
          <w:p>
            <w:pPr>
              <w:spacing w:after="0"/>
              <w:rPr>
                <w:sz w:val="18"/>
                <w:szCs w:val="18"/>
                <w:color w:val="auto"/>
              </w:rPr>
            </w:pPr>
          </w:p>
        </w:tc>
        <w:tc>
          <w:tcPr>
            <w:tcW w:w="1380" w:type="dxa"/>
            <w:vAlign w:val="bottom"/>
            <w:tcBorders>
              <w:right w:val="single" w:sz="8" w:color="95B3D7"/>
            </w:tcBorders>
            <w:shd w:val="clear" w:color="auto" w:fill="DBE5F1"/>
          </w:tcPr>
          <w:p>
            <w:pPr>
              <w:spacing w:after="0"/>
              <w:rPr>
                <w:sz w:val="18"/>
                <w:szCs w:val="18"/>
                <w:color w:val="auto"/>
              </w:rPr>
            </w:pPr>
          </w:p>
        </w:tc>
        <w:tc>
          <w:tcPr>
            <w:tcW w:w="3060" w:type="dxa"/>
            <w:vAlign w:val="bottom"/>
            <w:tcBorders>
              <w:right w:val="single" w:sz="8" w:color="95B3D7"/>
            </w:tcBorders>
            <w:vMerge w:val="restart"/>
            <w:shd w:val="clear" w:color="auto" w:fill="DBE5F1"/>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Health Care Industry Experience</w:t>
            </w:r>
          </w:p>
        </w:tc>
        <w:tc>
          <w:tcPr>
            <w:tcW w:w="1880" w:type="dxa"/>
            <w:vAlign w:val="bottom"/>
            <w:tcBorders>
              <w:right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400" w:type="dxa"/>
            <w:vAlign w:val="bottom"/>
            <w:tcBorders>
              <w:right w:val="single" w:sz="8" w:color="95B3D7"/>
            </w:tcBorders>
            <w:shd w:val="clear" w:color="auto" w:fill="DBE5F1"/>
          </w:tcPr>
          <w:p>
            <w:pPr>
              <w:spacing w:after="0"/>
              <w:rPr>
                <w:sz w:val="8"/>
                <w:szCs w:val="8"/>
                <w:color w:val="auto"/>
              </w:rPr>
            </w:pPr>
          </w:p>
        </w:tc>
        <w:tc>
          <w:tcPr>
            <w:tcW w:w="440" w:type="dxa"/>
            <w:vAlign w:val="bottom"/>
            <w:tcBorders>
              <w:right w:val="single" w:sz="8" w:color="95B3D7"/>
            </w:tcBorders>
            <w:shd w:val="clear" w:color="auto" w:fill="DBE5F1"/>
          </w:tcPr>
          <w:p>
            <w:pPr>
              <w:spacing w:after="0"/>
              <w:rPr>
                <w:sz w:val="8"/>
                <w:szCs w:val="8"/>
                <w:color w:val="auto"/>
              </w:rPr>
            </w:pPr>
          </w:p>
        </w:tc>
        <w:tc>
          <w:tcPr>
            <w:tcW w:w="880" w:type="dxa"/>
            <w:vAlign w:val="bottom"/>
            <w:tcBorders>
              <w:right w:val="single" w:sz="8" w:color="95B3D7"/>
            </w:tcBorders>
            <w:shd w:val="clear" w:color="auto" w:fill="DBE5F1"/>
          </w:tcPr>
          <w:p>
            <w:pPr>
              <w:spacing w:after="0"/>
              <w:rPr>
                <w:sz w:val="8"/>
                <w:szCs w:val="8"/>
                <w:color w:val="auto"/>
              </w:rPr>
            </w:pPr>
          </w:p>
        </w:tc>
        <w:tc>
          <w:tcPr>
            <w:tcW w:w="1380" w:type="dxa"/>
            <w:vAlign w:val="bottom"/>
            <w:tcBorders>
              <w:right w:val="single" w:sz="8" w:color="95B3D7"/>
            </w:tcBorders>
            <w:shd w:val="clear" w:color="auto" w:fill="DBE5F1"/>
          </w:tcPr>
          <w:p>
            <w:pPr>
              <w:spacing w:after="0"/>
              <w:rPr>
                <w:sz w:val="8"/>
                <w:szCs w:val="8"/>
                <w:color w:val="auto"/>
              </w:rPr>
            </w:pPr>
          </w:p>
        </w:tc>
        <w:tc>
          <w:tcPr>
            <w:tcW w:w="3060" w:type="dxa"/>
            <w:vAlign w:val="bottom"/>
            <w:tcBorders>
              <w:right w:val="single" w:sz="8" w:color="95B3D7"/>
            </w:tcBorders>
            <w:vMerge w:val="continue"/>
            <w:shd w:val="clear" w:color="auto" w:fill="DBE5F1"/>
          </w:tcPr>
          <w:p>
            <w:pPr>
              <w:spacing w:after="0"/>
              <w:rPr>
                <w:sz w:val="8"/>
                <w:szCs w:val="8"/>
                <w:color w:val="auto"/>
              </w:rPr>
            </w:pPr>
          </w:p>
        </w:tc>
        <w:tc>
          <w:tcPr>
            <w:tcW w:w="1880" w:type="dxa"/>
            <w:vAlign w:val="bottom"/>
            <w:tcBorders>
              <w:right w:val="single" w:sz="8" w:color="95B3D7"/>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71"/>
        </w:trPr>
        <w:tc>
          <w:tcPr>
            <w:tcW w:w="3400" w:type="dxa"/>
            <w:vAlign w:val="bottom"/>
            <w:tcBorders>
              <w:right w:val="single" w:sz="8" w:color="95B3D7"/>
            </w:tcBorders>
            <w:shd w:val="clear" w:color="auto" w:fill="DBE5F1"/>
          </w:tcPr>
          <w:p>
            <w:pPr>
              <w:spacing w:after="0"/>
              <w:rPr>
                <w:sz w:val="23"/>
                <w:szCs w:val="23"/>
                <w:color w:val="auto"/>
              </w:rPr>
            </w:pPr>
          </w:p>
        </w:tc>
        <w:tc>
          <w:tcPr>
            <w:tcW w:w="440" w:type="dxa"/>
            <w:vAlign w:val="bottom"/>
            <w:tcBorders>
              <w:right w:val="single" w:sz="8" w:color="95B3D7"/>
            </w:tcBorders>
            <w:shd w:val="clear" w:color="auto" w:fill="DBE5F1"/>
          </w:tcPr>
          <w:p>
            <w:pPr>
              <w:spacing w:after="0"/>
              <w:rPr>
                <w:sz w:val="23"/>
                <w:szCs w:val="23"/>
                <w:color w:val="auto"/>
              </w:rPr>
            </w:pPr>
          </w:p>
        </w:tc>
        <w:tc>
          <w:tcPr>
            <w:tcW w:w="880" w:type="dxa"/>
            <w:vAlign w:val="bottom"/>
            <w:tcBorders>
              <w:right w:val="single" w:sz="8" w:color="95B3D7"/>
            </w:tcBorders>
            <w:shd w:val="clear" w:color="auto" w:fill="DBE5F1"/>
          </w:tcPr>
          <w:p>
            <w:pPr>
              <w:spacing w:after="0"/>
              <w:rPr>
                <w:sz w:val="23"/>
                <w:szCs w:val="23"/>
                <w:color w:val="auto"/>
              </w:rPr>
            </w:pPr>
          </w:p>
        </w:tc>
        <w:tc>
          <w:tcPr>
            <w:tcW w:w="1380" w:type="dxa"/>
            <w:vAlign w:val="bottom"/>
            <w:tcBorders>
              <w:right w:val="single" w:sz="8" w:color="95B3D7"/>
            </w:tcBorders>
            <w:shd w:val="clear" w:color="auto" w:fill="DBE5F1"/>
          </w:tcPr>
          <w:p>
            <w:pPr>
              <w:spacing w:after="0"/>
              <w:rPr>
                <w:sz w:val="23"/>
                <w:szCs w:val="23"/>
                <w:color w:val="auto"/>
              </w:rPr>
            </w:pPr>
          </w:p>
        </w:tc>
        <w:tc>
          <w:tcPr>
            <w:tcW w:w="3060" w:type="dxa"/>
            <w:vAlign w:val="bottom"/>
            <w:tcBorders>
              <w:right w:val="single" w:sz="8" w:color="95B3D7"/>
            </w:tcBorders>
            <w:shd w:val="clear" w:color="auto" w:fill="DBE5F1"/>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Legal/Securities Regulatory</w:t>
            </w:r>
          </w:p>
        </w:tc>
        <w:tc>
          <w:tcPr>
            <w:tcW w:w="1880" w:type="dxa"/>
            <w:vAlign w:val="bottom"/>
            <w:tcBorders>
              <w:right w:val="single" w:sz="8" w:color="95B3D7"/>
            </w:tcBorders>
            <w:shd w:val="clear" w:color="auto" w:fill="DBE5F1"/>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400" w:type="dxa"/>
            <w:vAlign w:val="bottom"/>
            <w:tcBorders>
              <w:right w:val="single" w:sz="8" w:color="95B3D7"/>
            </w:tcBorders>
            <w:shd w:val="clear" w:color="auto" w:fill="DBE5F1"/>
          </w:tcPr>
          <w:p>
            <w:pPr>
              <w:spacing w:after="0"/>
              <w:rPr>
                <w:sz w:val="18"/>
                <w:szCs w:val="18"/>
                <w:color w:val="auto"/>
              </w:rPr>
            </w:pPr>
          </w:p>
        </w:tc>
        <w:tc>
          <w:tcPr>
            <w:tcW w:w="440" w:type="dxa"/>
            <w:vAlign w:val="bottom"/>
            <w:tcBorders>
              <w:right w:val="single" w:sz="8" w:color="95B3D7"/>
            </w:tcBorders>
            <w:shd w:val="clear" w:color="auto" w:fill="DBE5F1"/>
          </w:tcPr>
          <w:p>
            <w:pPr>
              <w:spacing w:after="0"/>
              <w:rPr>
                <w:sz w:val="18"/>
                <w:szCs w:val="18"/>
                <w:color w:val="auto"/>
              </w:rPr>
            </w:pPr>
          </w:p>
        </w:tc>
        <w:tc>
          <w:tcPr>
            <w:tcW w:w="880" w:type="dxa"/>
            <w:vAlign w:val="bottom"/>
            <w:tcBorders>
              <w:right w:val="single" w:sz="8" w:color="95B3D7"/>
            </w:tcBorders>
            <w:shd w:val="clear" w:color="auto" w:fill="DBE5F1"/>
          </w:tcPr>
          <w:p>
            <w:pPr>
              <w:spacing w:after="0"/>
              <w:rPr>
                <w:sz w:val="18"/>
                <w:szCs w:val="18"/>
                <w:color w:val="auto"/>
              </w:rPr>
            </w:pPr>
          </w:p>
        </w:tc>
        <w:tc>
          <w:tcPr>
            <w:tcW w:w="1380" w:type="dxa"/>
            <w:vAlign w:val="bottom"/>
            <w:tcBorders>
              <w:right w:val="single" w:sz="8" w:color="95B3D7"/>
            </w:tcBorders>
            <w:shd w:val="clear" w:color="auto" w:fill="DBE5F1"/>
          </w:tcPr>
          <w:p>
            <w:pPr>
              <w:spacing w:after="0"/>
              <w:rPr>
                <w:sz w:val="18"/>
                <w:szCs w:val="18"/>
                <w:color w:val="auto"/>
              </w:rPr>
            </w:pPr>
          </w:p>
        </w:tc>
        <w:tc>
          <w:tcPr>
            <w:tcW w:w="3060" w:type="dxa"/>
            <w:vAlign w:val="bottom"/>
            <w:tcBorders>
              <w:right w:val="single" w:sz="8" w:color="95B3D7"/>
            </w:tcBorders>
            <w:shd w:val="clear" w:color="auto" w:fill="DBE5F1"/>
          </w:tcPr>
          <w:p>
            <w:pPr>
              <w:ind w:left="340"/>
              <w:spacing w:after="0"/>
              <w:rPr>
                <w:sz w:val="20"/>
                <w:szCs w:val="20"/>
                <w:color w:val="auto"/>
              </w:rPr>
            </w:pPr>
            <w:r>
              <w:rPr>
                <w:rFonts w:ascii="Arial" w:cs="Arial" w:eastAsia="Arial" w:hAnsi="Arial"/>
                <w:sz w:val="16"/>
                <w:szCs w:val="16"/>
                <w:color w:val="auto"/>
              </w:rPr>
              <w:t>  Compliance</w:t>
            </w:r>
          </w:p>
        </w:tc>
        <w:tc>
          <w:tcPr>
            <w:tcW w:w="1880" w:type="dxa"/>
            <w:vAlign w:val="bottom"/>
            <w:tcBorders>
              <w:right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83"/>
        </w:trPr>
        <w:tc>
          <w:tcPr>
            <w:tcW w:w="3400" w:type="dxa"/>
            <w:vAlign w:val="bottom"/>
            <w:tcBorders>
              <w:bottom w:val="single" w:sz="8" w:color="95B3D7"/>
              <w:right w:val="single" w:sz="8" w:color="95B3D7"/>
            </w:tcBorders>
            <w:shd w:val="clear" w:color="auto" w:fill="DBE5F1"/>
          </w:tcPr>
          <w:p>
            <w:pPr>
              <w:spacing w:after="0"/>
              <w:rPr>
                <w:sz w:val="7"/>
                <w:szCs w:val="7"/>
                <w:color w:val="auto"/>
              </w:rPr>
            </w:pPr>
          </w:p>
        </w:tc>
        <w:tc>
          <w:tcPr>
            <w:tcW w:w="440" w:type="dxa"/>
            <w:vAlign w:val="bottom"/>
            <w:tcBorders>
              <w:bottom w:val="single" w:sz="8" w:color="95B3D7"/>
              <w:right w:val="single" w:sz="8" w:color="95B3D7"/>
            </w:tcBorders>
            <w:shd w:val="clear" w:color="auto" w:fill="DBE5F1"/>
          </w:tcPr>
          <w:p>
            <w:pPr>
              <w:spacing w:after="0"/>
              <w:rPr>
                <w:sz w:val="7"/>
                <w:szCs w:val="7"/>
                <w:color w:val="auto"/>
              </w:rPr>
            </w:pPr>
          </w:p>
        </w:tc>
        <w:tc>
          <w:tcPr>
            <w:tcW w:w="880" w:type="dxa"/>
            <w:vAlign w:val="bottom"/>
            <w:tcBorders>
              <w:bottom w:val="single" w:sz="8" w:color="95B3D7"/>
              <w:right w:val="single" w:sz="8" w:color="95B3D7"/>
            </w:tcBorders>
            <w:shd w:val="clear" w:color="auto" w:fill="DBE5F1"/>
          </w:tcPr>
          <w:p>
            <w:pPr>
              <w:spacing w:after="0"/>
              <w:rPr>
                <w:sz w:val="7"/>
                <w:szCs w:val="7"/>
                <w:color w:val="auto"/>
              </w:rPr>
            </w:pPr>
          </w:p>
        </w:tc>
        <w:tc>
          <w:tcPr>
            <w:tcW w:w="1380" w:type="dxa"/>
            <w:vAlign w:val="bottom"/>
            <w:tcBorders>
              <w:bottom w:val="single" w:sz="8" w:color="95B3D7"/>
              <w:right w:val="single" w:sz="8" w:color="95B3D7"/>
            </w:tcBorders>
            <w:shd w:val="clear" w:color="auto" w:fill="DBE5F1"/>
          </w:tcPr>
          <w:p>
            <w:pPr>
              <w:spacing w:after="0"/>
              <w:rPr>
                <w:sz w:val="7"/>
                <w:szCs w:val="7"/>
                <w:color w:val="auto"/>
              </w:rPr>
            </w:pPr>
          </w:p>
        </w:tc>
        <w:tc>
          <w:tcPr>
            <w:tcW w:w="3060" w:type="dxa"/>
            <w:vAlign w:val="bottom"/>
            <w:tcBorders>
              <w:bottom w:val="single" w:sz="8" w:color="95B3D7"/>
              <w:right w:val="single" w:sz="8" w:color="95B3D7"/>
            </w:tcBorders>
            <w:shd w:val="clear" w:color="auto" w:fill="DBE5F1"/>
          </w:tcPr>
          <w:p>
            <w:pPr>
              <w:spacing w:after="0"/>
              <w:rPr>
                <w:sz w:val="7"/>
                <w:szCs w:val="7"/>
                <w:color w:val="auto"/>
              </w:rPr>
            </w:pPr>
          </w:p>
        </w:tc>
        <w:tc>
          <w:tcPr>
            <w:tcW w:w="1880" w:type="dxa"/>
            <w:vAlign w:val="bottom"/>
            <w:tcBorders>
              <w:bottom w:val="single" w:sz="8" w:color="95B3D7"/>
              <w:right w:val="single" w:sz="8" w:color="95B3D7"/>
            </w:tcBorders>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400" w:type="dxa"/>
            <w:vAlign w:val="bottom"/>
            <w:tcBorders>
              <w:right w:val="single" w:sz="8" w:color="95B3D7"/>
            </w:tcBorders>
          </w:tcPr>
          <w:p>
            <w:pPr>
              <w:ind w:left="140"/>
              <w:spacing w:after="0" w:line="168" w:lineRule="exact"/>
              <w:rPr>
                <w:sz w:val="20"/>
                <w:szCs w:val="20"/>
                <w:color w:val="auto"/>
              </w:rPr>
            </w:pPr>
            <w:r>
              <w:rPr>
                <w:rFonts w:ascii="Arial" w:cs="Arial" w:eastAsia="Arial" w:hAnsi="Arial"/>
                <w:sz w:val="16"/>
                <w:szCs w:val="16"/>
                <w:color w:val="auto"/>
              </w:rPr>
              <w:t>Margaret McCarthy, Lead Independent</w:t>
            </w:r>
          </w:p>
        </w:tc>
        <w:tc>
          <w:tcPr>
            <w:tcW w:w="440" w:type="dxa"/>
            <w:vAlign w:val="bottom"/>
            <w:tcBorders>
              <w:right w:val="single" w:sz="8" w:color="95B3D7"/>
            </w:tcBorders>
          </w:tcPr>
          <w:p>
            <w:pPr>
              <w:jc w:val="center"/>
              <w:spacing w:after="0" w:line="168" w:lineRule="exact"/>
              <w:rPr>
                <w:sz w:val="20"/>
                <w:szCs w:val="20"/>
                <w:color w:val="auto"/>
              </w:rPr>
            </w:pPr>
            <w:r>
              <w:rPr>
                <w:rFonts w:ascii="Arial" w:cs="Arial" w:eastAsia="Arial" w:hAnsi="Arial"/>
                <w:sz w:val="16"/>
                <w:szCs w:val="16"/>
                <w:color w:val="auto"/>
              </w:rPr>
              <w:t>70</w:t>
            </w:r>
          </w:p>
        </w:tc>
        <w:tc>
          <w:tcPr>
            <w:tcW w:w="880" w:type="dxa"/>
            <w:vAlign w:val="bottom"/>
            <w:tcBorders>
              <w:right w:val="single" w:sz="8" w:color="95B3D7"/>
            </w:tcBorders>
          </w:tcPr>
          <w:p>
            <w:pPr>
              <w:jc w:val="right"/>
              <w:ind w:right="79"/>
              <w:spacing w:after="0" w:line="168" w:lineRule="exact"/>
              <w:rPr>
                <w:sz w:val="20"/>
                <w:szCs w:val="20"/>
                <w:color w:val="auto"/>
              </w:rPr>
            </w:pPr>
            <w:r>
              <w:rPr>
                <w:rFonts w:ascii="Arial" w:cs="Arial" w:eastAsia="Arial" w:hAnsi="Arial"/>
                <w:sz w:val="16"/>
                <w:szCs w:val="16"/>
                <w:color w:val="auto"/>
              </w:rPr>
              <w:t>2020</w:t>
            </w:r>
          </w:p>
        </w:tc>
        <w:tc>
          <w:tcPr>
            <w:tcW w:w="1380" w:type="dxa"/>
            <w:vAlign w:val="bottom"/>
            <w:tcBorders>
              <w:right w:val="single" w:sz="8" w:color="95B3D7"/>
            </w:tcBorders>
          </w:tcPr>
          <w:p>
            <w:pPr>
              <w:jc w:val="center"/>
              <w:spacing w:after="0" w:line="168" w:lineRule="exact"/>
              <w:rPr>
                <w:sz w:val="20"/>
                <w:szCs w:val="20"/>
                <w:color w:val="auto"/>
              </w:rPr>
            </w:pPr>
            <w:r>
              <w:rPr>
                <w:rFonts w:ascii="Arial" w:cs="Arial" w:eastAsia="Arial" w:hAnsi="Arial"/>
                <w:sz w:val="16"/>
                <w:szCs w:val="16"/>
                <w:color w:val="auto"/>
                <w:w w:val="94"/>
              </w:rPr>
              <w:t>Yes</w:t>
            </w:r>
          </w:p>
        </w:tc>
        <w:tc>
          <w:tcPr>
            <w:tcW w:w="3060" w:type="dxa"/>
            <w:vAlign w:val="bottom"/>
            <w:tcBorders>
              <w:right w:val="single" w:sz="8" w:color="95B3D7"/>
            </w:tcBorders>
          </w:tcPr>
          <w:p>
            <w:pPr>
              <w:ind w:left="180"/>
              <w:spacing w:after="0" w:line="168"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Executive Leadership</w:t>
            </w:r>
          </w:p>
        </w:tc>
        <w:tc>
          <w:tcPr>
            <w:tcW w:w="1880" w:type="dxa"/>
            <w:vAlign w:val="bottom"/>
            <w:tcBorders>
              <w:right w:val="single" w:sz="8" w:color="95B3D7"/>
            </w:tcBorders>
          </w:tcPr>
          <w:p>
            <w:pPr>
              <w:ind w:left="200"/>
              <w:spacing w:after="0" w:line="168" w:lineRule="exact"/>
              <w:rPr>
                <w:sz w:val="20"/>
                <w:szCs w:val="20"/>
                <w:color w:val="auto"/>
              </w:rPr>
            </w:pPr>
            <w:r>
              <w:rPr>
                <w:rFonts w:ascii="Arial" w:cs="Arial" w:eastAsia="Arial" w:hAnsi="Arial"/>
                <w:sz w:val="16"/>
                <w:szCs w:val="16"/>
                <w:color w:val="auto"/>
              </w:rPr>
              <w:t>Audit</w:t>
            </w:r>
          </w:p>
        </w:tc>
        <w:tc>
          <w:tcPr>
            <w:tcW w:w="0" w:type="dxa"/>
            <w:vAlign w:val="bottom"/>
          </w:tcPr>
          <w:p>
            <w:pPr>
              <w:spacing w:after="0"/>
              <w:rPr>
                <w:sz w:val="1"/>
                <w:szCs w:val="1"/>
                <w:color w:val="auto"/>
              </w:rPr>
            </w:pPr>
          </w:p>
        </w:tc>
      </w:tr>
      <w:tr>
        <w:trPr>
          <w:trHeight w:val="215"/>
        </w:trPr>
        <w:tc>
          <w:tcPr>
            <w:tcW w:w="3400" w:type="dxa"/>
            <w:vAlign w:val="bottom"/>
            <w:tcBorders>
              <w:right w:val="single" w:sz="8" w:color="95B3D7"/>
            </w:tcBorders>
          </w:tcPr>
          <w:p>
            <w:pPr>
              <w:ind w:left="140"/>
              <w:spacing w:after="0"/>
              <w:rPr>
                <w:sz w:val="20"/>
                <w:szCs w:val="20"/>
                <w:color w:val="auto"/>
              </w:rPr>
            </w:pPr>
            <w:r>
              <w:rPr>
                <w:rFonts w:ascii="Arial" w:cs="Arial" w:eastAsia="Arial" w:hAnsi="Arial"/>
                <w:sz w:val="16"/>
                <w:szCs w:val="16"/>
                <w:color w:val="auto"/>
              </w:rPr>
              <w:t>Director</w:t>
            </w:r>
          </w:p>
        </w:tc>
        <w:tc>
          <w:tcPr>
            <w:tcW w:w="440" w:type="dxa"/>
            <w:vAlign w:val="bottom"/>
            <w:tcBorders>
              <w:right w:val="single" w:sz="8" w:color="95B3D7"/>
            </w:tcBorders>
          </w:tcPr>
          <w:p>
            <w:pPr>
              <w:spacing w:after="0"/>
              <w:rPr>
                <w:sz w:val="18"/>
                <w:szCs w:val="18"/>
                <w:color w:val="auto"/>
              </w:rPr>
            </w:pPr>
          </w:p>
        </w:tc>
        <w:tc>
          <w:tcPr>
            <w:tcW w:w="880" w:type="dxa"/>
            <w:vAlign w:val="bottom"/>
            <w:tcBorders>
              <w:right w:val="single" w:sz="8" w:color="95B3D7"/>
            </w:tcBorders>
          </w:tcPr>
          <w:p>
            <w:pPr>
              <w:spacing w:after="0"/>
              <w:rPr>
                <w:sz w:val="18"/>
                <w:szCs w:val="18"/>
                <w:color w:val="auto"/>
              </w:rPr>
            </w:pPr>
          </w:p>
        </w:tc>
        <w:tc>
          <w:tcPr>
            <w:tcW w:w="1380" w:type="dxa"/>
            <w:vAlign w:val="bottom"/>
            <w:tcBorders>
              <w:right w:val="single" w:sz="8" w:color="95B3D7"/>
            </w:tcBorders>
          </w:tcPr>
          <w:p>
            <w:pPr>
              <w:spacing w:after="0"/>
              <w:rPr>
                <w:sz w:val="18"/>
                <w:szCs w:val="18"/>
                <w:color w:val="auto"/>
              </w:rPr>
            </w:pPr>
          </w:p>
        </w:tc>
        <w:tc>
          <w:tcPr>
            <w:tcW w:w="3060" w:type="dxa"/>
            <w:vAlign w:val="bottom"/>
            <w:tcBorders>
              <w:right w:val="single" w:sz="8" w:color="95B3D7"/>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Health Care Industry Experience</w:t>
            </w:r>
          </w:p>
        </w:tc>
        <w:tc>
          <w:tcPr>
            <w:tcW w:w="1880" w:type="dxa"/>
            <w:vAlign w:val="bottom"/>
            <w:tcBorders>
              <w:right w:val="single" w:sz="8" w:color="95B3D7"/>
            </w:tcBorders>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3400" w:type="dxa"/>
            <w:vAlign w:val="bottom"/>
            <w:tcBorders>
              <w:right w:val="single" w:sz="8" w:color="95B3D7"/>
            </w:tcBorders>
          </w:tcPr>
          <w:p>
            <w:pPr>
              <w:spacing w:after="0"/>
              <w:rPr>
                <w:sz w:val="8"/>
                <w:szCs w:val="8"/>
                <w:color w:val="auto"/>
              </w:rPr>
            </w:pPr>
          </w:p>
        </w:tc>
        <w:tc>
          <w:tcPr>
            <w:tcW w:w="440" w:type="dxa"/>
            <w:vAlign w:val="bottom"/>
            <w:tcBorders>
              <w:right w:val="single" w:sz="8" w:color="95B3D7"/>
            </w:tcBorders>
          </w:tcPr>
          <w:p>
            <w:pPr>
              <w:spacing w:after="0"/>
              <w:rPr>
                <w:sz w:val="8"/>
                <w:szCs w:val="8"/>
                <w:color w:val="auto"/>
              </w:rPr>
            </w:pPr>
          </w:p>
        </w:tc>
        <w:tc>
          <w:tcPr>
            <w:tcW w:w="880" w:type="dxa"/>
            <w:vAlign w:val="bottom"/>
            <w:tcBorders>
              <w:right w:val="single" w:sz="8" w:color="95B3D7"/>
            </w:tcBorders>
          </w:tcPr>
          <w:p>
            <w:pPr>
              <w:spacing w:after="0"/>
              <w:rPr>
                <w:sz w:val="8"/>
                <w:szCs w:val="8"/>
                <w:color w:val="auto"/>
              </w:rPr>
            </w:pPr>
          </w:p>
        </w:tc>
        <w:tc>
          <w:tcPr>
            <w:tcW w:w="1380" w:type="dxa"/>
            <w:vAlign w:val="bottom"/>
            <w:tcBorders>
              <w:right w:val="single" w:sz="8" w:color="95B3D7"/>
            </w:tcBorders>
          </w:tcPr>
          <w:p>
            <w:pPr>
              <w:spacing w:after="0"/>
              <w:rPr>
                <w:sz w:val="8"/>
                <w:szCs w:val="8"/>
                <w:color w:val="auto"/>
              </w:rPr>
            </w:pPr>
          </w:p>
        </w:tc>
        <w:tc>
          <w:tcPr>
            <w:tcW w:w="3060" w:type="dxa"/>
            <w:vAlign w:val="bottom"/>
            <w:tcBorders>
              <w:right w:val="single" w:sz="8" w:color="95B3D7"/>
            </w:tcBorders>
            <w:vMerge w:val="continue"/>
          </w:tcPr>
          <w:p>
            <w:pPr>
              <w:spacing w:after="0"/>
              <w:rPr>
                <w:sz w:val="8"/>
                <w:szCs w:val="8"/>
                <w:color w:val="auto"/>
              </w:rPr>
            </w:pPr>
          </w:p>
        </w:tc>
        <w:tc>
          <w:tcPr>
            <w:tcW w:w="1880" w:type="dxa"/>
            <w:vAlign w:val="bottom"/>
            <w:tcBorders>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400" w:type="dxa"/>
            <w:vAlign w:val="bottom"/>
            <w:tcBorders>
              <w:right w:val="single" w:sz="8" w:color="95B3D7"/>
            </w:tcBorders>
          </w:tcPr>
          <w:p>
            <w:pPr>
              <w:spacing w:after="0"/>
              <w:rPr>
                <w:sz w:val="24"/>
                <w:szCs w:val="24"/>
                <w:color w:val="auto"/>
              </w:rPr>
            </w:pPr>
          </w:p>
        </w:tc>
        <w:tc>
          <w:tcPr>
            <w:tcW w:w="440" w:type="dxa"/>
            <w:vAlign w:val="bottom"/>
            <w:tcBorders>
              <w:right w:val="single" w:sz="8" w:color="95B3D7"/>
            </w:tcBorders>
          </w:tcPr>
          <w:p>
            <w:pPr>
              <w:spacing w:after="0"/>
              <w:rPr>
                <w:sz w:val="24"/>
                <w:szCs w:val="24"/>
                <w:color w:val="auto"/>
              </w:rPr>
            </w:pPr>
          </w:p>
        </w:tc>
        <w:tc>
          <w:tcPr>
            <w:tcW w:w="880" w:type="dxa"/>
            <w:vAlign w:val="bottom"/>
            <w:tcBorders>
              <w:right w:val="single" w:sz="8" w:color="95B3D7"/>
            </w:tcBorders>
          </w:tcPr>
          <w:p>
            <w:pPr>
              <w:spacing w:after="0"/>
              <w:rPr>
                <w:sz w:val="24"/>
                <w:szCs w:val="24"/>
                <w:color w:val="auto"/>
              </w:rPr>
            </w:pPr>
          </w:p>
        </w:tc>
        <w:tc>
          <w:tcPr>
            <w:tcW w:w="1380" w:type="dxa"/>
            <w:vAlign w:val="bottom"/>
            <w:tcBorders>
              <w:right w:val="single" w:sz="8" w:color="95B3D7"/>
            </w:tcBorders>
          </w:tcPr>
          <w:p>
            <w:pPr>
              <w:spacing w:after="0"/>
              <w:rPr>
                <w:sz w:val="24"/>
                <w:szCs w:val="24"/>
                <w:color w:val="auto"/>
              </w:rPr>
            </w:pPr>
          </w:p>
        </w:tc>
        <w:tc>
          <w:tcPr>
            <w:tcW w:w="3060" w:type="dxa"/>
            <w:vAlign w:val="bottom"/>
            <w:tcBorders>
              <w:right w:val="single" w:sz="8" w:color="95B3D7"/>
            </w:tcBorders>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Audit Committee Experience</w:t>
            </w:r>
          </w:p>
        </w:tc>
        <w:tc>
          <w:tcPr>
            <w:tcW w:w="1880" w:type="dxa"/>
            <w:vAlign w:val="bottom"/>
            <w:tcBorders>
              <w:right w:val="single" w:sz="8" w:color="95B3D7"/>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3400" w:type="dxa"/>
            <w:vAlign w:val="bottom"/>
            <w:tcBorders>
              <w:right w:val="single" w:sz="8" w:color="95B3D7"/>
            </w:tcBorders>
          </w:tcPr>
          <w:p>
            <w:pPr>
              <w:spacing w:after="0"/>
              <w:rPr>
                <w:sz w:val="24"/>
                <w:szCs w:val="24"/>
                <w:color w:val="auto"/>
              </w:rPr>
            </w:pPr>
          </w:p>
        </w:tc>
        <w:tc>
          <w:tcPr>
            <w:tcW w:w="440" w:type="dxa"/>
            <w:vAlign w:val="bottom"/>
            <w:tcBorders>
              <w:right w:val="single" w:sz="8" w:color="95B3D7"/>
            </w:tcBorders>
          </w:tcPr>
          <w:p>
            <w:pPr>
              <w:spacing w:after="0"/>
              <w:rPr>
                <w:sz w:val="24"/>
                <w:szCs w:val="24"/>
                <w:color w:val="auto"/>
              </w:rPr>
            </w:pPr>
          </w:p>
        </w:tc>
        <w:tc>
          <w:tcPr>
            <w:tcW w:w="880" w:type="dxa"/>
            <w:vAlign w:val="bottom"/>
            <w:tcBorders>
              <w:right w:val="single" w:sz="8" w:color="95B3D7"/>
            </w:tcBorders>
          </w:tcPr>
          <w:p>
            <w:pPr>
              <w:spacing w:after="0"/>
              <w:rPr>
                <w:sz w:val="24"/>
                <w:szCs w:val="24"/>
                <w:color w:val="auto"/>
              </w:rPr>
            </w:pPr>
          </w:p>
        </w:tc>
        <w:tc>
          <w:tcPr>
            <w:tcW w:w="1380" w:type="dxa"/>
            <w:vAlign w:val="bottom"/>
            <w:tcBorders>
              <w:right w:val="single" w:sz="8" w:color="95B3D7"/>
            </w:tcBorders>
          </w:tcPr>
          <w:p>
            <w:pPr>
              <w:spacing w:after="0"/>
              <w:rPr>
                <w:sz w:val="24"/>
                <w:szCs w:val="24"/>
                <w:color w:val="auto"/>
              </w:rPr>
            </w:pPr>
          </w:p>
        </w:tc>
        <w:tc>
          <w:tcPr>
            <w:tcW w:w="3060" w:type="dxa"/>
            <w:vAlign w:val="bottom"/>
            <w:tcBorders>
              <w:right w:val="single" w:sz="8" w:color="95B3D7"/>
            </w:tcBorders>
          </w:tcPr>
          <w:p>
            <w:pPr>
              <w:ind w:left="1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Technology/Business Processes</w:t>
            </w:r>
          </w:p>
        </w:tc>
        <w:tc>
          <w:tcPr>
            <w:tcW w:w="1880" w:type="dxa"/>
            <w:vAlign w:val="bottom"/>
            <w:tcBorders>
              <w:right w:val="single" w:sz="8" w:color="95B3D7"/>
            </w:tcBorders>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3400" w:type="dxa"/>
            <w:vAlign w:val="bottom"/>
            <w:tcBorders>
              <w:bottom w:val="single" w:sz="8" w:color="95B3D7"/>
              <w:right w:val="single" w:sz="8" w:color="95B3D7"/>
            </w:tcBorders>
          </w:tcPr>
          <w:p>
            <w:pPr>
              <w:spacing w:after="0"/>
              <w:rPr>
                <w:sz w:val="8"/>
                <w:szCs w:val="8"/>
                <w:color w:val="auto"/>
              </w:rPr>
            </w:pPr>
          </w:p>
        </w:tc>
        <w:tc>
          <w:tcPr>
            <w:tcW w:w="440" w:type="dxa"/>
            <w:vAlign w:val="bottom"/>
            <w:tcBorders>
              <w:bottom w:val="single" w:sz="8" w:color="95B3D7"/>
              <w:right w:val="single" w:sz="8" w:color="95B3D7"/>
            </w:tcBorders>
          </w:tcPr>
          <w:p>
            <w:pPr>
              <w:spacing w:after="0"/>
              <w:rPr>
                <w:sz w:val="8"/>
                <w:szCs w:val="8"/>
                <w:color w:val="auto"/>
              </w:rPr>
            </w:pPr>
          </w:p>
        </w:tc>
        <w:tc>
          <w:tcPr>
            <w:tcW w:w="880" w:type="dxa"/>
            <w:vAlign w:val="bottom"/>
            <w:tcBorders>
              <w:bottom w:val="single" w:sz="8" w:color="95B3D7"/>
              <w:right w:val="single" w:sz="8" w:color="95B3D7"/>
            </w:tcBorders>
          </w:tcPr>
          <w:p>
            <w:pPr>
              <w:spacing w:after="0"/>
              <w:rPr>
                <w:sz w:val="8"/>
                <w:szCs w:val="8"/>
                <w:color w:val="auto"/>
              </w:rPr>
            </w:pPr>
          </w:p>
        </w:tc>
        <w:tc>
          <w:tcPr>
            <w:tcW w:w="1380" w:type="dxa"/>
            <w:vAlign w:val="bottom"/>
            <w:tcBorders>
              <w:bottom w:val="single" w:sz="8" w:color="95B3D7"/>
              <w:right w:val="single" w:sz="8" w:color="95B3D7"/>
            </w:tcBorders>
          </w:tcPr>
          <w:p>
            <w:pPr>
              <w:spacing w:after="0"/>
              <w:rPr>
                <w:sz w:val="8"/>
                <w:szCs w:val="8"/>
                <w:color w:val="auto"/>
              </w:rPr>
            </w:pPr>
          </w:p>
        </w:tc>
        <w:tc>
          <w:tcPr>
            <w:tcW w:w="3060" w:type="dxa"/>
            <w:vAlign w:val="bottom"/>
            <w:tcBorders>
              <w:bottom w:val="single" w:sz="8" w:color="95B3D7"/>
              <w:right w:val="single" w:sz="8" w:color="95B3D7"/>
            </w:tcBorders>
          </w:tcPr>
          <w:p>
            <w:pPr>
              <w:spacing w:after="0"/>
              <w:rPr>
                <w:sz w:val="8"/>
                <w:szCs w:val="8"/>
                <w:color w:val="auto"/>
              </w:rPr>
            </w:pPr>
          </w:p>
        </w:tc>
        <w:tc>
          <w:tcPr>
            <w:tcW w:w="1880" w:type="dxa"/>
            <w:vAlign w:val="bottom"/>
            <w:tcBorders>
              <w:bottom w:val="single" w:sz="8" w:color="95B3D7"/>
              <w:right w:val="single" w:sz="8" w:color="95B3D7"/>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Diversity</w:t>
      </w:r>
    </w:p>
    <w:p>
      <w:pPr>
        <w:spacing w:after="0" w:line="212" w:lineRule="exact"/>
        <w:rPr>
          <w:sz w:val="20"/>
          <w:szCs w:val="20"/>
          <w:color w:val="auto"/>
        </w:rPr>
      </w:pPr>
    </w:p>
    <w:p>
      <w:pPr>
        <w:ind w:right="40" w:firstLine="440"/>
        <w:spacing w:after="0" w:line="247" w:lineRule="auto"/>
        <w:rPr>
          <w:sz w:val="20"/>
          <w:szCs w:val="20"/>
          <w:color w:val="auto"/>
        </w:rPr>
      </w:pPr>
      <w:r>
        <w:rPr>
          <w:rFonts w:ascii="Arial" w:cs="Arial" w:eastAsia="Arial" w:hAnsi="Arial"/>
          <w:sz w:val="18"/>
          <w:szCs w:val="18"/>
          <w:color w:val="auto"/>
        </w:rPr>
        <w:t>The Board believes that a diverse board is better able to effectively oversee the Company’s management and strategy and better positions us to deliver long-term value for our stockholders. Our Board recognizes that gender, racial or ethnic diversity, tenure and experience add to the overall mix of perspectives of our Board as a whole. The following charts present the diversity profile of the directors currently serving on our Board: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440" w:top="301" w:right="439" w:bottom="1440" w:gutter="0" w:footer="0" w:header="0"/>
        </w:sectPr>
      </w:pPr>
    </w:p>
    <w:bookmarkStart w:id="16" w:name="page17"/>
    <w:bookmarkEnd w:id="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14744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14744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Stockholder Engagement Highlights</w:t>
      </w:r>
    </w:p>
    <w:p>
      <w:pPr>
        <w:spacing w:after="0" w:line="104" w:lineRule="exact"/>
        <w:rPr>
          <w:sz w:val="20"/>
          <w:szCs w:val="20"/>
          <w:color w:val="auto"/>
        </w:rPr>
      </w:pPr>
    </w:p>
    <w:p>
      <w:pPr>
        <w:ind w:right="340" w:firstLine="440"/>
        <w:spacing w:after="0" w:line="242" w:lineRule="auto"/>
        <w:rPr>
          <w:sz w:val="20"/>
          <w:szCs w:val="20"/>
          <w:color w:val="auto"/>
        </w:rPr>
      </w:pPr>
      <w:r>
        <w:rPr>
          <w:rFonts w:ascii="Arial" w:cs="Arial" w:eastAsia="Arial" w:hAnsi="Arial"/>
          <w:sz w:val="18"/>
          <w:szCs w:val="18"/>
          <w:color w:val="auto"/>
        </w:rPr>
        <w:t>In 2023-2024, we continued our robust stockholder engagement program. We proactively engage with stockholders and other stakeholders throughout the year to learn more about their perspectives on significant issues, including company performance and strategy, executive compensation and environmental, social and governance (“ESG”) matters. We take feedback and insights from our engagement with stockholders and other stakeholders into consideration as we review and evolve our practices and disclosures, and share this feedback with our Board, as appropriate. For more information, see “</w:t>
      </w:r>
      <w:r>
        <w:rPr>
          <w:rFonts w:ascii="Arial" w:cs="Arial" w:eastAsia="Arial" w:hAnsi="Arial"/>
          <w:sz w:val="18"/>
          <w:szCs w:val="18"/>
          <w:i w:val="1"/>
          <w:iCs w:val="1"/>
          <w:color w:val="auto"/>
        </w:rPr>
        <w:t>Corporate Governance—Stockholder Engagement</w:t>
      </w:r>
      <w:r>
        <w:rPr>
          <w:rFonts w:ascii="Arial" w:cs="Arial" w:eastAsia="Arial" w:hAnsi="Arial"/>
          <w:sz w:val="18"/>
          <w:szCs w:val="18"/>
          <w:color w:val="auto"/>
        </w:rPr>
        <w:t>” on page 34.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Corporate Governance Highlights</w:t>
      </w:r>
    </w:p>
    <w:p>
      <w:pPr>
        <w:spacing w:after="0" w:line="104" w:lineRule="exact"/>
        <w:rPr>
          <w:sz w:val="20"/>
          <w:szCs w:val="20"/>
          <w:color w:val="auto"/>
        </w:rPr>
      </w:pPr>
    </w:p>
    <w:p>
      <w:pPr>
        <w:ind w:right="80" w:firstLine="440"/>
        <w:spacing w:after="0" w:line="247" w:lineRule="auto"/>
        <w:rPr>
          <w:sz w:val="20"/>
          <w:szCs w:val="20"/>
          <w:color w:val="auto"/>
        </w:rPr>
      </w:pPr>
      <w:r>
        <w:rPr>
          <w:rFonts w:ascii="Arial" w:cs="Arial" w:eastAsia="Arial" w:hAnsi="Arial"/>
          <w:sz w:val="18"/>
          <w:szCs w:val="18"/>
          <w:color w:val="auto"/>
        </w:rPr>
        <w:t>We are committed to governance practices that promote the long-term interests of our stockholders, strengthen Board and management accountability and continue to build trust in our Company. The Board regularly reviews our governance profile to ensure that it reflects the evolving governance landscape applicable to our Company and appropriately supports and serves the best interests of the Company and our stockholders. For more information, see “</w:t>
      </w:r>
      <w:r>
        <w:rPr>
          <w:rFonts w:ascii="Arial" w:cs="Arial" w:eastAsia="Arial" w:hAnsi="Arial"/>
          <w:sz w:val="18"/>
          <w:szCs w:val="18"/>
          <w:i w:val="1"/>
          <w:iCs w:val="1"/>
          <w:color w:val="auto"/>
        </w:rPr>
        <w:t>Corporate Governance</w:t>
      </w:r>
      <w:r>
        <w:rPr>
          <w:rFonts w:ascii="Arial" w:cs="Arial" w:eastAsia="Arial" w:hAnsi="Arial"/>
          <w:sz w:val="18"/>
          <w:szCs w:val="18"/>
          <w:color w:val="auto"/>
        </w:rPr>
        <w:t>” beginning on page 23.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310"/>
        </w:trPr>
        <w:tc>
          <w:tcPr>
            <w:tcW w:w="3860" w:type="dxa"/>
            <w:vAlign w:val="bottom"/>
            <w:tcBorders>
              <w:top w:val="single" w:sz="8" w:color="auto"/>
            </w:tcBorders>
            <w:shd w:val="clear" w:color="auto" w:fill="DBE5F1"/>
          </w:tcPr>
          <w:p>
            <w:pPr>
              <w:ind w:left="180"/>
              <w:spacing w:after="0"/>
              <w:rPr>
                <w:sz w:val="20"/>
                <w:szCs w:val="20"/>
                <w:color w:val="auto"/>
              </w:rPr>
            </w:pPr>
            <w:r>
              <w:rPr>
                <w:rFonts w:ascii="Arial" w:cs="Arial" w:eastAsia="Arial" w:hAnsi="Arial"/>
                <w:sz w:val="18"/>
                <w:szCs w:val="18"/>
                <w:b w:val="1"/>
                <w:bCs w:val="1"/>
                <w:i w:val="1"/>
                <w:iCs w:val="1"/>
                <w:color w:val="auto"/>
              </w:rPr>
              <w:t>Board Structure &amp; Composition</w:t>
            </w:r>
          </w:p>
        </w:tc>
        <w:tc>
          <w:tcPr>
            <w:tcW w:w="3800" w:type="dxa"/>
            <w:vAlign w:val="bottom"/>
            <w:tcBorders>
              <w:top w:val="single" w:sz="8" w:color="auto"/>
            </w:tcBorders>
            <w:shd w:val="clear" w:color="auto" w:fill="DBE5F1"/>
          </w:tcPr>
          <w:p>
            <w:pPr>
              <w:spacing w:after="0"/>
              <w:rPr>
                <w:sz w:val="24"/>
                <w:szCs w:val="24"/>
                <w:color w:val="auto"/>
              </w:rPr>
            </w:pPr>
          </w:p>
        </w:tc>
        <w:tc>
          <w:tcPr>
            <w:tcW w:w="3360" w:type="dxa"/>
            <w:vAlign w:val="bottom"/>
            <w:tcBorders>
              <w:top w:val="single" w:sz="8" w:color="auto"/>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3860" w:type="dxa"/>
            <w:vAlign w:val="bottom"/>
            <w:shd w:val="clear" w:color="auto" w:fill="DBE5F1"/>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9 of 11 Directors, and all Board</w:t>
            </w:r>
          </w:p>
        </w:tc>
        <w:tc>
          <w:tcPr>
            <w:tcW w:w="3800" w:type="dxa"/>
            <w:vAlign w:val="bottom"/>
            <w:shd w:val="clear" w:color="auto" w:fill="DBE5F1"/>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Lead Independent Director</w:t>
            </w:r>
          </w:p>
        </w:tc>
        <w:tc>
          <w:tcPr>
            <w:tcW w:w="3360" w:type="dxa"/>
            <w:vAlign w:val="bottom"/>
            <w:shd w:val="clear" w:color="auto" w:fill="DBE5F1"/>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Annual assessment and</w:t>
            </w:r>
          </w:p>
        </w:tc>
        <w:tc>
          <w:tcPr>
            <w:tcW w:w="0" w:type="dxa"/>
            <w:vAlign w:val="bottom"/>
          </w:tcPr>
          <w:p>
            <w:pPr>
              <w:spacing w:after="0"/>
              <w:rPr>
                <w:sz w:val="1"/>
                <w:szCs w:val="1"/>
                <w:color w:val="auto"/>
              </w:rPr>
            </w:pPr>
          </w:p>
        </w:tc>
      </w:tr>
      <w:tr>
        <w:trPr>
          <w:trHeight w:val="203"/>
        </w:trPr>
        <w:tc>
          <w:tcPr>
            <w:tcW w:w="3860" w:type="dxa"/>
            <w:vAlign w:val="bottom"/>
            <w:shd w:val="clear" w:color="auto" w:fill="DBE5F1"/>
          </w:tcPr>
          <w:p>
            <w:pPr>
              <w:ind w:left="540"/>
              <w:spacing w:after="0" w:line="202" w:lineRule="exact"/>
              <w:rPr>
                <w:sz w:val="20"/>
                <w:szCs w:val="20"/>
                <w:color w:val="auto"/>
              </w:rPr>
            </w:pPr>
            <w:r>
              <w:rPr>
                <w:rFonts w:ascii="Arial" w:cs="Arial" w:eastAsia="Arial" w:hAnsi="Arial"/>
                <w:sz w:val="18"/>
                <w:szCs w:val="18"/>
                <w:color w:val="auto"/>
              </w:rPr>
              <w:t>Committee members, are independent</w:t>
            </w:r>
          </w:p>
        </w:tc>
        <w:tc>
          <w:tcPr>
            <w:tcW w:w="3800" w:type="dxa"/>
            <w:vAlign w:val="bottom"/>
            <w:shd w:val="clear" w:color="auto" w:fill="DBE5F1"/>
          </w:tcPr>
          <w:p>
            <w:pPr>
              <w:ind w:left="660"/>
              <w:spacing w:after="0" w:line="202" w:lineRule="exact"/>
              <w:rPr>
                <w:sz w:val="20"/>
                <w:szCs w:val="20"/>
                <w:color w:val="auto"/>
              </w:rPr>
            </w:pPr>
            <w:r>
              <w:rPr>
                <w:rFonts w:ascii="Arial" w:cs="Arial" w:eastAsia="Arial" w:hAnsi="Arial"/>
                <w:sz w:val="18"/>
                <w:szCs w:val="18"/>
                <w:color w:val="auto"/>
              </w:rPr>
              <w:t>empowered with agenda-setting</w:t>
            </w:r>
          </w:p>
        </w:tc>
        <w:tc>
          <w:tcPr>
            <w:tcW w:w="3360" w:type="dxa"/>
            <w:vAlign w:val="bottom"/>
            <w:shd w:val="clear" w:color="auto" w:fill="DBE5F1"/>
          </w:tcPr>
          <w:p>
            <w:pPr>
              <w:ind w:left="500"/>
              <w:spacing w:after="0" w:line="202" w:lineRule="exact"/>
              <w:rPr>
                <w:sz w:val="20"/>
                <w:szCs w:val="20"/>
                <w:color w:val="auto"/>
              </w:rPr>
            </w:pPr>
            <w:r>
              <w:rPr>
                <w:rFonts w:ascii="Arial" w:cs="Arial" w:eastAsia="Arial" w:hAnsi="Arial"/>
                <w:sz w:val="18"/>
                <w:szCs w:val="18"/>
                <w:color w:val="auto"/>
              </w:rPr>
              <w:t>determination of optimal Board</w:t>
            </w:r>
          </w:p>
        </w:tc>
        <w:tc>
          <w:tcPr>
            <w:tcW w:w="0" w:type="dxa"/>
            <w:vAlign w:val="bottom"/>
          </w:tcPr>
          <w:p>
            <w:pPr>
              <w:spacing w:after="0"/>
              <w:rPr>
                <w:sz w:val="1"/>
                <w:szCs w:val="1"/>
                <w:color w:val="auto"/>
              </w:rPr>
            </w:pPr>
          </w:p>
        </w:tc>
      </w:tr>
      <w:tr>
        <w:trPr>
          <w:trHeight w:val="203"/>
        </w:trPr>
        <w:tc>
          <w:tcPr>
            <w:tcW w:w="3860" w:type="dxa"/>
            <w:vAlign w:val="bottom"/>
            <w:vMerge w:val="restart"/>
            <w:shd w:val="clear" w:color="auto" w:fill="DBE5F1"/>
          </w:tcPr>
          <w:p>
            <w:pPr>
              <w:ind w:left="26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 xml:space="preserve">    Board composed of a mix of long-tenured</w:t>
            </w:r>
          </w:p>
        </w:tc>
        <w:tc>
          <w:tcPr>
            <w:tcW w:w="3800" w:type="dxa"/>
            <w:vAlign w:val="bottom"/>
            <w:shd w:val="clear" w:color="auto" w:fill="DBE5F1"/>
          </w:tcPr>
          <w:p>
            <w:pPr>
              <w:ind w:left="660"/>
              <w:spacing w:after="0" w:line="202" w:lineRule="exact"/>
              <w:rPr>
                <w:sz w:val="20"/>
                <w:szCs w:val="20"/>
                <w:color w:val="auto"/>
              </w:rPr>
            </w:pPr>
            <w:r>
              <w:rPr>
                <w:rFonts w:ascii="Arial" w:cs="Arial" w:eastAsia="Arial" w:hAnsi="Arial"/>
                <w:sz w:val="18"/>
                <w:szCs w:val="18"/>
                <w:color w:val="auto"/>
              </w:rPr>
              <w:t>authority and active involvement in</w:t>
            </w:r>
          </w:p>
        </w:tc>
        <w:tc>
          <w:tcPr>
            <w:tcW w:w="3360" w:type="dxa"/>
            <w:vAlign w:val="bottom"/>
            <w:shd w:val="clear" w:color="auto" w:fill="DBE5F1"/>
          </w:tcPr>
          <w:p>
            <w:pPr>
              <w:ind w:left="500"/>
              <w:spacing w:after="0" w:line="202" w:lineRule="exact"/>
              <w:rPr>
                <w:sz w:val="20"/>
                <w:szCs w:val="20"/>
                <w:color w:val="auto"/>
              </w:rPr>
            </w:pPr>
            <w:r>
              <w:rPr>
                <w:rFonts w:ascii="Arial" w:cs="Arial" w:eastAsia="Arial" w:hAnsi="Arial"/>
                <w:sz w:val="18"/>
                <w:szCs w:val="18"/>
                <w:color w:val="auto"/>
              </w:rPr>
              <w:t>leadership structure</w:t>
            </w: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800" w:type="dxa"/>
            <w:vAlign w:val="bottom"/>
            <w:vMerge w:val="restart"/>
            <w:shd w:val="clear" w:color="auto" w:fill="DBE5F1"/>
          </w:tcPr>
          <w:p>
            <w:pPr>
              <w:ind w:left="660"/>
              <w:spacing w:after="0" w:line="202" w:lineRule="exact"/>
              <w:rPr>
                <w:sz w:val="20"/>
                <w:szCs w:val="20"/>
                <w:color w:val="auto"/>
              </w:rPr>
            </w:pPr>
            <w:r>
              <w:rPr>
                <w:rFonts w:ascii="Arial" w:cs="Arial" w:eastAsia="Arial" w:hAnsi="Arial"/>
                <w:sz w:val="18"/>
                <w:szCs w:val="18"/>
                <w:color w:val="auto"/>
              </w:rPr>
              <w:t>oversight of Board functions, elected</w:t>
            </w:r>
          </w:p>
        </w:tc>
        <w:tc>
          <w:tcPr>
            <w:tcW w:w="3360" w:type="dxa"/>
            <w:vAlign w:val="bottom"/>
            <w:vMerge w:val="restart"/>
            <w:shd w:val="clear" w:color="auto" w:fill="DBE5F1"/>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Commitment to Board diversity of</w:t>
            </w:r>
          </w:p>
        </w:tc>
        <w:tc>
          <w:tcPr>
            <w:tcW w:w="0" w:type="dxa"/>
            <w:vAlign w:val="bottom"/>
          </w:tcPr>
          <w:p>
            <w:pPr>
              <w:spacing w:after="0"/>
              <w:rPr>
                <w:sz w:val="1"/>
                <w:szCs w:val="1"/>
                <w:color w:val="auto"/>
              </w:rPr>
            </w:pPr>
          </w:p>
        </w:tc>
      </w:tr>
      <w:tr>
        <w:trPr>
          <w:trHeight w:val="68"/>
        </w:trPr>
        <w:tc>
          <w:tcPr>
            <w:tcW w:w="3860" w:type="dxa"/>
            <w:vAlign w:val="bottom"/>
            <w:vMerge w:val="restart"/>
            <w:shd w:val="clear" w:color="auto" w:fill="DBE5F1"/>
          </w:tcPr>
          <w:p>
            <w:pPr>
              <w:ind w:left="540"/>
              <w:spacing w:after="0" w:line="202" w:lineRule="exact"/>
              <w:rPr>
                <w:sz w:val="20"/>
                <w:szCs w:val="20"/>
                <w:color w:val="auto"/>
              </w:rPr>
            </w:pPr>
            <w:r>
              <w:rPr>
                <w:rFonts w:ascii="Arial" w:cs="Arial" w:eastAsia="Arial" w:hAnsi="Arial"/>
                <w:sz w:val="18"/>
                <w:szCs w:val="18"/>
                <w:color w:val="auto"/>
              </w:rPr>
              <w:t>and new directors</w:t>
            </w:r>
          </w:p>
        </w:tc>
        <w:tc>
          <w:tcPr>
            <w:tcW w:w="3800" w:type="dxa"/>
            <w:vAlign w:val="bottom"/>
            <w:vMerge w:val="continue"/>
            <w:shd w:val="clear" w:color="auto" w:fill="DBE5F1"/>
          </w:tcPr>
          <w:p>
            <w:pPr>
              <w:spacing w:after="0"/>
              <w:rPr>
                <w:sz w:val="5"/>
                <w:szCs w:val="5"/>
                <w:color w:val="auto"/>
              </w:rPr>
            </w:pPr>
          </w:p>
        </w:tc>
        <w:tc>
          <w:tcPr>
            <w:tcW w:w="3360" w:type="dxa"/>
            <w:vAlign w:val="bottom"/>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800" w:type="dxa"/>
            <w:vAlign w:val="bottom"/>
            <w:vMerge w:val="restart"/>
            <w:shd w:val="clear" w:color="auto" w:fill="DBE5F1"/>
          </w:tcPr>
          <w:p>
            <w:pPr>
              <w:ind w:left="660"/>
              <w:spacing w:after="0" w:line="202" w:lineRule="exact"/>
              <w:rPr>
                <w:sz w:val="20"/>
                <w:szCs w:val="20"/>
                <w:color w:val="auto"/>
              </w:rPr>
            </w:pPr>
            <w:r>
              <w:rPr>
                <w:rFonts w:ascii="Arial" w:cs="Arial" w:eastAsia="Arial" w:hAnsi="Arial"/>
                <w:sz w:val="18"/>
                <w:szCs w:val="18"/>
                <w:color w:val="auto"/>
              </w:rPr>
              <w:t>annually by the independent</w:t>
            </w:r>
          </w:p>
        </w:tc>
        <w:tc>
          <w:tcPr>
            <w:tcW w:w="33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860" w:type="dxa"/>
            <w:vAlign w:val="bottom"/>
            <w:shd w:val="clear" w:color="auto" w:fill="DBE5F1"/>
          </w:tcPr>
          <w:p>
            <w:pPr>
              <w:spacing w:after="0"/>
              <w:rPr>
                <w:sz w:val="5"/>
                <w:szCs w:val="5"/>
                <w:color w:val="auto"/>
              </w:rPr>
            </w:pPr>
          </w:p>
        </w:tc>
        <w:tc>
          <w:tcPr>
            <w:tcW w:w="3800" w:type="dxa"/>
            <w:vAlign w:val="bottom"/>
            <w:vMerge w:val="continue"/>
            <w:shd w:val="clear" w:color="auto" w:fill="DBE5F1"/>
          </w:tcPr>
          <w:p>
            <w:pPr>
              <w:spacing w:after="0"/>
              <w:rPr>
                <w:sz w:val="5"/>
                <w:szCs w:val="5"/>
                <w:color w:val="auto"/>
              </w:rPr>
            </w:pPr>
          </w:p>
        </w:tc>
        <w:tc>
          <w:tcPr>
            <w:tcW w:w="3360" w:type="dxa"/>
            <w:vAlign w:val="bottom"/>
            <w:vMerge w:val="restart"/>
            <w:shd w:val="clear" w:color="auto" w:fill="DBE5F1"/>
          </w:tcPr>
          <w:p>
            <w:pPr>
              <w:ind w:left="500"/>
              <w:spacing w:after="0" w:line="202" w:lineRule="exact"/>
              <w:rPr>
                <w:sz w:val="20"/>
                <w:szCs w:val="20"/>
                <w:color w:val="auto"/>
              </w:rPr>
            </w:pPr>
            <w:r>
              <w:rPr>
                <w:rFonts w:ascii="Arial" w:cs="Arial" w:eastAsia="Arial" w:hAnsi="Arial"/>
                <w:sz w:val="18"/>
                <w:szCs w:val="18"/>
                <w:color w:val="auto"/>
              </w:rPr>
              <w:t>perspective, gender, and race or</w:t>
            </w:r>
          </w:p>
        </w:tc>
        <w:tc>
          <w:tcPr>
            <w:tcW w:w="0" w:type="dxa"/>
            <w:vAlign w:val="bottom"/>
          </w:tcPr>
          <w:p>
            <w:pPr>
              <w:spacing w:after="0"/>
              <w:rPr>
                <w:sz w:val="1"/>
                <w:szCs w:val="1"/>
                <w:color w:val="auto"/>
              </w:rPr>
            </w:pPr>
          </w:p>
        </w:tc>
      </w:tr>
      <w:tr>
        <w:trPr>
          <w:trHeight w:val="135"/>
        </w:trPr>
        <w:tc>
          <w:tcPr>
            <w:tcW w:w="3860" w:type="dxa"/>
            <w:vAlign w:val="bottom"/>
            <w:vMerge w:val="restart"/>
            <w:shd w:val="clear" w:color="auto" w:fill="DBE5F1"/>
          </w:tcPr>
          <w:p>
            <w:pPr>
              <w:ind w:left="26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Directors reflect a variety of experiences</w:t>
            </w:r>
          </w:p>
        </w:tc>
        <w:tc>
          <w:tcPr>
            <w:tcW w:w="3800" w:type="dxa"/>
            <w:vAlign w:val="bottom"/>
            <w:vMerge w:val="restart"/>
            <w:shd w:val="clear" w:color="auto" w:fill="DBE5F1"/>
          </w:tcPr>
          <w:p>
            <w:pPr>
              <w:ind w:left="660"/>
              <w:spacing w:after="0"/>
              <w:rPr>
                <w:sz w:val="20"/>
                <w:szCs w:val="20"/>
                <w:color w:val="auto"/>
              </w:rPr>
            </w:pPr>
            <w:r>
              <w:rPr>
                <w:rFonts w:ascii="Arial" w:cs="Arial" w:eastAsia="Arial" w:hAnsi="Arial"/>
                <w:sz w:val="18"/>
                <w:szCs w:val="18"/>
                <w:color w:val="auto"/>
              </w:rPr>
              <w:t>directors</w:t>
            </w:r>
          </w:p>
        </w:tc>
        <w:tc>
          <w:tcPr>
            <w:tcW w:w="33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800" w:type="dxa"/>
            <w:vAlign w:val="bottom"/>
            <w:vMerge w:val="continue"/>
            <w:shd w:val="clear" w:color="auto" w:fill="DBE5F1"/>
          </w:tcPr>
          <w:p>
            <w:pPr>
              <w:spacing w:after="0"/>
              <w:rPr>
                <w:sz w:val="11"/>
                <w:szCs w:val="11"/>
                <w:color w:val="auto"/>
              </w:rPr>
            </w:pPr>
          </w:p>
        </w:tc>
        <w:tc>
          <w:tcPr>
            <w:tcW w:w="3360" w:type="dxa"/>
            <w:vAlign w:val="bottom"/>
            <w:vMerge w:val="restart"/>
            <w:shd w:val="clear" w:color="auto" w:fill="DBE5F1"/>
          </w:tcPr>
          <w:p>
            <w:pPr>
              <w:ind w:left="500"/>
              <w:spacing w:after="0"/>
              <w:rPr>
                <w:sz w:val="20"/>
                <w:szCs w:val="20"/>
                <w:color w:val="auto"/>
              </w:rPr>
            </w:pPr>
            <w:r>
              <w:rPr>
                <w:rFonts w:ascii="Arial" w:cs="Arial" w:eastAsia="Arial" w:hAnsi="Arial"/>
                <w:sz w:val="18"/>
                <w:szCs w:val="18"/>
                <w:color w:val="auto"/>
              </w:rPr>
              <w:t>ethnicity</w:t>
            </w:r>
          </w:p>
        </w:tc>
        <w:tc>
          <w:tcPr>
            <w:tcW w:w="0" w:type="dxa"/>
            <w:vAlign w:val="bottom"/>
          </w:tcPr>
          <w:p>
            <w:pPr>
              <w:spacing w:after="0"/>
              <w:rPr>
                <w:sz w:val="1"/>
                <w:szCs w:val="1"/>
                <w:color w:val="auto"/>
              </w:rPr>
            </w:pPr>
          </w:p>
        </w:tc>
      </w:tr>
      <w:tr>
        <w:trPr>
          <w:trHeight w:val="104"/>
        </w:trPr>
        <w:tc>
          <w:tcPr>
            <w:tcW w:w="3860" w:type="dxa"/>
            <w:vAlign w:val="bottom"/>
            <w:vMerge w:val="restart"/>
            <w:shd w:val="clear" w:color="auto" w:fill="DBE5F1"/>
          </w:tcPr>
          <w:p>
            <w:pPr>
              <w:ind w:left="540"/>
              <w:spacing w:after="0"/>
              <w:rPr>
                <w:sz w:val="20"/>
                <w:szCs w:val="20"/>
                <w:color w:val="auto"/>
              </w:rPr>
            </w:pPr>
            <w:r>
              <w:rPr>
                <w:rFonts w:ascii="Arial" w:cs="Arial" w:eastAsia="Arial" w:hAnsi="Arial"/>
                <w:sz w:val="18"/>
                <w:szCs w:val="18"/>
                <w:color w:val="auto"/>
              </w:rPr>
              <w:t>and skills that give the Board the</w:t>
            </w:r>
          </w:p>
        </w:tc>
        <w:tc>
          <w:tcPr>
            <w:tcW w:w="3800" w:type="dxa"/>
            <w:vAlign w:val="bottom"/>
            <w:vMerge w:val="restart"/>
            <w:shd w:val="clear" w:color="auto" w:fill="DBE5F1"/>
          </w:tcPr>
          <w:p>
            <w:pPr>
              <w:ind w:left="3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Active and empowered committee</w:t>
            </w:r>
          </w:p>
        </w:tc>
        <w:tc>
          <w:tcPr>
            <w:tcW w:w="33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860" w:type="dxa"/>
            <w:vAlign w:val="bottom"/>
            <w:vMerge w:val="continue"/>
            <w:shd w:val="clear" w:color="auto" w:fill="DBE5F1"/>
          </w:tcPr>
          <w:p>
            <w:pPr>
              <w:spacing w:after="0"/>
              <w:rPr>
                <w:sz w:val="11"/>
                <w:szCs w:val="11"/>
                <w:color w:val="auto"/>
              </w:rPr>
            </w:pPr>
          </w:p>
        </w:tc>
        <w:tc>
          <w:tcPr>
            <w:tcW w:w="3800" w:type="dxa"/>
            <w:vAlign w:val="bottom"/>
            <w:vMerge w:val="continue"/>
            <w:shd w:val="clear" w:color="auto" w:fill="DBE5F1"/>
          </w:tcPr>
          <w:p>
            <w:pPr>
              <w:spacing w:after="0"/>
              <w:rPr>
                <w:sz w:val="11"/>
                <w:szCs w:val="11"/>
                <w:color w:val="auto"/>
              </w:rPr>
            </w:pPr>
          </w:p>
        </w:tc>
        <w:tc>
          <w:tcPr>
            <w:tcW w:w="3360" w:type="dxa"/>
            <w:vAlign w:val="bottom"/>
            <w:vMerge w:val="restart"/>
            <w:shd w:val="clear" w:color="auto" w:fill="DBE5F1"/>
          </w:tcPr>
          <w:p>
            <w:pPr>
              <w:ind w:left="2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Directors attended about 92% of</w:t>
            </w:r>
          </w:p>
        </w:tc>
        <w:tc>
          <w:tcPr>
            <w:tcW w:w="0" w:type="dxa"/>
            <w:vAlign w:val="bottom"/>
          </w:tcPr>
          <w:p>
            <w:pPr>
              <w:spacing w:after="0"/>
              <w:rPr>
                <w:sz w:val="1"/>
                <w:szCs w:val="1"/>
                <w:color w:val="auto"/>
              </w:rPr>
            </w:pPr>
          </w:p>
        </w:tc>
      </w:tr>
      <w:tr>
        <w:trPr>
          <w:trHeight w:val="170"/>
        </w:trPr>
        <w:tc>
          <w:tcPr>
            <w:tcW w:w="3860" w:type="dxa"/>
            <w:vAlign w:val="bottom"/>
            <w:shd w:val="clear" w:color="auto" w:fill="DBE5F1"/>
          </w:tcPr>
          <w:p>
            <w:pPr>
              <w:ind w:left="540"/>
              <w:spacing w:after="0" w:line="170" w:lineRule="exact"/>
              <w:rPr>
                <w:sz w:val="20"/>
                <w:szCs w:val="20"/>
                <w:color w:val="auto"/>
              </w:rPr>
            </w:pPr>
            <w:r>
              <w:rPr>
                <w:rFonts w:ascii="Arial" w:cs="Arial" w:eastAsia="Arial" w:hAnsi="Arial"/>
                <w:sz w:val="18"/>
                <w:szCs w:val="18"/>
                <w:color w:val="auto"/>
                <w:w w:val="99"/>
              </w:rPr>
              <w:t>collective capability necessary to oversee</w:t>
            </w:r>
          </w:p>
        </w:tc>
        <w:tc>
          <w:tcPr>
            <w:tcW w:w="3800" w:type="dxa"/>
            <w:vAlign w:val="bottom"/>
            <w:vMerge w:val="restart"/>
            <w:shd w:val="clear" w:color="auto" w:fill="DBE5F1"/>
          </w:tcPr>
          <w:p>
            <w:pPr>
              <w:ind w:left="660"/>
              <w:spacing w:after="0"/>
              <w:rPr>
                <w:sz w:val="20"/>
                <w:szCs w:val="20"/>
                <w:color w:val="auto"/>
              </w:rPr>
            </w:pPr>
            <w:r>
              <w:rPr>
                <w:rFonts w:ascii="Arial" w:cs="Arial" w:eastAsia="Arial" w:hAnsi="Arial"/>
                <w:sz w:val="18"/>
                <w:szCs w:val="18"/>
                <w:color w:val="auto"/>
              </w:rPr>
              <w:t>chairs, all of whom are independent</w:t>
            </w:r>
          </w:p>
        </w:tc>
        <w:tc>
          <w:tcPr>
            <w:tcW w:w="3360" w:type="dxa"/>
            <w:vAlign w:val="bottom"/>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3860" w:type="dxa"/>
            <w:vAlign w:val="bottom"/>
            <w:vMerge w:val="restart"/>
            <w:shd w:val="clear" w:color="auto" w:fill="DBE5F1"/>
          </w:tcPr>
          <w:p>
            <w:pPr>
              <w:ind w:left="540"/>
              <w:spacing w:after="0" w:line="202" w:lineRule="exact"/>
              <w:rPr>
                <w:sz w:val="20"/>
                <w:szCs w:val="20"/>
                <w:color w:val="auto"/>
              </w:rPr>
            </w:pPr>
            <w:r>
              <w:rPr>
                <w:rFonts w:ascii="Arial" w:cs="Arial" w:eastAsia="Arial" w:hAnsi="Arial"/>
                <w:sz w:val="18"/>
                <w:szCs w:val="18"/>
                <w:color w:val="auto"/>
              </w:rPr>
              <w:t>the Company’s activities</w:t>
            </w:r>
          </w:p>
        </w:tc>
        <w:tc>
          <w:tcPr>
            <w:tcW w:w="3800" w:type="dxa"/>
            <w:vAlign w:val="bottom"/>
            <w:vMerge w:val="continue"/>
            <w:shd w:val="clear" w:color="auto" w:fill="DBE5F1"/>
          </w:tcPr>
          <w:p>
            <w:pPr>
              <w:spacing w:after="0"/>
              <w:rPr>
                <w:sz w:val="9"/>
                <w:szCs w:val="9"/>
                <w:color w:val="auto"/>
              </w:rPr>
            </w:pPr>
          </w:p>
        </w:tc>
        <w:tc>
          <w:tcPr>
            <w:tcW w:w="3360" w:type="dxa"/>
            <w:vAlign w:val="bottom"/>
            <w:vMerge w:val="restart"/>
            <w:shd w:val="clear" w:color="auto" w:fill="DBE5F1"/>
          </w:tcPr>
          <w:p>
            <w:pPr>
              <w:ind w:left="500"/>
              <w:spacing w:after="0" w:line="202" w:lineRule="exact"/>
              <w:rPr>
                <w:sz w:val="20"/>
                <w:szCs w:val="20"/>
                <w:color w:val="auto"/>
              </w:rPr>
            </w:pPr>
            <w:r>
              <w:rPr>
                <w:rFonts w:ascii="Arial" w:cs="Arial" w:eastAsia="Arial" w:hAnsi="Arial"/>
                <w:sz w:val="18"/>
                <w:szCs w:val="18"/>
                <w:color w:val="auto"/>
              </w:rPr>
              <w:t>Board and Committee meetings</w:t>
            </w:r>
          </w:p>
        </w:tc>
        <w:tc>
          <w:tcPr>
            <w:tcW w:w="0" w:type="dxa"/>
            <w:vAlign w:val="bottom"/>
          </w:tcPr>
          <w:p>
            <w:pPr>
              <w:spacing w:after="0"/>
              <w:rPr>
                <w:sz w:val="1"/>
                <w:szCs w:val="1"/>
                <w:color w:val="auto"/>
              </w:rPr>
            </w:pPr>
          </w:p>
        </w:tc>
      </w:tr>
      <w:tr>
        <w:trPr>
          <w:trHeight w:val="99"/>
        </w:trPr>
        <w:tc>
          <w:tcPr>
            <w:tcW w:w="3860" w:type="dxa"/>
            <w:vAlign w:val="bottom"/>
            <w:vMerge w:val="continue"/>
            <w:shd w:val="clear" w:color="auto" w:fill="DBE5F1"/>
          </w:tcPr>
          <w:p>
            <w:pPr>
              <w:spacing w:after="0"/>
              <w:rPr>
                <w:sz w:val="8"/>
                <w:szCs w:val="8"/>
                <w:color w:val="auto"/>
              </w:rPr>
            </w:pPr>
          </w:p>
        </w:tc>
        <w:tc>
          <w:tcPr>
            <w:tcW w:w="3800" w:type="dxa"/>
            <w:vAlign w:val="bottom"/>
            <w:shd w:val="clear" w:color="auto" w:fill="DBE5F1"/>
          </w:tcPr>
          <w:p>
            <w:pPr>
              <w:spacing w:after="0"/>
              <w:rPr>
                <w:sz w:val="8"/>
                <w:szCs w:val="8"/>
                <w:color w:val="auto"/>
              </w:rPr>
            </w:pPr>
          </w:p>
        </w:tc>
        <w:tc>
          <w:tcPr>
            <w:tcW w:w="336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860" w:type="dxa"/>
            <w:vAlign w:val="bottom"/>
            <w:tcBorders>
              <w:bottom w:val="single" w:sz="8" w:color="auto"/>
            </w:tcBorders>
            <w:shd w:val="clear" w:color="auto" w:fill="DBE5F1"/>
          </w:tcPr>
          <w:p>
            <w:pPr>
              <w:spacing w:after="0"/>
              <w:rPr>
                <w:sz w:val="20"/>
                <w:szCs w:val="20"/>
                <w:color w:val="auto"/>
              </w:rPr>
            </w:pPr>
          </w:p>
        </w:tc>
        <w:tc>
          <w:tcPr>
            <w:tcW w:w="3800" w:type="dxa"/>
            <w:vAlign w:val="bottom"/>
            <w:tcBorders>
              <w:bottom w:val="single" w:sz="8" w:color="auto"/>
            </w:tcBorders>
            <w:shd w:val="clear" w:color="auto" w:fill="DBE5F1"/>
          </w:tcPr>
          <w:p>
            <w:pPr>
              <w:spacing w:after="0"/>
              <w:rPr>
                <w:sz w:val="20"/>
                <w:szCs w:val="20"/>
                <w:color w:val="auto"/>
              </w:rPr>
            </w:pPr>
          </w:p>
        </w:tc>
        <w:tc>
          <w:tcPr>
            <w:tcW w:w="3360" w:type="dxa"/>
            <w:vAlign w:val="bottom"/>
            <w:tcBorders>
              <w:bottom w:val="single" w:sz="8" w:color="auto"/>
            </w:tcBorders>
            <w:shd w:val="clear" w:color="auto" w:fill="DBE5F1"/>
          </w:tcPr>
          <w:p>
            <w:pPr>
              <w:ind w:left="500"/>
              <w:spacing w:after="0"/>
              <w:rPr>
                <w:sz w:val="20"/>
                <w:szCs w:val="20"/>
                <w:color w:val="auto"/>
              </w:rPr>
            </w:pPr>
            <w:r>
              <w:rPr>
                <w:rFonts w:ascii="Arial" w:cs="Arial" w:eastAsia="Arial" w:hAnsi="Arial"/>
                <w:sz w:val="18"/>
                <w:szCs w:val="18"/>
                <w:color w:val="auto"/>
              </w:rPr>
              <w:t>combined in 2023</w:t>
            </w:r>
          </w:p>
        </w:tc>
        <w:tc>
          <w:tcPr>
            <w:tcW w:w="0" w:type="dxa"/>
            <w:vAlign w:val="bottom"/>
          </w:tcPr>
          <w:p>
            <w:pPr>
              <w:spacing w:after="0"/>
              <w:rPr>
                <w:sz w:val="1"/>
                <w:szCs w:val="1"/>
                <w:color w:val="auto"/>
              </w:rPr>
            </w:pPr>
          </w:p>
        </w:tc>
      </w:tr>
      <w:tr>
        <w:trPr>
          <w:trHeight w:val="343"/>
        </w:trPr>
        <w:tc>
          <w:tcPr>
            <w:tcW w:w="38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Good Governance Practices</w:t>
            </w:r>
          </w:p>
        </w:tc>
        <w:tc>
          <w:tcPr>
            <w:tcW w:w="380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sectPr>
          <w:pgSz w:w="11900" w:h="16838" w:orient="portrait"/>
          <w:cols w:equalWidth="0" w:num="1">
            <w:col w:w="11020"/>
          </w:cols>
          <w:pgMar w:left="440" w:top="1440" w:right="439" w:bottom="1440" w:gutter="0" w:footer="0" w:header="0"/>
        </w:sectPr>
      </w:pPr>
    </w:p>
    <w:p>
      <w:pPr>
        <w:ind w:left="540" w:right="660" w:hanging="269"/>
        <w:spacing w:after="0" w:line="316"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Ongoing Board assessment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refreshment led by the NCGCC</w:t>
      </w:r>
    </w:p>
    <w:p>
      <w:pPr>
        <w:spacing w:after="0" w:line="23" w:lineRule="exact"/>
        <w:rPr>
          <w:sz w:val="20"/>
          <w:szCs w:val="20"/>
          <w:color w:val="auto"/>
        </w:rPr>
      </w:pPr>
    </w:p>
    <w:p>
      <w:pPr>
        <w:ind w:left="540" w:right="480" w:hanging="26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Annual Board and Committee self-assessments</w:t>
      </w:r>
    </w:p>
    <w:p>
      <w:pPr>
        <w:spacing w:after="0" w:line="47" w:lineRule="exact"/>
        <w:rPr>
          <w:sz w:val="20"/>
          <w:szCs w:val="20"/>
          <w:color w:val="auto"/>
        </w:rPr>
      </w:pPr>
    </w:p>
    <w:p>
      <w:pPr>
        <w:ind w:left="540" w:right="40" w:hanging="269"/>
        <w:spacing w:after="0" w:line="316"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Insider trading policy, including</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prohibitions on pledging and short-sales</w:t>
      </w:r>
    </w:p>
    <w:p>
      <w:pPr>
        <w:spacing w:after="0" w:line="23" w:lineRule="exact"/>
        <w:rPr>
          <w:sz w:val="20"/>
          <w:szCs w:val="20"/>
          <w:color w:val="auto"/>
        </w:rPr>
      </w:pPr>
    </w:p>
    <w:p>
      <w:pPr>
        <w:ind w:left="540" w:hanging="26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Incentive-based compensation clawback</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policy</w:t>
      </w:r>
    </w:p>
    <w:p>
      <w:pPr>
        <w:spacing w:after="0" w:line="20" w:lineRule="exact"/>
        <w:rPr>
          <w:sz w:val="20"/>
          <w:szCs w:val="20"/>
          <w:color w:val="auto"/>
        </w:rPr>
      </w:pPr>
      <w:r>
        <w:rPr>
          <w:sz w:val="20"/>
          <w:szCs w:val="20"/>
          <w:color w:val="auto"/>
        </w:rPr>
        <w:br w:type="column"/>
      </w:r>
    </w:p>
    <w:p>
      <w:pPr>
        <w:ind w:left="280" w:right="20" w:hanging="269"/>
        <w:spacing w:after="0" w:line="251"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Regular executive sessions of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independent directors at meetings of the Board, without management present</w:t>
      </w:r>
    </w:p>
    <w:p>
      <w:pPr>
        <w:spacing w:after="0" w:line="77" w:lineRule="exact"/>
        <w:rPr>
          <w:sz w:val="20"/>
          <w:szCs w:val="20"/>
          <w:color w:val="auto"/>
        </w:rPr>
      </w:pPr>
    </w:p>
    <w:p>
      <w:pPr>
        <w:ind w:left="280" w:right="60" w:hanging="26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Officer and director stock ownership</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requirements</w:t>
      </w:r>
    </w:p>
    <w:p>
      <w:pPr>
        <w:spacing w:after="0" w:line="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Code of Conduct overseen by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290195</wp:posOffset>
            </wp:positionV>
            <wp:extent cx="6995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20" w:hanging="269"/>
        <w:spacing w:after="0" w:line="271"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Robust stockholder engagement</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program, with the participation of our Chairman, to share our perspectives and solicit feedback</w:t>
      </w:r>
    </w:p>
    <w:p>
      <w:pPr>
        <w:spacing w:after="0" w:line="60" w:lineRule="exact"/>
        <w:rPr>
          <w:sz w:val="20"/>
          <w:szCs w:val="20"/>
          <w:color w:val="auto"/>
        </w:rPr>
      </w:pPr>
    </w:p>
    <w:p>
      <w:pPr>
        <w:ind w:right="380" w:hanging="26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Lead Sponsors can call special</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stockholder meetings</w:t>
      </w:r>
    </w:p>
    <w:p>
      <w:pPr>
        <w:spacing w:after="0" w:line="843" w:lineRule="exact"/>
        <w:rPr>
          <w:sz w:val="20"/>
          <w:szCs w:val="20"/>
          <w:color w:val="auto"/>
        </w:rPr>
      </w:pPr>
    </w:p>
    <w:p>
      <w:pPr>
        <w:sectPr>
          <w:pgSz w:w="11900" w:h="16838" w:orient="portrait"/>
          <w:cols w:equalWidth="0" w:num="3">
            <w:col w:w="3760" w:space="480"/>
            <w:col w:w="3200" w:space="720"/>
            <w:col w:w="2860"/>
          </w:cols>
          <w:pgMar w:left="440" w:top="1440" w:right="4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020"/>
          </w:cols>
          <w:pgMar w:left="440" w:top="1440" w:right="4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97"/>
        </w:trPr>
        <w:tc>
          <w:tcPr>
            <w:tcW w:w="3860" w:type="dxa"/>
            <w:vAlign w:val="bottom"/>
            <w:tcBorders>
              <w:top w:val="single" w:sz="8" w:color="auto"/>
            </w:tcBorders>
            <w:shd w:val="clear" w:color="auto" w:fill="DBE5F1"/>
          </w:tcPr>
          <w:p>
            <w:pPr>
              <w:ind w:left="160"/>
              <w:spacing w:after="0"/>
              <w:rPr>
                <w:sz w:val="20"/>
                <w:szCs w:val="20"/>
                <w:color w:val="auto"/>
              </w:rPr>
            </w:pPr>
            <w:r>
              <w:rPr>
                <w:rFonts w:ascii="Arial" w:cs="Arial" w:eastAsia="Arial" w:hAnsi="Arial"/>
                <w:sz w:val="16"/>
                <w:szCs w:val="16"/>
                <w:b w:val="1"/>
                <w:bCs w:val="1"/>
                <w:i w:val="1"/>
                <w:iCs w:val="1"/>
                <w:color w:val="auto"/>
              </w:rPr>
              <w:t>Board Operations and Oversight</w:t>
            </w:r>
          </w:p>
        </w:tc>
        <w:tc>
          <w:tcPr>
            <w:tcW w:w="3760" w:type="dxa"/>
            <w:vAlign w:val="bottom"/>
            <w:tcBorders>
              <w:top w:val="single" w:sz="8" w:color="auto"/>
            </w:tcBorders>
            <w:shd w:val="clear" w:color="auto" w:fill="DBE5F1"/>
          </w:tcPr>
          <w:p>
            <w:pPr>
              <w:spacing w:after="0"/>
              <w:rPr>
                <w:sz w:val="24"/>
                <w:szCs w:val="24"/>
                <w:color w:val="auto"/>
              </w:rPr>
            </w:pPr>
          </w:p>
        </w:tc>
        <w:tc>
          <w:tcPr>
            <w:tcW w:w="3400" w:type="dxa"/>
            <w:vAlign w:val="bottom"/>
            <w:tcBorders>
              <w:top w:val="single" w:sz="8" w:color="auto"/>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86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Active board oversight of strategic planning</w:t>
            </w:r>
          </w:p>
        </w:tc>
        <w:tc>
          <w:tcPr>
            <w:tcW w:w="376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Audit Committee oversight of financial</w:t>
            </w:r>
          </w:p>
        </w:tc>
        <w:tc>
          <w:tcPr>
            <w:tcW w:w="340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Direct access by the Board to members</w:t>
            </w:r>
          </w:p>
        </w:tc>
        <w:tc>
          <w:tcPr>
            <w:tcW w:w="0" w:type="dxa"/>
            <w:vAlign w:val="bottom"/>
          </w:tcPr>
          <w:p>
            <w:pPr>
              <w:spacing w:after="0"/>
              <w:rPr>
                <w:sz w:val="1"/>
                <w:szCs w:val="1"/>
                <w:color w:val="auto"/>
              </w:rPr>
            </w:pPr>
          </w:p>
        </w:tc>
      </w:tr>
      <w:tr>
        <w:trPr>
          <w:trHeight w:val="189"/>
        </w:trPr>
        <w:tc>
          <w:tcPr>
            <w:tcW w:w="386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Robust oversight framework to assess and</w:t>
            </w:r>
          </w:p>
        </w:tc>
        <w:tc>
          <w:tcPr>
            <w:tcW w:w="3760" w:type="dxa"/>
            <w:vAlign w:val="bottom"/>
            <w:shd w:val="clear" w:color="auto" w:fill="DBE5F1"/>
          </w:tcPr>
          <w:p>
            <w:pPr>
              <w:ind w:left="600"/>
              <w:spacing w:after="0"/>
              <w:rPr>
                <w:sz w:val="20"/>
                <w:szCs w:val="20"/>
                <w:color w:val="auto"/>
              </w:rPr>
            </w:pPr>
            <w:r>
              <w:rPr>
                <w:rFonts w:ascii="Arial" w:cs="Arial" w:eastAsia="Arial" w:hAnsi="Arial"/>
                <w:sz w:val="16"/>
                <w:szCs w:val="16"/>
                <w:color w:val="auto"/>
              </w:rPr>
              <w:t>risks, cybersecurity</w:t>
            </w:r>
          </w:p>
        </w:tc>
        <w:tc>
          <w:tcPr>
            <w:tcW w:w="3400" w:type="dxa"/>
            <w:vAlign w:val="bottom"/>
            <w:shd w:val="clear" w:color="auto" w:fill="DBE5F1"/>
          </w:tcPr>
          <w:p>
            <w:pPr>
              <w:ind w:left="480"/>
              <w:spacing w:after="0"/>
              <w:rPr>
                <w:sz w:val="20"/>
                <w:szCs w:val="20"/>
                <w:color w:val="auto"/>
              </w:rPr>
            </w:pPr>
            <w:r>
              <w:rPr>
                <w:rFonts w:ascii="Arial" w:cs="Arial" w:eastAsia="Arial" w:hAnsi="Arial"/>
                <w:sz w:val="16"/>
                <w:szCs w:val="16"/>
                <w:color w:val="auto"/>
              </w:rPr>
              <w:t>of management, including Chief</w:t>
            </w: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760" w:type="dxa"/>
            <w:vAlign w:val="bottom"/>
            <w:vMerge w:val="restart"/>
            <w:shd w:val="clear" w:color="auto" w:fill="DBE5F1"/>
          </w:tcPr>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NCGCC oversight of nominating process</w:t>
            </w:r>
          </w:p>
        </w:tc>
        <w:tc>
          <w:tcPr>
            <w:tcW w:w="34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Compliance Officer</w:t>
            </w:r>
          </w:p>
        </w:tc>
        <w:tc>
          <w:tcPr>
            <w:tcW w:w="0" w:type="dxa"/>
            <w:vAlign w:val="bottom"/>
          </w:tcPr>
          <w:p>
            <w:pPr>
              <w:spacing w:after="0"/>
              <w:rPr>
                <w:sz w:val="1"/>
                <w:szCs w:val="1"/>
                <w:color w:val="auto"/>
              </w:rPr>
            </w:pPr>
          </w:p>
        </w:tc>
      </w:tr>
      <w:tr>
        <w:trPr>
          <w:trHeight w:val="80"/>
        </w:trPr>
        <w:tc>
          <w:tcPr>
            <w:tcW w:w="38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manage risks</w:t>
            </w:r>
          </w:p>
        </w:tc>
        <w:tc>
          <w:tcPr>
            <w:tcW w:w="3760" w:type="dxa"/>
            <w:vAlign w:val="bottom"/>
            <w:vMerge w:val="continue"/>
            <w:shd w:val="clear" w:color="auto" w:fill="DBE5F1"/>
          </w:tcPr>
          <w:p>
            <w:pPr>
              <w:spacing w:after="0"/>
              <w:rPr>
                <w:sz w:val="6"/>
                <w:szCs w:val="6"/>
                <w:color w:val="auto"/>
              </w:rPr>
            </w:pPr>
          </w:p>
        </w:tc>
        <w:tc>
          <w:tcPr>
            <w:tcW w:w="340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860" w:type="dxa"/>
            <w:vAlign w:val="bottom"/>
            <w:vMerge w:val="continue"/>
            <w:shd w:val="clear" w:color="auto" w:fill="DBE5F1"/>
          </w:tcPr>
          <w:p>
            <w:pPr>
              <w:spacing w:after="0"/>
              <w:rPr>
                <w:sz w:val="9"/>
                <w:szCs w:val="9"/>
                <w:color w:val="auto"/>
              </w:rPr>
            </w:pPr>
          </w:p>
        </w:tc>
        <w:tc>
          <w:tcPr>
            <w:tcW w:w="3760" w:type="dxa"/>
            <w:vAlign w:val="bottom"/>
            <w:vMerge w:val="continue"/>
            <w:shd w:val="clear" w:color="auto" w:fill="DBE5F1"/>
          </w:tcPr>
          <w:p>
            <w:pPr>
              <w:spacing w:after="0"/>
              <w:rPr>
                <w:sz w:val="9"/>
                <w:szCs w:val="9"/>
                <w:color w:val="auto"/>
              </w:rPr>
            </w:pPr>
          </w:p>
        </w:tc>
        <w:tc>
          <w:tcPr>
            <w:tcW w:w="340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Regular briefings on corporate</w:t>
            </w:r>
          </w:p>
        </w:tc>
        <w:tc>
          <w:tcPr>
            <w:tcW w:w="0" w:type="dxa"/>
            <w:vAlign w:val="bottom"/>
          </w:tcPr>
          <w:p>
            <w:pPr>
              <w:spacing w:after="0"/>
              <w:rPr>
                <w:sz w:val="1"/>
                <w:szCs w:val="1"/>
                <w:color w:val="auto"/>
              </w:rPr>
            </w:pPr>
          </w:p>
        </w:tc>
      </w:tr>
      <w:tr>
        <w:trPr>
          <w:trHeight w:val="189"/>
        </w:trPr>
        <w:tc>
          <w:tcPr>
            <w:tcW w:w="386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Committee charters provide clear allocation of</w:t>
            </w:r>
          </w:p>
        </w:tc>
        <w:tc>
          <w:tcPr>
            <w:tcW w:w="3760" w:type="dxa"/>
            <w:vAlign w:val="bottom"/>
            <w:shd w:val="clear" w:color="auto" w:fill="DBE5F1"/>
          </w:tcPr>
          <w:p>
            <w:pPr>
              <w:ind w:left="600"/>
              <w:spacing w:after="0"/>
              <w:rPr>
                <w:sz w:val="20"/>
                <w:szCs w:val="20"/>
                <w:color w:val="auto"/>
              </w:rPr>
            </w:pPr>
            <w:r>
              <w:rPr>
                <w:rFonts w:ascii="Arial" w:cs="Arial" w:eastAsia="Arial" w:hAnsi="Arial"/>
                <w:sz w:val="16"/>
                <w:szCs w:val="16"/>
                <w:color w:val="auto"/>
              </w:rPr>
              <w:t>and criteria, legal and regulatory</w:t>
            </w:r>
          </w:p>
        </w:tc>
        <w:tc>
          <w:tcPr>
            <w:tcW w:w="340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760" w:type="dxa"/>
            <w:vAlign w:val="bottom"/>
            <w:vMerge w:val="restart"/>
            <w:shd w:val="clear" w:color="auto" w:fill="DBE5F1"/>
          </w:tcPr>
          <w:p>
            <w:pPr>
              <w:ind w:left="600"/>
              <w:spacing w:after="0"/>
              <w:rPr>
                <w:sz w:val="20"/>
                <w:szCs w:val="20"/>
                <w:color w:val="auto"/>
              </w:rPr>
            </w:pPr>
            <w:r>
              <w:rPr>
                <w:rFonts w:ascii="Arial" w:cs="Arial" w:eastAsia="Arial" w:hAnsi="Arial"/>
                <w:sz w:val="16"/>
                <w:szCs w:val="16"/>
                <w:color w:val="auto"/>
              </w:rPr>
              <w:t>compliance</w:t>
            </w:r>
          </w:p>
        </w:tc>
        <w:tc>
          <w:tcPr>
            <w:tcW w:w="34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governance practices and emerging</w:t>
            </w:r>
          </w:p>
        </w:tc>
        <w:tc>
          <w:tcPr>
            <w:tcW w:w="0" w:type="dxa"/>
            <w:vAlign w:val="bottom"/>
          </w:tcPr>
          <w:p>
            <w:pPr>
              <w:spacing w:after="0"/>
              <w:rPr>
                <w:sz w:val="1"/>
                <w:szCs w:val="1"/>
                <w:color w:val="auto"/>
              </w:rPr>
            </w:pPr>
          </w:p>
        </w:tc>
      </w:tr>
      <w:tr>
        <w:trPr>
          <w:trHeight w:val="54"/>
        </w:trPr>
        <w:tc>
          <w:tcPr>
            <w:tcW w:w="38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committee and full Board oversight roles</w:t>
            </w:r>
          </w:p>
        </w:tc>
        <w:tc>
          <w:tcPr>
            <w:tcW w:w="3760" w:type="dxa"/>
            <w:vAlign w:val="bottom"/>
            <w:vMerge w:val="continue"/>
            <w:shd w:val="clear" w:color="auto" w:fill="DBE5F1"/>
          </w:tcPr>
          <w:p>
            <w:pPr>
              <w:spacing w:after="0"/>
              <w:rPr>
                <w:sz w:val="4"/>
                <w:szCs w:val="4"/>
                <w:color w:val="auto"/>
              </w:rPr>
            </w:pPr>
          </w:p>
        </w:tc>
        <w:tc>
          <w:tcPr>
            <w:tcW w:w="3400" w:type="dxa"/>
            <w:vAlign w:val="bottom"/>
            <w:vMerge w:val="continue"/>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860" w:type="dxa"/>
            <w:vAlign w:val="bottom"/>
            <w:vMerge w:val="continue"/>
            <w:shd w:val="clear" w:color="auto" w:fill="DBE5F1"/>
          </w:tcPr>
          <w:p>
            <w:pPr>
              <w:spacing w:after="0"/>
              <w:rPr>
                <w:sz w:val="13"/>
                <w:szCs w:val="13"/>
                <w:color w:val="auto"/>
              </w:rPr>
            </w:pPr>
          </w:p>
        </w:tc>
        <w:tc>
          <w:tcPr>
            <w:tcW w:w="3760" w:type="dxa"/>
            <w:vAlign w:val="bottom"/>
            <w:vMerge w:val="restart"/>
            <w:shd w:val="clear" w:color="auto" w:fill="DBE5F1"/>
          </w:tcPr>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Compensation Committee oversight of</w:t>
            </w:r>
          </w:p>
        </w:tc>
        <w:tc>
          <w:tcPr>
            <w:tcW w:w="34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corporate governance issues</w:t>
            </w:r>
          </w:p>
        </w:tc>
        <w:tc>
          <w:tcPr>
            <w:tcW w:w="0" w:type="dxa"/>
            <w:vAlign w:val="bottom"/>
          </w:tcPr>
          <w:p>
            <w:pPr>
              <w:spacing w:after="0"/>
              <w:rPr>
                <w:sz w:val="1"/>
                <w:szCs w:val="1"/>
                <w:color w:val="auto"/>
              </w:rPr>
            </w:pPr>
          </w:p>
        </w:tc>
      </w:tr>
      <w:tr>
        <w:trPr>
          <w:trHeight w:val="54"/>
        </w:trPr>
        <w:tc>
          <w:tcPr>
            <w:tcW w:w="3860" w:type="dxa"/>
            <w:vAlign w:val="bottom"/>
            <w:shd w:val="clear" w:color="auto" w:fill="DBE5F1"/>
          </w:tcPr>
          <w:p>
            <w:pPr>
              <w:spacing w:after="0"/>
              <w:rPr>
                <w:sz w:val="4"/>
                <w:szCs w:val="4"/>
                <w:color w:val="auto"/>
              </w:rPr>
            </w:pPr>
          </w:p>
        </w:tc>
        <w:tc>
          <w:tcPr>
            <w:tcW w:w="3760" w:type="dxa"/>
            <w:vAlign w:val="bottom"/>
            <w:vMerge w:val="continue"/>
            <w:shd w:val="clear" w:color="auto" w:fill="DBE5F1"/>
          </w:tcPr>
          <w:p>
            <w:pPr>
              <w:spacing w:after="0"/>
              <w:rPr>
                <w:sz w:val="4"/>
                <w:szCs w:val="4"/>
                <w:color w:val="auto"/>
              </w:rPr>
            </w:pPr>
          </w:p>
        </w:tc>
        <w:tc>
          <w:tcPr>
            <w:tcW w:w="3400" w:type="dxa"/>
            <w:vAlign w:val="bottom"/>
            <w:vMerge w:val="continue"/>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109"/>
        </w:trPr>
        <w:tc>
          <w:tcPr>
            <w:tcW w:w="386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Regular talent and succession planning</w:t>
            </w:r>
          </w:p>
        </w:tc>
        <w:tc>
          <w:tcPr>
            <w:tcW w:w="3760" w:type="dxa"/>
            <w:vAlign w:val="bottom"/>
            <w:vMerge w:val="continue"/>
            <w:shd w:val="clear" w:color="auto" w:fill="DBE5F1"/>
          </w:tcPr>
          <w:p>
            <w:pPr>
              <w:spacing w:after="0"/>
              <w:rPr>
                <w:sz w:val="9"/>
                <w:szCs w:val="9"/>
                <w:color w:val="auto"/>
              </w:rPr>
            </w:pPr>
          </w:p>
        </w:tc>
        <w:tc>
          <w:tcPr>
            <w:tcW w:w="340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Monthly “teach-ins” addressing key</w:t>
            </w: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760" w:type="dxa"/>
            <w:vAlign w:val="bottom"/>
            <w:vMerge w:val="restart"/>
            <w:shd w:val="clear" w:color="auto" w:fill="DBE5F1"/>
          </w:tcPr>
          <w:p>
            <w:pPr>
              <w:ind w:left="600"/>
              <w:spacing w:after="0"/>
              <w:rPr>
                <w:sz w:val="20"/>
                <w:szCs w:val="20"/>
                <w:color w:val="auto"/>
              </w:rPr>
            </w:pPr>
            <w:r>
              <w:rPr>
                <w:rFonts w:ascii="Arial" w:cs="Arial" w:eastAsia="Arial" w:hAnsi="Arial"/>
                <w:sz w:val="16"/>
                <w:szCs w:val="16"/>
                <w:color w:val="auto"/>
              </w:rPr>
              <w:t>compensation program, annual CEO</w:t>
            </w:r>
          </w:p>
        </w:tc>
        <w:tc>
          <w:tcPr>
            <w:tcW w:w="340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8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discussions</w:t>
            </w:r>
          </w:p>
        </w:tc>
        <w:tc>
          <w:tcPr>
            <w:tcW w:w="3760" w:type="dxa"/>
            <w:vAlign w:val="bottom"/>
            <w:vMerge w:val="continue"/>
            <w:shd w:val="clear" w:color="auto" w:fill="DBE5F1"/>
          </w:tcPr>
          <w:p>
            <w:pPr>
              <w:spacing w:after="0"/>
              <w:rPr>
                <w:sz w:val="4"/>
                <w:szCs w:val="4"/>
                <w:color w:val="auto"/>
              </w:rPr>
            </w:pPr>
          </w:p>
        </w:tc>
        <w:tc>
          <w:tcPr>
            <w:tcW w:w="3400" w:type="dxa"/>
            <w:vAlign w:val="bottom"/>
            <w:vMerge w:val="continue"/>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3860" w:type="dxa"/>
            <w:vAlign w:val="bottom"/>
            <w:vMerge w:val="continue"/>
            <w:shd w:val="clear" w:color="auto" w:fill="DBE5F1"/>
          </w:tcPr>
          <w:p>
            <w:pPr>
              <w:spacing w:after="0"/>
              <w:rPr>
                <w:sz w:val="13"/>
                <w:szCs w:val="13"/>
                <w:color w:val="auto"/>
              </w:rPr>
            </w:pPr>
          </w:p>
        </w:tc>
        <w:tc>
          <w:tcPr>
            <w:tcW w:w="3760" w:type="dxa"/>
            <w:vAlign w:val="bottom"/>
            <w:vMerge w:val="restart"/>
            <w:shd w:val="clear" w:color="auto" w:fill="DBE5F1"/>
          </w:tcPr>
          <w:p>
            <w:pPr>
              <w:ind w:left="600"/>
              <w:spacing w:after="0"/>
              <w:rPr>
                <w:sz w:val="20"/>
                <w:szCs w:val="20"/>
                <w:color w:val="auto"/>
              </w:rPr>
            </w:pPr>
            <w:r>
              <w:rPr>
                <w:rFonts w:ascii="Arial" w:cs="Arial" w:eastAsia="Arial" w:hAnsi="Arial"/>
                <w:sz w:val="16"/>
                <w:szCs w:val="16"/>
                <w:color w:val="auto"/>
              </w:rPr>
              <w:t>evaluation</w:t>
            </w:r>
          </w:p>
        </w:tc>
        <w:tc>
          <w:tcPr>
            <w:tcW w:w="340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strategic areas</w:t>
            </w:r>
          </w:p>
        </w:tc>
        <w:tc>
          <w:tcPr>
            <w:tcW w:w="0" w:type="dxa"/>
            <w:vAlign w:val="bottom"/>
          </w:tcPr>
          <w:p>
            <w:pPr>
              <w:spacing w:after="0"/>
              <w:rPr>
                <w:sz w:val="1"/>
                <w:szCs w:val="1"/>
                <w:color w:val="auto"/>
              </w:rPr>
            </w:pPr>
          </w:p>
        </w:tc>
      </w:tr>
      <w:tr>
        <w:trPr>
          <w:trHeight w:val="54"/>
        </w:trPr>
        <w:tc>
          <w:tcPr>
            <w:tcW w:w="3860" w:type="dxa"/>
            <w:vAlign w:val="bottom"/>
            <w:shd w:val="clear" w:color="auto" w:fill="DBE5F1"/>
          </w:tcPr>
          <w:p>
            <w:pPr>
              <w:spacing w:after="0"/>
              <w:rPr>
                <w:sz w:val="4"/>
                <w:szCs w:val="4"/>
                <w:color w:val="auto"/>
              </w:rPr>
            </w:pPr>
          </w:p>
        </w:tc>
        <w:tc>
          <w:tcPr>
            <w:tcW w:w="3760" w:type="dxa"/>
            <w:vAlign w:val="bottom"/>
            <w:vMerge w:val="continue"/>
            <w:shd w:val="clear" w:color="auto" w:fill="DBE5F1"/>
          </w:tcPr>
          <w:p>
            <w:pPr>
              <w:spacing w:after="0"/>
              <w:rPr>
                <w:sz w:val="4"/>
                <w:szCs w:val="4"/>
                <w:color w:val="auto"/>
              </w:rPr>
            </w:pPr>
          </w:p>
        </w:tc>
        <w:tc>
          <w:tcPr>
            <w:tcW w:w="3400" w:type="dxa"/>
            <w:vAlign w:val="bottom"/>
            <w:vMerge w:val="continue"/>
            <w:shd w:val="clear" w:color="auto" w:fill="DBE5F1"/>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3860" w:type="dxa"/>
            <w:vAlign w:val="bottom"/>
            <w:tcBorders>
              <w:bottom w:val="single" w:sz="8" w:color="auto"/>
            </w:tcBorders>
            <w:shd w:val="clear" w:color="auto" w:fill="DBE5F1"/>
          </w:tcPr>
          <w:p>
            <w:pPr>
              <w:spacing w:after="0"/>
              <w:rPr>
                <w:sz w:val="6"/>
                <w:szCs w:val="6"/>
                <w:color w:val="auto"/>
              </w:rPr>
            </w:pPr>
          </w:p>
        </w:tc>
        <w:tc>
          <w:tcPr>
            <w:tcW w:w="3760" w:type="dxa"/>
            <w:vAlign w:val="bottom"/>
            <w:tcBorders>
              <w:bottom w:val="single" w:sz="8" w:color="auto"/>
            </w:tcBorders>
            <w:shd w:val="clear" w:color="auto" w:fill="DBE5F1"/>
          </w:tcPr>
          <w:p>
            <w:pPr>
              <w:spacing w:after="0"/>
              <w:rPr>
                <w:sz w:val="6"/>
                <w:szCs w:val="6"/>
                <w:color w:val="auto"/>
              </w:rPr>
            </w:pPr>
          </w:p>
        </w:tc>
        <w:tc>
          <w:tcPr>
            <w:tcW w:w="3400" w:type="dxa"/>
            <w:vAlign w:val="bottom"/>
            <w:tcBorders>
              <w:bottom w:val="single" w:sz="8" w:color="auto"/>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7620" w:type="dxa"/>
            <w:vAlign w:val="bottom"/>
            <w:gridSpan w:val="2"/>
          </w:tcPr>
          <w:p>
            <w:pPr>
              <w:ind w:left="160"/>
              <w:spacing w:after="0"/>
              <w:rPr>
                <w:sz w:val="20"/>
                <w:szCs w:val="20"/>
                <w:color w:val="auto"/>
              </w:rPr>
            </w:pPr>
            <w:r>
              <w:rPr>
                <w:rFonts w:ascii="Arial" w:cs="Arial" w:eastAsia="Arial" w:hAnsi="Arial"/>
                <w:sz w:val="16"/>
                <w:szCs w:val="16"/>
                <w:b w:val="1"/>
                <w:bCs w:val="1"/>
                <w:i w:val="1"/>
                <w:iCs w:val="1"/>
                <w:color w:val="auto"/>
              </w:rPr>
              <w:t>Commitment to Environmental, Social &amp; Governance Principles</w:t>
            </w:r>
          </w:p>
        </w:tc>
        <w:tc>
          <w:tcPr>
            <w:tcW w:w="3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38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Strong commitment to ESG principles as part</w:t>
            </w:r>
          </w:p>
        </w:tc>
        <w:tc>
          <w:tcPr>
            <w:tcW w:w="37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Establishment of a management-led,</w:t>
            </w:r>
          </w:p>
        </w:tc>
        <w:tc>
          <w:tcPr>
            <w:tcW w:w="34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Annual reporting via standalone</w:t>
            </w:r>
          </w:p>
        </w:tc>
        <w:tc>
          <w:tcPr>
            <w:tcW w:w="0" w:type="dxa"/>
            <w:vAlign w:val="bottom"/>
          </w:tcPr>
          <w:p>
            <w:pPr>
              <w:spacing w:after="0"/>
              <w:rPr>
                <w:sz w:val="1"/>
                <w:szCs w:val="1"/>
                <w:color w:val="auto"/>
              </w:rPr>
            </w:pPr>
          </w:p>
        </w:tc>
      </w:tr>
      <w:tr>
        <w:trPr>
          <w:trHeight w:val="189"/>
        </w:trPr>
        <w:tc>
          <w:tcPr>
            <w:tcW w:w="3860" w:type="dxa"/>
            <w:vAlign w:val="bottom"/>
          </w:tcPr>
          <w:p>
            <w:pPr>
              <w:ind w:left="480"/>
              <w:spacing w:after="0"/>
              <w:rPr>
                <w:sz w:val="20"/>
                <w:szCs w:val="20"/>
                <w:color w:val="auto"/>
              </w:rPr>
            </w:pPr>
            <w:r>
              <w:rPr>
                <w:rFonts w:ascii="Arial" w:cs="Arial" w:eastAsia="Arial" w:hAnsi="Arial"/>
                <w:sz w:val="16"/>
                <w:szCs w:val="16"/>
                <w:color w:val="auto"/>
              </w:rPr>
              <w:t>of Company’s core mission, including focus on</w:t>
            </w:r>
          </w:p>
        </w:tc>
        <w:tc>
          <w:tcPr>
            <w:tcW w:w="3760" w:type="dxa"/>
            <w:vAlign w:val="bottom"/>
          </w:tcPr>
          <w:p>
            <w:pPr>
              <w:ind w:left="600"/>
              <w:spacing w:after="0"/>
              <w:rPr>
                <w:sz w:val="20"/>
                <w:szCs w:val="20"/>
                <w:color w:val="auto"/>
              </w:rPr>
            </w:pPr>
            <w:r>
              <w:rPr>
                <w:rFonts w:ascii="Arial" w:cs="Arial" w:eastAsia="Arial" w:hAnsi="Arial"/>
                <w:sz w:val="16"/>
                <w:szCs w:val="16"/>
                <w:color w:val="auto"/>
              </w:rPr>
              <w:t>interdepartmental ESG steering</w:t>
            </w:r>
          </w:p>
        </w:tc>
        <w:tc>
          <w:tcPr>
            <w:tcW w:w="3400" w:type="dxa"/>
            <w:vAlign w:val="bottom"/>
          </w:tcPr>
          <w:p>
            <w:pPr>
              <w:ind w:left="480"/>
              <w:spacing w:after="0"/>
              <w:rPr>
                <w:sz w:val="20"/>
                <w:szCs w:val="20"/>
                <w:color w:val="auto"/>
              </w:rPr>
            </w:pPr>
            <w:r>
              <w:rPr>
                <w:rFonts w:ascii="Arial" w:cs="Arial" w:eastAsia="Arial" w:hAnsi="Arial"/>
                <w:sz w:val="16"/>
                <w:szCs w:val="16"/>
                <w:color w:val="auto"/>
              </w:rPr>
              <w:t>Environmental, Social and Governance</w:t>
            </w:r>
          </w:p>
        </w:tc>
        <w:tc>
          <w:tcPr>
            <w:tcW w:w="0" w:type="dxa"/>
            <w:vAlign w:val="bottom"/>
          </w:tcPr>
          <w:p>
            <w:pPr>
              <w:spacing w:after="0"/>
              <w:rPr>
                <w:sz w:val="1"/>
                <w:szCs w:val="1"/>
                <w:color w:val="auto"/>
              </w:rPr>
            </w:pPr>
          </w:p>
        </w:tc>
      </w:tr>
      <w:tr>
        <w:trPr>
          <w:trHeight w:val="215"/>
        </w:trPr>
        <w:tc>
          <w:tcPr>
            <w:tcW w:w="3860" w:type="dxa"/>
            <w:vAlign w:val="bottom"/>
          </w:tcPr>
          <w:p>
            <w:pPr>
              <w:ind w:left="480"/>
              <w:spacing w:after="0"/>
              <w:rPr>
                <w:sz w:val="20"/>
                <w:szCs w:val="20"/>
                <w:color w:val="auto"/>
              </w:rPr>
            </w:pPr>
            <w:r>
              <w:rPr>
                <w:rFonts w:ascii="Arial" w:cs="Arial" w:eastAsia="Arial" w:hAnsi="Arial"/>
                <w:sz w:val="16"/>
                <w:szCs w:val="16"/>
                <w:color w:val="auto"/>
              </w:rPr>
              <w:t>social determinants of health</w:t>
            </w:r>
          </w:p>
        </w:tc>
        <w:tc>
          <w:tcPr>
            <w:tcW w:w="3760" w:type="dxa"/>
            <w:vAlign w:val="bottom"/>
          </w:tcPr>
          <w:p>
            <w:pPr>
              <w:ind w:left="600"/>
              <w:spacing w:after="0"/>
              <w:rPr>
                <w:sz w:val="20"/>
                <w:szCs w:val="20"/>
                <w:color w:val="auto"/>
              </w:rPr>
            </w:pPr>
            <w:r>
              <w:rPr>
                <w:rFonts w:ascii="Arial" w:cs="Arial" w:eastAsia="Arial" w:hAnsi="Arial"/>
                <w:sz w:val="16"/>
                <w:szCs w:val="16"/>
                <w:color w:val="auto"/>
              </w:rPr>
              <w:t>committee</w:t>
            </w:r>
          </w:p>
        </w:tc>
        <w:tc>
          <w:tcPr>
            <w:tcW w:w="3400" w:type="dxa"/>
            <w:vAlign w:val="bottom"/>
          </w:tcPr>
          <w:p>
            <w:pPr>
              <w:ind w:left="480"/>
              <w:spacing w:after="0"/>
              <w:rPr>
                <w:sz w:val="20"/>
                <w:szCs w:val="20"/>
                <w:color w:val="auto"/>
              </w:rPr>
            </w:pPr>
            <w:r>
              <w:rPr>
                <w:rFonts w:ascii="Arial" w:cs="Arial" w:eastAsia="Arial" w:hAnsi="Arial"/>
                <w:sz w:val="16"/>
                <w:szCs w:val="16"/>
                <w:color w:val="auto"/>
              </w:rPr>
              <w:t>Report</w:t>
            </w:r>
          </w:p>
        </w:tc>
        <w:tc>
          <w:tcPr>
            <w:tcW w:w="0" w:type="dxa"/>
            <w:vAlign w:val="bottom"/>
          </w:tcPr>
          <w:p>
            <w:pPr>
              <w:spacing w:after="0"/>
              <w:rPr>
                <w:sz w:val="1"/>
                <w:szCs w:val="1"/>
                <w:color w:val="auto"/>
              </w:rPr>
            </w:pPr>
          </w:p>
        </w:tc>
      </w:tr>
    </w:tbl>
    <w:p>
      <w:pPr>
        <w:spacing w:after="0" w:line="9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Oversight by the NCGCC of the Company’s</w:t>
      </w:r>
    </w:p>
    <w:p>
      <w:pPr>
        <w:spacing w:after="0" w:line="3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strategy, initiatives, risks, opportunities and</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related reporting on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53340</wp:posOffset>
            </wp:positionV>
            <wp:extent cx="6995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Compensation Highlights</w:t>
      </w:r>
    </w:p>
    <w:p>
      <w:pPr>
        <w:spacing w:after="0" w:line="212" w:lineRule="exact"/>
        <w:rPr>
          <w:sz w:val="20"/>
          <w:szCs w:val="20"/>
          <w:color w:val="auto"/>
        </w:rPr>
      </w:pPr>
    </w:p>
    <w:p>
      <w:pPr>
        <w:ind w:right="160" w:firstLine="440"/>
        <w:spacing w:after="0"/>
        <w:rPr>
          <w:sz w:val="20"/>
          <w:szCs w:val="20"/>
          <w:color w:val="auto"/>
        </w:rPr>
      </w:pPr>
      <w:r>
        <w:rPr>
          <w:rFonts w:ascii="Arial" w:cs="Arial" w:eastAsia="Arial" w:hAnsi="Arial"/>
          <w:sz w:val="18"/>
          <w:szCs w:val="18"/>
          <w:color w:val="auto"/>
        </w:rPr>
        <w:t>Our executive compensation philosophy is to forge critical connections between performance, long-term value creation, employee engagement and retention, compensation governance and our cultural values. The Compensation Committee reviews and approves the elements of our compensation program at least annually, with input from an independent compensation consultant. In 2023, we included within our executive compensation program performance share units aimed at trying executive compensation directly to the achievement of certain corporate metrics. Otherwise, the 2023 program remained largely consistent with our 2022 program. The program is 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beginning on page 41. We believe the following practices and policies within our program promote sound compensation governance and are in the best interests of our stockholders and executives: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Borders>
              <w:bottom w:val="single" w:sz="8" w:color="95B3D7"/>
            </w:tcBorders>
          </w:tcPr>
          <w:p>
            <w:pPr>
              <w:spacing w:after="0"/>
              <w:rPr>
                <w:sz w:val="17"/>
                <w:szCs w:val="17"/>
                <w:color w:val="auto"/>
              </w:rPr>
            </w:pPr>
          </w:p>
        </w:tc>
        <w:tc>
          <w:tcPr>
            <w:tcW w:w="340" w:type="dxa"/>
            <w:vAlign w:val="bottom"/>
            <w:tcBorders>
              <w:bottom w:val="single" w:sz="8" w:color="95B3D7"/>
            </w:tcBorders>
          </w:tcPr>
          <w:p>
            <w:pPr>
              <w:spacing w:after="0"/>
              <w:rPr>
                <w:sz w:val="17"/>
                <w:szCs w:val="17"/>
                <w:color w:val="auto"/>
              </w:rPr>
            </w:pPr>
          </w:p>
        </w:tc>
        <w:tc>
          <w:tcPr>
            <w:tcW w:w="5080" w:type="dxa"/>
            <w:vAlign w:val="bottom"/>
            <w:tcBorders>
              <w:bottom w:val="single" w:sz="8" w:color="95B3D7"/>
            </w:tcBorders>
          </w:tcPr>
          <w:p>
            <w:pPr>
              <w:ind w:left="1940"/>
              <w:spacing w:after="0"/>
              <w:rPr>
                <w:sz w:val="20"/>
                <w:szCs w:val="20"/>
                <w:color w:val="auto"/>
              </w:rPr>
            </w:pPr>
            <w:r>
              <w:rPr>
                <w:rFonts w:ascii="Arial" w:cs="Arial" w:eastAsia="Arial" w:hAnsi="Arial"/>
                <w:sz w:val="16"/>
                <w:szCs w:val="16"/>
                <w:b w:val="1"/>
                <w:bCs w:val="1"/>
                <w:color w:val="auto"/>
              </w:rPr>
              <w:t>What We Do</w:t>
            </w:r>
          </w:p>
        </w:tc>
        <w:tc>
          <w:tcPr>
            <w:tcW w:w="320" w:type="dxa"/>
            <w:vAlign w:val="bottom"/>
            <w:tcBorders>
              <w:bottom w:val="single" w:sz="8" w:color="95B3D7"/>
            </w:tcBorders>
          </w:tcPr>
          <w:p>
            <w:pPr>
              <w:spacing w:after="0"/>
              <w:rPr>
                <w:sz w:val="17"/>
                <w:szCs w:val="17"/>
                <w:color w:val="auto"/>
              </w:rPr>
            </w:pPr>
          </w:p>
        </w:tc>
        <w:tc>
          <w:tcPr>
            <w:tcW w:w="5180" w:type="dxa"/>
            <w:vAlign w:val="bottom"/>
            <w:tcBorders>
              <w:bottom w:val="single" w:sz="8" w:color="95B3D7"/>
            </w:tcBorders>
            <w:gridSpan w:val="2"/>
          </w:tcPr>
          <w:p>
            <w:pPr>
              <w:ind w:left="1660"/>
              <w:spacing w:after="0"/>
              <w:rPr>
                <w:sz w:val="20"/>
                <w:szCs w:val="20"/>
                <w:color w:val="auto"/>
              </w:rPr>
            </w:pPr>
            <w:r>
              <w:rPr>
                <w:rFonts w:ascii="Arial" w:cs="Arial" w:eastAsia="Arial" w:hAnsi="Arial"/>
                <w:sz w:val="16"/>
                <w:szCs w:val="16"/>
                <w:b w:val="1"/>
                <w:bCs w:val="1"/>
                <w:color w:val="auto"/>
              </w:rPr>
              <w:t>What We Don’t Do</w:t>
            </w:r>
          </w:p>
        </w:tc>
      </w:tr>
      <w:tr>
        <w:trPr>
          <w:trHeight w:val="168"/>
        </w:trPr>
        <w:tc>
          <w:tcPr>
            <w:tcW w:w="100" w:type="dxa"/>
            <w:vAlign w:val="bottom"/>
          </w:tcPr>
          <w:p>
            <w:pPr>
              <w:spacing w:after="0" w:line="168" w:lineRule="exact"/>
              <w:rPr>
                <w:sz w:val="20"/>
                <w:szCs w:val="20"/>
                <w:color w:val="auto"/>
              </w:rPr>
            </w:pPr>
            <w:r>
              <w:rPr>
                <w:rFonts w:ascii="Arial" w:cs="Arial" w:eastAsia="Arial" w:hAnsi="Arial"/>
                <w:sz w:val="16"/>
                <w:szCs w:val="16"/>
                <w:color w:val="auto"/>
                <w:w w:val="99"/>
              </w:rPr>
              <w:t> </w:t>
            </w:r>
          </w:p>
        </w:tc>
        <w:tc>
          <w:tcPr>
            <w:tcW w:w="340" w:type="dxa"/>
            <w:vAlign w:val="bottom"/>
            <w:tcBorders>
              <w:right w:val="single" w:sz="8" w:color="95B3D7"/>
            </w:tcBorders>
            <w:shd w:val="clear" w:color="auto" w:fill="DBE5F1"/>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right w:val="single" w:sz="8" w:color="95B3D7"/>
            </w:tcBorders>
            <w:shd w:val="clear" w:color="auto" w:fill="DBE5F1"/>
          </w:tcPr>
          <w:p>
            <w:pPr>
              <w:ind w:left="100"/>
              <w:spacing w:after="0" w:line="168" w:lineRule="exact"/>
              <w:rPr>
                <w:sz w:val="20"/>
                <w:szCs w:val="20"/>
                <w:color w:val="auto"/>
              </w:rPr>
            </w:pPr>
            <w:r>
              <w:rPr>
                <w:rFonts w:ascii="Arial" w:cs="Arial" w:eastAsia="Arial" w:hAnsi="Arial"/>
                <w:sz w:val="16"/>
                <w:szCs w:val="16"/>
                <w:color w:val="auto"/>
              </w:rPr>
              <w:t>Emphasize variable pay over fixed pay, with a significant portion</w:t>
            </w:r>
          </w:p>
        </w:tc>
        <w:tc>
          <w:tcPr>
            <w:tcW w:w="320" w:type="dxa"/>
            <w:vAlign w:val="bottom"/>
            <w:tcBorders>
              <w:right w:val="single" w:sz="8" w:color="95B3D7"/>
            </w:tcBorders>
            <w:shd w:val="clear" w:color="auto" w:fill="DBE5F1"/>
          </w:tcPr>
          <w:p>
            <w:pPr>
              <w:jc w:val="right"/>
              <w:ind w:right="59"/>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shd w:val="clear" w:color="auto" w:fill="DBE5F1"/>
          </w:tcPr>
          <w:p>
            <w:pPr>
              <w:ind w:left="100"/>
              <w:spacing w:after="0" w:line="168" w:lineRule="exact"/>
              <w:rPr>
                <w:sz w:val="20"/>
                <w:szCs w:val="20"/>
                <w:color w:val="auto"/>
              </w:rPr>
            </w:pPr>
            <w:r>
              <w:rPr>
                <w:rFonts w:ascii="Arial" w:cs="Arial" w:eastAsia="Arial" w:hAnsi="Arial"/>
                <w:sz w:val="16"/>
                <w:szCs w:val="16"/>
                <w:color w:val="auto"/>
              </w:rPr>
              <w:t>No guaranteed or uncapped incentive payouts in our annual bonus</w:t>
            </w:r>
          </w:p>
        </w:tc>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 </w:t>
            </w: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508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focused on long-term value creation</w:t>
            </w:r>
          </w:p>
        </w:tc>
        <w:tc>
          <w:tcPr>
            <w:tcW w:w="320" w:type="dxa"/>
            <w:vAlign w:val="bottom"/>
            <w:tcBorders>
              <w:bottom w:val="single" w:sz="8" w:color="95B3D7"/>
              <w:right w:val="single" w:sz="8" w:color="95B3D7"/>
            </w:tcBorders>
            <w:shd w:val="clear" w:color="auto" w:fill="DBE5F1"/>
          </w:tcPr>
          <w:p>
            <w:pPr>
              <w:spacing w:after="0"/>
              <w:rPr>
                <w:sz w:val="17"/>
                <w:szCs w:val="17"/>
                <w:color w:val="auto"/>
              </w:rPr>
            </w:pPr>
          </w:p>
        </w:tc>
        <w:tc>
          <w:tcPr>
            <w:tcW w:w="4960" w:type="dxa"/>
            <w:vAlign w:val="bottom"/>
            <w:tcBorders>
              <w:bottom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plan</w:t>
            </w:r>
          </w:p>
        </w:tc>
        <w:tc>
          <w:tcPr>
            <w:tcW w:w="220" w:type="dxa"/>
            <w:vAlign w:val="bottom"/>
          </w:tcPr>
          <w:p>
            <w:pPr>
              <w:spacing w:after="0"/>
              <w:rPr>
                <w:sz w:val="17"/>
                <w:szCs w:val="17"/>
                <w:color w:val="auto"/>
              </w:rPr>
            </w:pPr>
          </w:p>
        </w:tc>
      </w:tr>
      <w:tr>
        <w:trPr>
          <w:trHeight w:val="168"/>
        </w:trPr>
        <w:tc>
          <w:tcPr>
            <w:tcW w:w="100" w:type="dxa"/>
            <w:vAlign w:val="bottom"/>
          </w:tcPr>
          <w:p>
            <w:pPr>
              <w:spacing w:after="0"/>
              <w:rPr>
                <w:sz w:val="14"/>
                <w:szCs w:val="14"/>
                <w:color w:val="auto"/>
              </w:rPr>
            </w:pPr>
          </w:p>
        </w:tc>
        <w:tc>
          <w:tcPr>
            <w:tcW w:w="340" w:type="dxa"/>
            <w:vAlign w:val="bottom"/>
            <w:tcBorders>
              <w:right w:val="single" w:sz="8" w:color="95B3D7"/>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right w:val="single" w:sz="8" w:color="95B3D7"/>
            </w:tcBorders>
          </w:tcPr>
          <w:p>
            <w:pPr>
              <w:ind w:left="100"/>
              <w:spacing w:after="0" w:line="168" w:lineRule="exact"/>
              <w:rPr>
                <w:sz w:val="20"/>
                <w:szCs w:val="20"/>
                <w:color w:val="auto"/>
              </w:rPr>
            </w:pPr>
            <w:r>
              <w:rPr>
                <w:rFonts w:ascii="Arial" w:cs="Arial" w:eastAsia="Arial" w:hAnsi="Arial"/>
                <w:sz w:val="16"/>
                <w:szCs w:val="16"/>
                <w:color w:val="auto"/>
              </w:rPr>
              <w:t>Disclose our corporate performance goals and achievements relative</w:t>
            </w:r>
          </w:p>
        </w:tc>
        <w:tc>
          <w:tcPr>
            <w:tcW w:w="320" w:type="dxa"/>
            <w:vAlign w:val="bottom"/>
            <w:tcBorders>
              <w:right w:val="single" w:sz="8" w:color="95B3D7"/>
            </w:tcBorders>
          </w:tcPr>
          <w:p>
            <w:pPr>
              <w:jc w:val="right"/>
              <w:ind w:right="59"/>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Pr>
          <w:p>
            <w:pPr>
              <w:ind w:left="100"/>
              <w:spacing w:after="0" w:line="168" w:lineRule="exact"/>
              <w:rPr>
                <w:sz w:val="20"/>
                <w:szCs w:val="20"/>
                <w:color w:val="auto"/>
              </w:rPr>
            </w:pPr>
            <w:r>
              <w:rPr>
                <w:rFonts w:ascii="Arial" w:cs="Arial" w:eastAsia="Arial" w:hAnsi="Arial"/>
                <w:sz w:val="16"/>
                <w:szCs w:val="16"/>
                <w:color w:val="auto"/>
              </w:rPr>
              <w:t>No repricing or exchange of underwater options without stockholder</w:t>
            </w:r>
          </w:p>
        </w:tc>
        <w:tc>
          <w:tcPr>
            <w:tcW w:w="220" w:type="dxa"/>
            <w:vAlign w:val="bottom"/>
          </w:tcPr>
          <w:p>
            <w:pPr>
              <w:spacing w:after="0"/>
              <w:rPr>
                <w:sz w:val="14"/>
                <w:szCs w:val="14"/>
                <w:color w:val="auto"/>
              </w:rPr>
            </w:pPr>
          </w:p>
        </w:tc>
      </w:tr>
      <w:tr>
        <w:trPr>
          <w:trHeight w:val="203"/>
        </w:trPr>
        <w:tc>
          <w:tcPr>
            <w:tcW w:w="100" w:type="dxa"/>
            <w:vAlign w:val="bottom"/>
          </w:tcPr>
          <w:p>
            <w:pPr>
              <w:spacing w:after="0"/>
              <w:rPr>
                <w:sz w:val="17"/>
                <w:szCs w:val="17"/>
                <w:color w:val="auto"/>
              </w:rPr>
            </w:pPr>
          </w:p>
        </w:tc>
        <w:tc>
          <w:tcPr>
            <w:tcW w:w="340" w:type="dxa"/>
            <w:vAlign w:val="bottom"/>
            <w:tcBorders>
              <w:right w:val="single" w:sz="8" w:color="95B3D7"/>
            </w:tcBorders>
          </w:tcPr>
          <w:p>
            <w:pPr>
              <w:spacing w:after="0"/>
              <w:rPr>
                <w:sz w:val="17"/>
                <w:szCs w:val="17"/>
                <w:color w:val="auto"/>
              </w:rPr>
            </w:pPr>
          </w:p>
        </w:tc>
        <w:tc>
          <w:tcPr>
            <w:tcW w:w="508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to these goals</w:t>
            </w:r>
          </w:p>
        </w:tc>
        <w:tc>
          <w:tcPr>
            <w:tcW w:w="320" w:type="dxa"/>
            <w:vAlign w:val="bottom"/>
            <w:tcBorders>
              <w:right w:val="single" w:sz="8" w:color="95B3D7"/>
            </w:tcBorders>
          </w:tcPr>
          <w:p>
            <w:pPr>
              <w:spacing w:after="0"/>
              <w:rPr>
                <w:sz w:val="17"/>
                <w:szCs w:val="17"/>
                <w:color w:val="auto"/>
              </w:rPr>
            </w:pPr>
          </w:p>
        </w:tc>
        <w:tc>
          <w:tcPr>
            <w:tcW w:w="5180" w:type="dxa"/>
            <w:vAlign w:val="bottom"/>
            <w:gridSpan w:val="2"/>
          </w:tcPr>
          <w:p>
            <w:pPr>
              <w:ind w:left="100"/>
              <w:spacing w:after="0"/>
              <w:rPr>
                <w:sz w:val="20"/>
                <w:szCs w:val="20"/>
                <w:color w:val="auto"/>
              </w:rPr>
            </w:pPr>
            <w:r>
              <w:rPr>
                <w:rFonts w:ascii="Arial" w:cs="Arial" w:eastAsia="Arial" w:hAnsi="Arial"/>
                <w:sz w:val="16"/>
                <w:szCs w:val="16"/>
                <w:color w:val="auto"/>
              </w:rPr>
              <w:t>approval</w:t>
            </w:r>
          </w:p>
        </w:tc>
      </w:tr>
      <w:tr>
        <w:trPr>
          <w:trHeight w:val="168"/>
        </w:trPr>
        <w:tc>
          <w:tcPr>
            <w:tcW w:w="100" w:type="dxa"/>
            <w:vAlign w:val="bottom"/>
          </w:tcPr>
          <w:p>
            <w:pPr>
              <w:spacing w:after="0"/>
              <w:rPr>
                <w:sz w:val="14"/>
                <w:szCs w:val="14"/>
                <w:color w:val="auto"/>
              </w:rPr>
            </w:pPr>
          </w:p>
        </w:tc>
        <w:tc>
          <w:tcPr>
            <w:tcW w:w="340" w:type="dxa"/>
            <w:vAlign w:val="bottom"/>
            <w:tcBorders>
              <w:top w:val="single" w:sz="8" w:color="95B3D7"/>
              <w:right w:val="single" w:sz="8" w:color="95B3D7"/>
            </w:tcBorders>
            <w:shd w:val="clear" w:color="auto" w:fill="DBE5F1"/>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top w:val="single" w:sz="8" w:color="95B3D7"/>
              <w:right w:val="single" w:sz="8" w:color="95B3D7"/>
            </w:tcBorders>
            <w:shd w:val="clear" w:color="auto" w:fill="DBE5F1"/>
          </w:tcPr>
          <w:p>
            <w:pPr>
              <w:ind w:left="100"/>
              <w:spacing w:after="0" w:line="168" w:lineRule="exact"/>
              <w:rPr>
                <w:sz w:val="20"/>
                <w:szCs w:val="20"/>
                <w:color w:val="auto"/>
              </w:rPr>
            </w:pPr>
            <w:r>
              <w:rPr>
                <w:rFonts w:ascii="Arial" w:cs="Arial" w:eastAsia="Arial" w:hAnsi="Arial"/>
                <w:sz w:val="16"/>
                <w:szCs w:val="16"/>
                <w:color w:val="auto"/>
              </w:rPr>
              <w:t>Use an independent compensation consultant</w:t>
            </w:r>
          </w:p>
        </w:tc>
        <w:tc>
          <w:tcPr>
            <w:tcW w:w="320" w:type="dxa"/>
            <w:vAlign w:val="bottom"/>
            <w:tcBorders>
              <w:top w:val="single" w:sz="8" w:color="95B3D7"/>
              <w:right w:val="single" w:sz="8" w:color="95B3D7"/>
            </w:tcBorders>
            <w:shd w:val="clear" w:color="auto" w:fill="DBE5F1"/>
          </w:tcPr>
          <w:p>
            <w:pPr>
              <w:jc w:val="right"/>
              <w:ind w:right="59"/>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Borders>
              <w:top w:val="single" w:sz="8" w:color="95B3D7"/>
            </w:tcBorders>
            <w:shd w:val="clear" w:color="auto" w:fill="DBE5F1"/>
          </w:tcPr>
          <w:p>
            <w:pPr>
              <w:ind w:left="100"/>
              <w:spacing w:after="0" w:line="168" w:lineRule="exact"/>
              <w:rPr>
                <w:sz w:val="20"/>
                <w:szCs w:val="20"/>
                <w:color w:val="auto"/>
              </w:rPr>
            </w:pPr>
            <w:r>
              <w:rPr>
                <w:rFonts w:ascii="Arial" w:cs="Arial" w:eastAsia="Arial" w:hAnsi="Arial"/>
                <w:sz w:val="16"/>
                <w:szCs w:val="16"/>
                <w:color w:val="auto"/>
              </w:rPr>
              <w:t>No option or stock appreciation rights granted below fair market</w:t>
            </w:r>
          </w:p>
        </w:tc>
        <w:tc>
          <w:tcPr>
            <w:tcW w:w="220" w:type="dxa"/>
            <w:vAlign w:val="bottom"/>
          </w:tcPr>
          <w:p>
            <w:pPr>
              <w:spacing w:after="0"/>
              <w:rPr>
                <w:sz w:val="14"/>
                <w:szCs w:val="14"/>
                <w:color w:val="auto"/>
              </w:rPr>
            </w:pP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5080" w:type="dxa"/>
            <w:vAlign w:val="bottom"/>
            <w:tcBorders>
              <w:bottom w:val="single" w:sz="8" w:color="95B3D7"/>
              <w:right w:val="single" w:sz="8" w:color="95B3D7"/>
            </w:tcBorders>
            <w:shd w:val="clear" w:color="auto" w:fill="DBE5F1"/>
          </w:tcPr>
          <w:p>
            <w:pPr>
              <w:spacing w:after="0"/>
              <w:rPr>
                <w:sz w:val="17"/>
                <w:szCs w:val="17"/>
                <w:color w:val="auto"/>
              </w:rPr>
            </w:pPr>
          </w:p>
        </w:tc>
        <w:tc>
          <w:tcPr>
            <w:tcW w:w="320" w:type="dxa"/>
            <w:vAlign w:val="bottom"/>
            <w:tcBorders>
              <w:bottom w:val="single" w:sz="8" w:color="95B3D7"/>
              <w:right w:val="single" w:sz="8" w:color="95B3D7"/>
            </w:tcBorders>
            <w:shd w:val="clear" w:color="auto" w:fill="DBE5F1"/>
          </w:tcPr>
          <w:p>
            <w:pPr>
              <w:spacing w:after="0"/>
              <w:rPr>
                <w:sz w:val="17"/>
                <w:szCs w:val="17"/>
                <w:color w:val="auto"/>
              </w:rPr>
            </w:pPr>
          </w:p>
        </w:tc>
        <w:tc>
          <w:tcPr>
            <w:tcW w:w="4960" w:type="dxa"/>
            <w:vAlign w:val="bottom"/>
            <w:tcBorders>
              <w:bottom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value</w:t>
            </w:r>
          </w:p>
        </w:tc>
        <w:tc>
          <w:tcPr>
            <w:tcW w:w="2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bottom w:val="single" w:sz="8" w:color="95B3D7"/>
              <w:right w:val="single" w:sz="8" w:color="95B3D7"/>
            </w:tcBorders>
          </w:tcPr>
          <w:p>
            <w:pPr>
              <w:ind w:left="100"/>
              <w:spacing w:after="0"/>
              <w:rPr>
                <w:sz w:val="20"/>
                <w:szCs w:val="20"/>
                <w:color w:val="auto"/>
              </w:rPr>
            </w:pPr>
            <w:r>
              <w:rPr>
                <w:rFonts w:ascii="Arial" w:cs="Arial" w:eastAsia="Arial" w:hAnsi="Arial"/>
                <w:sz w:val="16"/>
                <w:szCs w:val="16"/>
                <w:color w:val="auto"/>
              </w:rPr>
              <w:t>Maintain anti-hedging and anti-pledging policies</w:t>
            </w:r>
          </w:p>
        </w:tc>
        <w:tc>
          <w:tcPr>
            <w:tcW w:w="320" w:type="dxa"/>
            <w:vAlign w:val="bottom"/>
            <w:tcBorders>
              <w:bottom w:val="single" w:sz="8" w:color="95B3D7"/>
              <w:right w:val="single" w:sz="8" w:color="95B3D7"/>
            </w:tcBorders>
          </w:tcPr>
          <w:p>
            <w:pPr>
              <w:jc w:val="right"/>
              <w:ind w:right="59"/>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Borders>
              <w:bottom w:val="single" w:sz="8" w:color="95B3D7"/>
            </w:tcBorders>
          </w:tcPr>
          <w:p>
            <w:pPr>
              <w:ind w:left="100"/>
              <w:spacing w:after="0"/>
              <w:rPr>
                <w:sz w:val="20"/>
                <w:szCs w:val="20"/>
                <w:color w:val="auto"/>
              </w:rPr>
            </w:pPr>
            <w:r>
              <w:rPr>
                <w:rFonts w:ascii="Arial" w:cs="Arial" w:eastAsia="Arial" w:hAnsi="Arial"/>
                <w:sz w:val="16"/>
                <w:szCs w:val="16"/>
                <w:color w:val="auto"/>
              </w:rPr>
              <w:t>No significant perquisites</w:t>
            </w:r>
          </w:p>
        </w:tc>
        <w:tc>
          <w:tcPr>
            <w:tcW w:w="2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Conduct an annual advisory vote on the compensation of our NEOs.</w:t>
            </w:r>
          </w:p>
        </w:tc>
        <w:tc>
          <w:tcPr>
            <w:tcW w:w="320" w:type="dxa"/>
            <w:vAlign w:val="bottom"/>
            <w:tcBorders>
              <w:bottom w:val="single" w:sz="8" w:color="95B3D7"/>
              <w:right w:val="single" w:sz="8" w:color="95B3D7"/>
            </w:tcBorders>
            <w:shd w:val="clear" w:color="auto" w:fill="DBE5F1"/>
          </w:tcPr>
          <w:p>
            <w:pPr>
              <w:jc w:val="right"/>
              <w:ind w:right="59"/>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Borders>
              <w:bottom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No tax gross-ups, other than for certain relocation expenses</w:t>
            </w:r>
          </w:p>
        </w:tc>
        <w:tc>
          <w:tcPr>
            <w:tcW w:w="220" w:type="dxa"/>
            <w:vAlign w:val="bottom"/>
          </w:tcPr>
          <w:p>
            <w:pPr>
              <w:spacing w:after="0"/>
              <w:rPr>
                <w:sz w:val="17"/>
                <w:szCs w:val="17"/>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20"/>
          </w:cols>
          <w:pgMar w:left="440" w:top="295" w:right="4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3"/>
        </w:trPr>
        <w:tc>
          <w:tcPr>
            <w:tcW w:w="100" w:type="dxa"/>
            <w:vAlign w:val="bottom"/>
            <w:tcBorders>
              <w:bottom w:val="single" w:sz="8" w:color="95B3D7"/>
            </w:tcBorders>
          </w:tcPr>
          <w:p>
            <w:pPr>
              <w:spacing w:after="0"/>
              <w:rPr>
                <w:sz w:val="17"/>
                <w:szCs w:val="17"/>
                <w:color w:val="auto"/>
              </w:rPr>
            </w:pPr>
          </w:p>
        </w:tc>
        <w:tc>
          <w:tcPr>
            <w:tcW w:w="340" w:type="dxa"/>
            <w:vAlign w:val="bottom"/>
            <w:tcBorders>
              <w:bottom w:val="single" w:sz="8" w:color="95B3D7"/>
            </w:tcBorders>
          </w:tcPr>
          <w:p>
            <w:pPr>
              <w:spacing w:after="0"/>
              <w:rPr>
                <w:sz w:val="17"/>
                <w:szCs w:val="17"/>
                <w:color w:val="auto"/>
              </w:rPr>
            </w:pPr>
          </w:p>
        </w:tc>
        <w:tc>
          <w:tcPr>
            <w:tcW w:w="5360" w:type="dxa"/>
            <w:vAlign w:val="bottom"/>
            <w:tcBorders>
              <w:bottom w:val="single" w:sz="8" w:color="95B3D7"/>
            </w:tcBorders>
            <w:gridSpan w:val="2"/>
          </w:tcPr>
          <w:p>
            <w:pPr>
              <w:ind w:left="1920"/>
              <w:spacing w:after="0"/>
              <w:rPr>
                <w:sz w:val="20"/>
                <w:szCs w:val="20"/>
                <w:color w:val="auto"/>
              </w:rPr>
            </w:pPr>
            <w:r>
              <w:rPr>
                <w:rFonts w:ascii="Arial" w:cs="Arial" w:eastAsia="Arial" w:hAnsi="Arial"/>
                <w:sz w:val="16"/>
                <w:szCs w:val="16"/>
                <w:b w:val="1"/>
                <w:bCs w:val="1"/>
                <w:color w:val="auto"/>
              </w:rPr>
              <w:t>What We Do</w:t>
            </w:r>
          </w:p>
        </w:tc>
        <w:tc>
          <w:tcPr>
            <w:tcW w:w="5220" w:type="dxa"/>
            <w:vAlign w:val="bottom"/>
            <w:tcBorders>
              <w:bottom w:val="single" w:sz="8" w:color="95B3D7"/>
            </w:tcBorders>
            <w:gridSpan w:val="2"/>
          </w:tcPr>
          <w:p>
            <w:pPr>
              <w:ind w:left="1680"/>
              <w:spacing w:after="0"/>
              <w:rPr>
                <w:sz w:val="20"/>
                <w:szCs w:val="20"/>
                <w:color w:val="auto"/>
              </w:rPr>
            </w:pPr>
            <w:r>
              <w:rPr>
                <w:rFonts w:ascii="Arial" w:cs="Arial" w:eastAsia="Arial" w:hAnsi="Arial"/>
                <w:sz w:val="16"/>
                <w:szCs w:val="16"/>
                <w:b w:val="1"/>
                <w:bCs w:val="1"/>
                <w:color w:val="auto"/>
              </w:rPr>
              <w:t>What We Don’t Do</w:t>
            </w:r>
          </w:p>
        </w:tc>
      </w:tr>
      <w:tr>
        <w:trPr>
          <w:trHeight w:val="168"/>
        </w:trPr>
        <w:tc>
          <w:tcPr>
            <w:tcW w:w="440" w:type="dxa"/>
            <w:vAlign w:val="bottom"/>
            <w:tcBorders>
              <w:right w:val="single" w:sz="8" w:color="95B3D7"/>
            </w:tcBorders>
            <w:gridSpan w:val="2"/>
          </w:tcPr>
          <w:p>
            <w:pPr>
              <w:jc w:val="right"/>
              <w:ind w:right="19"/>
              <w:spacing w:after="0" w:line="168" w:lineRule="exact"/>
              <w:rPr>
                <w:sz w:val="20"/>
                <w:szCs w:val="20"/>
                <w:color w:val="auto"/>
              </w:rPr>
            </w:pPr>
            <w:r>
              <w:rPr>
                <w:rFonts w:ascii="Arial" w:cs="Arial" w:eastAsia="Arial" w:hAnsi="Arial"/>
                <w:sz w:val="16"/>
                <w:szCs w:val="16"/>
                <w:color w:val="auto"/>
                <w:w w:val="97"/>
              </w:rPr>
              <w:t xml:space="preserve">   </w:t>
            </w:r>
            <w:r>
              <w:rPr>
                <w:rFonts w:ascii="MS PGothic" w:cs="MS PGothic" w:eastAsia="MS PGothic" w:hAnsi="MS PGothic"/>
                <w:sz w:val="16"/>
                <w:szCs w:val="16"/>
                <w:color w:val="auto"/>
                <w:w w:val="97"/>
              </w:rPr>
              <w:t>✓</w:t>
            </w:r>
          </w:p>
        </w:tc>
        <w:tc>
          <w:tcPr>
            <w:tcW w:w="5020" w:type="dxa"/>
            <w:vAlign w:val="bottom"/>
            <w:tcBorders>
              <w:right w:val="single" w:sz="8" w:color="95B3D7"/>
            </w:tcBorders>
          </w:tcPr>
          <w:p>
            <w:pPr>
              <w:ind w:left="80"/>
              <w:spacing w:after="0" w:line="168" w:lineRule="exact"/>
              <w:rPr>
                <w:sz w:val="20"/>
                <w:szCs w:val="20"/>
                <w:color w:val="auto"/>
              </w:rPr>
            </w:pPr>
            <w:r>
              <w:rPr>
                <w:rFonts w:ascii="Arial" w:cs="Arial" w:eastAsia="Arial" w:hAnsi="Arial"/>
                <w:sz w:val="16"/>
                <w:szCs w:val="16"/>
                <w:color w:val="auto"/>
              </w:rPr>
              <w:t>Maintain stock ownership guidelines for our executive officers and</w:t>
            </w:r>
          </w:p>
        </w:tc>
        <w:tc>
          <w:tcPr>
            <w:tcW w:w="340" w:type="dxa"/>
            <w:vAlign w:val="bottom"/>
            <w:tcBorders>
              <w:right w:val="single" w:sz="8" w:color="95B3D7"/>
            </w:tcBorders>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 </w:t>
            </w: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tcPr>
          <w:p>
            <w:pPr>
              <w:spacing w:after="0"/>
              <w:rPr>
                <w:sz w:val="17"/>
                <w:szCs w:val="17"/>
                <w:color w:val="auto"/>
              </w:rPr>
            </w:pPr>
          </w:p>
        </w:tc>
        <w:tc>
          <w:tcPr>
            <w:tcW w:w="5020" w:type="dxa"/>
            <w:vAlign w:val="bottom"/>
            <w:tcBorders>
              <w:bottom w:val="single" w:sz="8" w:color="95B3D7"/>
              <w:right w:val="single" w:sz="8" w:color="95B3D7"/>
            </w:tcBorders>
          </w:tcPr>
          <w:p>
            <w:pPr>
              <w:ind w:left="80"/>
              <w:spacing w:after="0"/>
              <w:rPr>
                <w:sz w:val="20"/>
                <w:szCs w:val="20"/>
                <w:color w:val="auto"/>
              </w:rPr>
            </w:pPr>
            <w:r>
              <w:rPr>
                <w:rFonts w:ascii="Arial" w:cs="Arial" w:eastAsia="Arial" w:hAnsi="Arial"/>
                <w:sz w:val="16"/>
                <w:szCs w:val="16"/>
                <w:color w:val="auto"/>
              </w:rPr>
              <w:t>Board of Directors.</w:t>
            </w:r>
          </w:p>
        </w:tc>
        <w:tc>
          <w:tcPr>
            <w:tcW w:w="340" w:type="dxa"/>
            <w:vAlign w:val="bottom"/>
            <w:tcBorders>
              <w:bottom w:val="single" w:sz="8" w:color="95B3D7"/>
              <w:right w:val="single" w:sz="8" w:color="95B3D7"/>
            </w:tcBorders>
          </w:tcPr>
          <w:p>
            <w:pPr>
              <w:spacing w:after="0"/>
              <w:rPr>
                <w:sz w:val="17"/>
                <w:szCs w:val="17"/>
                <w:color w:val="auto"/>
              </w:rPr>
            </w:pPr>
          </w:p>
        </w:tc>
        <w:tc>
          <w:tcPr>
            <w:tcW w:w="5000" w:type="dxa"/>
            <w:vAlign w:val="bottom"/>
            <w:tcBorders>
              <w:bottom w:val="single" w:sz="8" w:color="95B3D7"/>
            </w:tcBorders>
          </w:tcPr>
          <w:p>
            <w:pPr>
              <w:spacing w:after="0"/>
              <w:rPr>
                <w:sz w:val="17"/>
                <w:szCs w:val="17"/>
                <w:color w:val="auto"/>
              </w:rPr>
            </w:pPr>
          </w:p>
        </w:tc>
        <w:tc>
          <w:tcPr>
            <w:tcW w:w="220" w:type="dxa"/>
            <w:vAlign w:val="bottom"/>
          </w:tcPr>
          <w:p>
            <w:pPr>
              <w:spacing w:after="0"/>
              <w:rPr>
                <w:sz w:val="17"/>
                <w:szCs w:val="17"/>
                <w:color w:val="auto"/>
              </w:rPr>
            </w:pPr>
          </w:p>
        </w:tc>
      </w:tr>
      <w:tr>
        <w:trPr>
          <w:trHeight w:val="168"/>
        </w:trPr>
        <w:tc>
          <w:tcPr>
            <w:tcW w:w="100" w:type="dxa"/>
            <w:vAlign w:val="bottom"/>
          </w:tcPr>
          <w:p>
            <w:pPr>
              <w:spacing w:after="0"/>
              <w:rPr>
                <w:sz w:val="14"/>
                <w:szCs w:val="14"/>
                <w:color w:val="auto"/>
              </w:rPr>
            </w:pPr>
          </w:p>
        </w:tc>
        <w:tc>
          <w:tcPr>
            <w:tcW w:w="340" w:type="dxa"/>
            <w:vAlign w:val="bottom"/>
            <w:tcBorders>
              <w:right w:val="single" w:sz="8" w:color="95B3D7"/>
            </w:tcBorders>
            <w:shd w:val="clear" w:color="auto" w:fill="DBE5F1"/>
          </w:tcPr>
          <w:p>
            <w:pPr>
              <w:jc w:val="right"/>
              <w:ind w:right="19"/>
              <w:spacing w:after="0" w:line="161" w:lineRule="exact"/>
              <w:rPr>
                <w:sz w:val="20"/>
                <w:szCs w:val="20"/>
                <w:color w:val="auto"/>
              </w:rPr>
            </w:pPr>
            <w:r>
              <w:rPr>
                <w:rFonts w:ascii="MS PGothic" w:cs="MS PGothic" w:eastAsia="MS PGothic" w:hAnsi="MS PGothic"/>
                <w:sz w:val="16"/>
                <w:szCs w:val="16"/>
                <w:color w:val="auto"/>
              </w:rPr>
              <w:t>✓</w:t>
            </w:r>
          </w:p>
        </w:tc>
        <w:tc>
          <w:tcPr>
            <w:tcW w:w="5020" w:type="dxa"/>
            <w:vAlign w:val="bottom"/>
            <w:tcBorders>
              <w:right w:val="single" w:sz="8" w:color="95B3D7"/>
            </w:tcBorders>
            <w:shd w:val="clear" w:color="auto" w:fill="DBE5F1"/>
          </w:tcPr>
          <w:p>
            <w:pPr>
              <w:ind w:left="80"/>
              <w:spacing w:after="0" w:line="168" w:lineRule="exact"/>
              <w:rPr>
                <w:sz w:val="20"/>
                <w:szCs w:val="20"/>
                <w:color w:val="auto"/>
              </w:rPr>
            </w:pPr>
            <w:r>
              <w:rPr>
                <w:rFonts w:ascii="Arial" w:cs="Arial" w:eastAsia="Arial" w:hAnsi="Arial"/>
                <w:sz w:val="16"/>
                <w:szCs w:val="16"/>
                <w:color w:val="auto"/>
              </w:rPr>
              <w:t>Maintain a Clawback Policy consistent with the SEC and Nasdaq</w:t>
            </w:r>
          </w:p>
        </w:tc>
        <w:tc>
          <w:tcPr>
            <w:tcW w:w="340" w:type="dxa"/>
            <w:vAlign w:val="bottom"/>
            <w:tcBorders>
              <w:right w:val="single" w:sz="8" w:color="95B3D7"/>
            </w:tcBorders>
            <w:shd w:val="clear" w:color="auto" w:fill="DBE5F1"/>
          </w:tcPr>
          <w:p>
            <w:pPr>
              <w:spacing w:after="0"/>
              <w:rPr>
                <w:sz w:val="14"/>
                <w:szCs w:val="14"/>
                <w:color w:val="auto"/>
              </w:rPr>
            </w:pPr>
          </w:p>
        </w:tc>
        <w:tc>
          <w:tcPr>
            <w:tcW w:w="5000" w:type="dxa"/>
            <w:vAlign w:val="bottom"/>
            <w:shd w:val="clear" w:color="auto" w:fill="DBE5F1"/>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5020" w:type="dxa"/>
            <w:vAlign w:val="bottom"/>
            <w:tcBorders>
              <w:bottom w:val="single" w:sz="8" w:color="95B3D7"/>
              <w:right w:val="single" w:sz="8" w:color="95B3D7"/>
            </w:tcBorders>
            <w:shd w:val="clear" w:color="auto" w:fill="DBE5F1"/>
          </w:tcPr>
          <w:p>
            <w:pPr>
              <w:ind w:left="80"/>
              <w:spacing w:after="0"/>
              <w:rPr>
                <w:sz w:val="20"/>
                <w:szCs w:val="20"/>
                <w:color w:val="auto"/>
              </w:rPr>
            </w:pPr>
            <w:r>
              <w:rPr>
                <w:rFonts w:ascii="Arial" w:cs="Arial" w:eastAsia="Arial" w:hAnsi="Arial"/>
                <w:sz w:val="16"/>
                <w:szCs w:val="16"/>
                <w:color w:val="auto"/>
              </w:rPr>
              <w:t>listing standards.</w:t>
            </w: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5000" w:type="dxa"/>
            <w:vAlign w:val="bottom"/>
            <w:tcBorders>
              <w:bottom w:val="single" w:sz="8" w:color="95B3D7"/>
            </w:tcBorders>
            <w:shd w:val="clear" w:color="auto" w:fill="DBE5F1"/>
          </w:tcPr>
          <w:p>
            <w:pPr>
              <w:spacing w:after="0"/>
              <w:rPr>
                <w:sz w:val="17"/>
                <w:szCs w:val="17"/>
                <w:color w:val="auto"/>
              </w:rPr>
            </w:pPr>
          </w:p>
        </w:tc>
        <w:tc>
          <w:tcPr>
            <w:tcW w:w="220" w:type="dxa"/>
            <w:vAlign w:val="bottom"/>
          </w:tcPr>
          <w:p>
            <w:pPr>
              <w:spacing w:after="0"/>
              <w:rPr>
                <w:sz w:val="17"/>
                <w:szCs w:val="17"/>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260" w:firstLine="440"/>
        <w:spacing w:after="0" w:line="271" w:lineRule="auto"/>
        <w:rPr>
          <w:sz w:val="20"/>
          <w:szCs w:val="20"/>
          <w:color w:val="auto"/>
        </w:rPr>
      </w:pPr>
      <w:r>
        <w:rPr>
          <w:rFonts w:ascii="Arial" w:cs="Arial" w:eastAsia="Arial" w:hAnsi="Arial"/>
          <w:sz w:val="18"/>
          <w:szCs w:val="18"/>
          <w:color w:val="auto"/>
        </w:rPr>
        <w:t>The following table illustrates the elements of pay we currently employ, the manner in which we position these elements relative to the market and the objectives achieved by each element: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8"/>
              </w:rPr>
              <w:t>Target</w:t>
            </w:r>
          </w:p>
        </w:tc>
        <w:tc>
          <w:tcPr>
            <w:tcW w:w="44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2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Positioning</w:t>
            </w:r>
          </w:p>
        </w:tc>
        <w:tc>
          <w:tcPr>
            <w:tcW w:w="44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220" w:type="dxa"/>
            <w:vAlign w:val="bottom"/>
          </w:tcPr>
          <w:p>
            <w:pPr>
              <w:spacing w:after="0"/>
              <w:rPr>
                <w:sz w:val="17"/>
                <w:szCs w:val="17"/>
                <w:color w:val="auto"/>
              </w:rPr>
            </w:pPr>
          </w:p>
        </w:tc>
        <w:tc>
          <w:tcPr>
            <w:tcW w:w="130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vs.</w:t>
            </w:r>
          </w:p>
        </w:tc>
        <w:tc>
          <w:tcPr>
            <w:tcW w:w="442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1220" w:type="dxa"/>
            <w:vAlign w:val="bottom"/>
            <w:tcBorders>
              <w:bottom w:val="single" w:sz="8" w:color="95B3D7"/>
            </w:tcBorders>
          </w:tcPr>
          <w:p>
            <w:pPr>
              <w:ind w:left="240"/>
              <w:spacing w:after="0"/>
              <w:rPr>
                <w:sz w:val="20"/>
                <w:szCs w:val="20"/>
                <w:color w:val="auto"/>
              </w:rPr>
            </w:pPr>
            <w:r>
              <w:rPr>
                <w:rFonts w:ascii="Arial" w:cs="Arial" w:eastAsia="Arial" w:hAnsi="Arial"/>
                <w:sz w:val="18"/>
                <w:szCs w:val="18"/>
                <w:b w:val="1"/>
                <w:bCs w:val="1"/>
                <w:color w:val="auto"/>
              </w:rPr>
              <w:t>Element</w:t>
            </w:r>
          </w:p>
        </w:tc>
        <w:tc>
          <w:tcPr>
            <w:tcW w:w="1300" w:type="dxa"/>
            <w:vAlign w:val="bottom"/>
            <w:tcBorders>
              <w:bottom w:val="single" w:sz="8" w:color="95B3D7"/>
            </w:tcBorders>
          </w:tcPr>
          <w:p>
            <w:pPr>
              <w:jc w:val="center"/>
              <w:spacing w:after="0"/>
              <w:rPr>
                <w:sz w:val="20"/>
                <w:szCs w:val="20"/>
                <w:color w:val="auto"/>
              </w:rPr>
            </w:pPr>
            <w:r>
              <w:rPr>
                <w:rFonts w:ascii="Arial" w:cs="Arial" w:eastAsia="Arial" w:hAnsi="Arial"/>
                <w:sz w:val="18"/>
                <w:szCs w:val="18"/>
                <w:b w:val="1"/>
                <w:bCs w:val="1"/>
                <w:color w:val="auto"/>
                <w:w w:val="99"/>
              </w:rPr>
              <w:t>Market</w:t>
            </w:r>
          </w:p>
        </w:tc>
        <w:tc>
          <w:tcPr>
            <w:tcW w:w="4420" w:type="dxa"/>
            <w:vAlign w:val="bottom"/>
            <w:tcBorders>
              <w:bottom w:val="single" w:sz="8" w:color="95B3D7"/>
            </w:tcBorders>
          </w:tcPr>
          <w:p>
            <w:pPr>
              <w:ind w:left="1500"/>
              <w:spacing w:after="0"/>
              <w:rPr>
                <w:sz w:val="20"/>
                <w:szCs w:val="20"/>
                <w:color w:val="auto"/>
              </w:rPr>
            </w:pPr>
            <w:r>
              <w:rPr>
                <w:rFonts w:ascii="Arial" w:cs="Arial" w:eastAsia="Arial" w:hAnsi="Arial"/>
                <w:sz w:val="18"/>
                <w:szCs w:val="18"/>
                <w:b w:val="1"/>
                <w:bCs w:val="1"/>
                <w:color w:val="auto"/>
              </w:rPr>
              <w:t>Primary Objective</w:t>
            </w:r>
          </w:p>
        </w:tc>
        <w:tc>
          <w:tcPr>
            <w:tcW w:w="4080" w:type="dxa"/>
            <w:vAlign w:val="bottom"/>
            <w:tcBorders>
              <w:bottom w:val="single" w:sz="8" w:color="95B3D7"/>
            </w:tcBorders>
          </w:tcPr>
          <w:p>
            <w:pPr>
              <w:ind w:left="1140"/>
              <w:spacing w:after="0"/>
              <w:rPr>
                <w:sz w:val="20"/>
                <w:szCs w:val="20"/>
                <w:color w:val="auto"/>
              </w:rPr>
            </w:pPr>
            <w:r>
              <w:rPr>
                <w:rFonts w:ascii="Arial" w:cs="Arial" w:eastAsia="Arial" w:hAnsi="Arial"/>
                <w:sz w:val="18"/>
                <w:szCs w:val="18"/>
                <w:b w:val="1"/>
                <w:bCs w:val="1"/>
                <w:color w:val="auto"/>
              </w:rPr>
              <w:t>Determination Factors</w:t>
            </w:r>
          </w:p>
        </w:tc>
        <w:tc>
          <w:tcPr>
            <w:tcW w:w="0" w:type="dxa"/>
            <w:vAlign w:val="bottom"/>
          </w:tcPr>
          <w:p>
            <w:pPr>
              <w:spacing w:after="0"/>
              <w:rPr>
                <w:sz w:val="1"/>
                <w:szCs w:val="1"/>
                <w:color w:val="auto"/>
              </w:rPr>
            </w:pPr>
          </w:p>
        </w:tc>
      </w:tr>
      <w:tr>
        <w:trPr>
          <w:trHeight w:val="177"/>
        </w:trPr>
        <w:tc>
          <w:tcPr>
            <w:tcW w:w="1220" w:type="dxa"/>
            <w:vAlign w:val="bottom"/>
            <w:tcBorders>
              <w:right w:val="single" w:sz="8" w:color="95B3D7"/>
            </w:tcBorders>
            <w:shd w:val="clear" w:color="auto" w:fill="DBE5F1"/>
          </w:tcPr>
          <w:p>
            <w:pPr>
              <w:ind w:left="220"/>
              <w:spacing w:after="0" w:line="177" w:lineRule="exact"/>
              <w:rPr>
                <w:sz w:val="20"/>
                <w:szCs w:val="20"/>
                <w:color w:val="auto"/>
              </w:rPr>
            </w:pPr>
            <w:r>
              <w:rPr>
                <w:rFonts w:ascii="Arial" w:cs="Arial" w:eastAsia="Arial" w:hAnsi="Arial"/>
                <w:sz w:val="18"/>
                <w:szCs w:val="18"/>
                <w:b w:val="1"/>
                <w:bCs w:val="1"/>
                <w:color w:val="auto"/>
              </w:rPr>
              <w:t>Base</w:t>
            </w:r>
          </w:p>
        </w:tc>
        <w:tc>
          <w:tcPr>
            <w:tcW w:w="130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w w:val="97"/>
              </w:rPr>
              <w:t>Target at</w:t>
            </w:r>
          </w:p>
        </w:tc>
        <w:tc>
          <w:tcPr>
            <w:tcW w:w="4420" w:type="dxa"/>
            <w:vAlign w:val="bottom"/>
            <w:tcBorders>
              <w:right w:val="single" w:sz="8" w:color="95B3D7"/>
            </w:tcBorders>
            <w:shd w:val="clear" w:color="auto" w:fill="DBE5F1"/>
          </w:tcPr>
          <w:p>
            <w:pPr>
              <w:ind w:left="200"/>
              <w:spacing w:after="0" w:line="177"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Attract and retain high-performing and</w:t>
            </w:r>
          </w:p>
        </w:tc>
        <w:tc>
          <w:tcPr>
            <w:tcW w:w="4080" w:type="dxa"/>
            <w:vAlign w:val="bottom"/>
            <w:shd w:val="clear" w:color="auto" w:fill="DBE5F1"/>
          </w:tcPr>
          <w:p>
            <w:pPr>
              <w:ind w:left="200"/>
              <w:spacing w:after="0" w:line="177"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Value of role in competitive marketplace</w:t>
            </w:r>
          </w:p>
        </w:tc>
        <w:tc>
          <w:tcPr>
            <w:tcW w:w="0" w:type="dxa"/>
            <w:vAlign w:val="bottom"/>
          </w:tcPr>
          <w:p>
            <w:pPr>
              <w:spacing w:after="0"/>
              <w:rPr>
                <w:sz w:val="1"/>
                <w:szCs w:val="1"/>
                <w:color w:val="auto"/>
              </w:rPr>
            </w:pPr>
          </w:p>
        </w:tc>
      </w:tr>
      <w:tr>
        <w:trPr>
          <w:trHeight w:val="252"/>
        </w:trPr>
        <w:tc>
          <w:tcPr>
            <w:tcW w:w="1220" w:type="dxa"/>
            <w:vAlign w:val="bottom"/>
            <w:tcBorders>
              <w:right w:val="single" w:sz="8" w:color="95B3D7"/>
            </w:tcBorders>
            <w:shd w:val="clear" w:color="auto" w:fill="DBE5F1"/>
          </w:tcPr>
          <w:p>
            <w:pPr>
              <w:ind w:left="220"/>
              <w:spacing w:after="0"/>
              <w:rPr>
                <w:sz w:val="20"/>
                <w:szCs w:val="20"/>
                <w:color w:val="auto"/>
              </w:rPr>
            </w:pPr>
            <w:r>
              <w:rPr>
                <w:rFonts w:ascii="Arial" w:cs="Arial" w:eastAsia="Arial" w:hAnsi="Arial"/>
                <w:sz w:val="18"/>
                <w:szCs w:val="18"/>
                <w:b w:val="1"/>
                <w:bCs w:val="1"/>
                <w:color w:val="auto"/>
              </w:rPr>
              <w:t>Salary</w:t>
            </w:r>
          </w:p>
        </w:tc>
        <w:tc>
          <w:tcPr>
            <w:tcW w:w="13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8"/>
              </w:rPr>
              <w:t>Median</w:t>
            </w:r>
          </w:p>
        </w:tc>
        <w:tc>
          <w:tcPr>
            <w:tcW w:w="442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8"/>
                <w:szCs w:val="18"/>
                <w:color w:val="auto"/>
              </w:rPr>
              <w:t>experienced individuals</w:t>
            </w:r>
          </w:p>
        </w:tc>
        <w:tc>
          <w:tcPr>
            <w:tcW w:w="408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Value of role to the Company</w:t>
            </w:r>
          </w:p>
        </w:tc>
        <w:tc>
          <w:tcPr>
            <w:tcW w:w="0" w:type="dxa"/>
            <w:vAlign w:val="bottom"/>
          </w:tcPr>
          <w:p>
            <w:pPr>
              <w:spacing w:after="0"/>
              <w:rPr>
                <w:sz w:val="1"/>
                <w:szCs w:val="1"/>
                <w:color w:val="auto"/>
              </w:rPr>
            </w:pPr>
          </w:p>
        </w:tc>
      </w:tr>
      <w:tr>
        <w:trPr>
          <w:trHeight w:val="122"/>
        </w:trPr>
        <w:tc>
          <w:tcPr>
            <w:tcW w:w="1220" w:type="dxa"/>
            <w:vAlign w:val="bottom"/>
            <w:tcBorders>
              <w:right w:val="single" w:sz="8" w:color="95B3D7"/>
            </w:tcBorders>
            <w:shd w:val="clear" w:color="auto" w:fill="DBE5F1"/>
          </w:tcPr>
          <w:p>
            <w:pPr>
              <w:spacing w:after="0"/>
              <w:rPr>
                <w:sz w:val="10"/>
                <w:szCs w:val="10"/>
                <w:color w:val="auto"/>
              </w:rPr>
            </w:pPr>
          </w:p>
        </w:tc>
        <w:tc>
          <w:tcPr>
            <w:tcW w:w="1300" w:type="dxa"/>
            <w:vAlign w:val="bottom"/>
            <w:tcBorders>
              <w:right w:val="single" w:sz="8" w:color="95B3D7"/>
            </w:tcBorders>
            <w:shd w:val="clear" w:color="auto" w:fill="DBE5F1"/>
          </w:tcPr>
          <w:p>
            <w:pPr>
              <w:spacing w:after="0"/>
              <w:rPr>
                <w:sz w:val="10"/>
                <w:szCs w:val="10"/>
                <w:color w:val="auto"/>
              </w:rPr>
            </w:pPr>
          </w:p>
        </w:tc>
        <w:tc>
          <w:tcPr>
            <w:tcW w:w="4420" w:type="dxa"/>
            <w:vAlign w:val="bottom"/>
            <w:tcBorders>
              <w:right w:val="single" w:sz="8" w:color="95B3D7"/>
            </w:tcBorders>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Provide steady source of income so executives</w:t>
            </w:r>
          </w:p>
        </w:tc>
        <w:tc>
          <w:tcPr>
            <w:tcW w:w="408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220" w:type="dxa"/>
            <w:vAlign w:val="bottom"/>
            <w:tcBorders>
              <w:right w:val="single" w:sz="8" w:color="95B3D7"/>
            </w:tcBorders>
            <w:shd w:val="clear" w:color="auto" w:fill="DBE5F1"/>
          </w:tcPr>
          <w:p>
            <w:pPr>
              <w:spacing w:after="0"/>
              <w:rPr>
                <w:sz w:val="15"/>
                <w:szCs w:val="15"/>
                <w:color w:val="auto"/>
              </w:rPr>
            </w:pPr>
          </w:p>
        </w:tc>
        <w:tc>
          <w:tcPr>
            <w:tcW w:w="1300" w:type="dxa"/>
            <w:vAlign w:val="bottom"/>
            <w:tcBorders>
              <w:right w:val="single" w:sz="8" w:color="95B3D7"/>
            </w:tcBorders>
            <w:shd w:val="clear" w:color="auto" w:fill="DBE5F1"/>
          </w:tcPr>
          <w:p>
            <w:pPr>
              <w:spacing w:after="0"/>
              <w:rPr>
                <w:sz w:val="15"/>
                <w:szCs w:val="15"/>
                <w:color w:val="auto"/>
              </w:rPr>
            </w:pPr>
          </w:p>
        </w:tc>
        <w:tc>
          <w:tcPr>
            <w:tcW w:w="4420" w:type="dxa"/>
            <w:vAlign w:val="bottom"/>
            <w:tcBorders>
              <w:right w:val="single" w:sz="8" w:color="95B3D7"/>
            </w:tcBorders>
            <w:vMerge w:val="continue"/>
            <w:shd w:val="clear" w:color="auto" w:fill="DBE5F1"/>
          </w:tcPr>
          <w:p>
            <w:pPr>
              <w:spacing w:after="0"/>
              <w:rPr>
                <w:sz w:val="15"/>
                <w:szCs w:val="15"/>
                <w:color w:val="auto"/>
              </w:rPr>
            </w:pPr>
          </w:p>
        </w:tc>
        <w:tc>
          <w:tcPr>
            <w:tcW w:w="408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Skills, experience and performance of</w:t>
            </w:r>
          </w:p>
        </w:tc>
        <w:tc>
          <w:tcPr>
            <w:tcW w:w="0" w:type="dxa"/>
            <w:vAlign w:val="bottom"/>
          </w:tcPr>
          <w:p>
            <w:pPr>
              <w:spacing w:after="0"/>
              <w:rPr>
                <w:sz w:val="1"/>
                <w:szCs w:val="1"/>
                <w:color w:val="auto"/>
              </w:rPr>
            </w:pPr>
          </w:p>
        </w:tc>
      </w:tr>
      <w:tr>
        <w:trPr>
          <w:trHeight w:val="135"/>
        </w:trPr>
        <w:tc>
          <w:tcPr>
            <w:tcW w:w="1220" w:type="dxa"/>
            <w:vAlign w:val="bottom"/>
            <w:tcBorders>
              <w:right w:val="single" w:sz="8" w:color="95B3D7"/>
            </w:tcBorders>
            <w:shd w:val="clear" w:color="auto" w:fill="DBE5F1"/>
          </w:tcPr>
          <w:p>
            <w:pPr>
              <w:spacing w:after="0"/>
              <w:rPr>
                <w:sz w:val="11"/>
                <w:szCs w:val="11"/>
                <w:color w:val="auto"/>
              </w:rPr>
            </w:pPr>
          </w:p>
        </w:tc>
        <w:tc>
          <w:tcPr>
            <w:tcW w:w="1300" w:type="dxa"/>
            <w:vAlign w:val="bottom"/>
            <w:tcBorders>
              <w:right w:val="single" w:sz="8" w:color="95B3D7"/>
            </w:tcBorders>
            <w:shd w:val="clear" w:color="auto" w:fill="DBE5F1"/>
          </w:tcPr>
          <w:p>
            <w:pPr>
              <w:spacing w:after="0"/>
              <w:rPr>
                <w:sz w:val="11"/>
                <w:szCs w:val="11"/>
                <w:color w:val="auto"/>
              </w:rPr>
            </w:pPr>
          </w:p>
        </w:tc>
        <w:tc>
          <w:tcPr>
            <w:tcW w:w="4420" w:type="dxa"/>
            <w:vAlign w:val="bottom"/>
            <w:tcBorders>
              <w:right w:val="single" w:sz="8" w:color="95B3D7"/>
            </w:tcBorders>
            <w:vMerge w:val="restart"/>
            <w:shd w:val="clear" w:color="auto" w:fill="DBE5F1"/>
          </w:tcPr>
          <w:p>
            <w:pPr>
              <w:ind w:left="460"/>
              <w:spacing w:after="0"/>
              <w:rPr>
                <w:sz w:val="20"/>
                <w:szCs w:val="20"/>
                <w:color w:val="auto"/>
              </w:rPr>
            </w:pPr>
            <w:r>
              <w:rPr>
                <w:rFonts w:ascii="Arial" w:cs="Arial" w:eastAsia="Arial" w:hAnsi="Arial"/>
                <w:sz w:val="18"/>
                <w:szCs w:val="18"/>
                <w:color w:val="auto"/>
              </w:rPr>
              <w:t>can focus on the needs of the business</w:t>
            </w:r>
          </w:p>
        </w:tc>
        <w:tc>
          <w:tcPr>
            <w:tcW w:w="408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1220" w:type="dxa"/>
            <w:vAlign w:val="bottom"/>
            <w:tcBorders>
              <w:right w:val="single" w:sz="8" w:color="95B3D7"/>
            </w:tcBorders>
            <w:shd w:val="clear" w:color="auto" w:fill="DBE5F1"/>
          </w:tcPr>
          <w:p>
            <w:pPr>
              <w:spacing w:after="0"/>
              <w:rPr>
                <w:sz w:val="9"/>
                <w:szCs w:val="9"/>
                <w:color w:val="auto"/>
              </w:rPr>
            </w:pPr>
          </w:p>
        </w:tc>
        <w:tc>
          <w:tcPr>
            <w:tcW w:w="1300" w:type="dxa"/>
            <w:vAlign w:val="bottom"/>
            <w:tcBorders>
              <w:right w:val="single" w:sz="8" w:color="95B3D7"/>
            </w:tcBorders>
            <w:shd w:val="clear" w:color="auto" w:fill="DBE5F1"/>
          </w:tcPr>
          <w:p>
            <w:pPr>
              <w:spacing w:after="0"/>
              <w:rPr>
                <w:sz w:val="9"/>
                <w:szCs w:val="9"/>
                <w:color w:val="auto"/>
              </w:rPr>
            </w:pPr>
          </w:p>
        </w:tc>
        <w:tc>
          <w:tcPr>
            <w:tcW w:w="4420" w:type="dxa"/>
            <w:vAlign w:val="bottom"/>
            <w:tcBorders>
              <w:right w:val="single" w:sz="8" w:color="95B3D7"/>
            </w:tcBorders>
            <w:vMerge w:val="continue"/>
            <w:shd w:val="clear" w:color="auto" w:fill="DBE5F1"/>
          </w:tcPr>
          <w:p>
            <w:pPr>
              <w:spacing w:after="0"/>
              <w:rPr>
                <w:sz w:val="9"/>
                <w:szCs w:val="9"/>
                <w:color w:val="auto"/>
              </w:rPr>
            </w:pPr>
          </w:p>
        </w:tc>
        <w:tc>
          <w:tcPr>
            <w:tcW w:w="4080" w:type="dxa"/>
            <w:vAlign w:val="bottom"/>
            <w:vMerge w:val="restart"/>
            <w:shd w:val="clear" w:color="auto" w:fill="DBE5F1"/>
          </w:tcPr>
          <w:p>
            <w:pPr>
              <w:ind w:left="480"/>
              <w:spacing w:after="0" w:line="202" w:lineRule="exact"/>
              <w:rPr>
                <w:sz w:val="20"/>
                <w:szCs w:val="20"/>
                <w:color w:val="auto"/>
              </w:rPr>
            </w:pPr>
            <w:r>
              <w:rPr>
                <w:rFonts w:ascii="Arial" w:cs="Arial" w:eastAsia="Arial" w:hAnsi="Arial"/>
                <w:sz w:val="18"/>
                <w:szCs w:val="18"/>
                <w:color w:val="auto"/>
              </w:rPr>
              <w:t>individual compared to the market as well as</w:t>
            </w:r>
          </w:p>
        </w:tc>
        <w:tc>
          <w:tcPr>
            <w:tcW w:w="0" w:type="dxa"/>
            <w:vAlign w:val="bottom"/>
          </w:tcPr>
          <w:p>
            <w:pPr>
              <w:spacing w:after="0"/>
              <w:rPr>
                <w:sz w:val="1"/>
                <w:szCs w:val="1"/>
                <w:color w:val="auto"/>
              </w:rPr>
            </w:pPr>
          </w:p>
        </w:tc>
      </w:tr>
      <w:tr>
        <w:trPr>
          <w:trHeight w:val="99"/>
        </w:trPr>
        <w:tc>
          <w:tcPr>
            <w:tcW w:w="1220" w:type="dxa"/>
            <w:vAlign w:val="bottom"/>
            <w:tcBorders>
              <w:right w:val="single" w:sz="8" w:color="95B3D7"/>
            </w:tcBorders>
            <w:shd w:val="clear" w:color="auto" w:fill="DBE5F1"/>
          </w:tcPr>
          <w:p>
            <w:pPr>
              <w:spacing w:after="0"/>
              <w:rPr>
                <w:sz w:val="8"/>
                <w:szCs w:val="8"/>
                <w:color w:val="auto"/>
              </w:rPr>
            </w:pPr>
          </w:p>
        </w:tc>
        <w:tc>
          <w:tcPr>
            <w:tcW w:w="1300" w:type="dxa"/>
            <w:vAlign w:val="bottom"/>
            <w:tcBorders>
              <w:right w:val="single" w:sz="8" w:color="95B3D7"/>
            </w:tcBorders>
            <w:shd w:val="clear" w:color="auto" w:fill="DBE5F1"/>
          </w:tcPr>
          <w:p>
            <w:pPr>
              <w:spacing w:after="0"/>
              <w:rPr>
                <w:sz w:val="8"/>
                <w:szCs w:val="8"/>
                <w:color w:val="auto"/>
              </w:rPr>
            </w:pPr>
          </w:p>
        </w:tc>
        <w:tc>
          <w:tcPr>
            <w:tcW w:w="4420" w:type="dxa"/>
            <w:vAlign w:val="bottom"/>
            <w:tcBorders>
              <w:right w:val="single" w:sz="8" w:color="95B3D7"/>
            </w:tcBorders>
            <w:shd w:val="clear" w:color="auto" w:fill="DBE5F1"/>
          </w:tcPr>
          <w:p>
            <w:pPr>
              <w:spacing w:after="0"/>
              <w:rPr>
                <w:sz w:val="8"/>
                <w:szCs w:val="8"/>
                <w:color w:val="auto"/>
              </w:rPr>
            </w:pPr>
          </w:p>
        </w:tc>
        <w:tc>
          <w:tcPr>
            <w:tcW w:w="408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220" w:type="dxa"/>
            <w:vAlign w:val="bottom"/>
            <w:tcBorders>
              <w:bottom w:val="single" w:sz="8" w:color="95B3D7"/>
              <w:right w:val="single" w:sz="8" w:color="95B3D7"/>
            </w:tcBorders>
            <w:shd w:val="clear" w:color="auto" w:fill="DBE5F1"/>
          </w:tcPr>
          <w:p>
            <w:pPr>
              <w:spacing w:after="0"/>
              <w:rPr>
                <w:sz w:val="20"/>
                <w:szCs w:val="20"/>
                <w:color w:val="auto"/>
              </w:rPr>
            </w:pPr>
          </w:p>
        </w:tc>
        <w:tc>
          <w:tcPr>
            <w:tcW w:w="1300" w:type="dxa"/>
            <w:vAlign w:val="bottom"/>
            <w:tcBorders>
              <w:bottom w:val="single" w:sz="8" w:color="95B3D7"/>
              <w:right w:val="single" w:sz="8" w:color="95B3D7"/>
            </w:tcBorders>
            <w:shd w:val="clear" w:color="auto" w:fill="DBE5F1"/>
          </w:tcPr>
          <w:p>
            <w:pPr>
              <w:spacing w:after="0"/>
              <w:rPr>
                <w:sz w:val="20"/>
                <w:szCs w:val="20"/>
                <w:color w:val="auto"/>
              </w:rPr>
            </w:pPr>
          </w:p>
        </w:tc>
        <w:tc>
          <w:tcPr>
            <w:tcW w:w="4420" w:type="dxa"/>
            <w:vAlign w:val="bottom"/>
            <w:tcBorders>
              <w:bottom w:val="single" w:sz="8" w:color="95B3D7"/>
              <w:right w:val="single" w:sz="8" w:color="95B3D7"/>
            </w:tcBorders>
            <w:shd w:val="clear" w:color="auto" w:fill="DBE5F1"/>
          </w:tcPr>
          <w:p>
            <w:pPr>
              <w:spacing w:after="0"/>
              <w:rPr>
                <w:sz w:val="20"/>
                <w:szCs w:val="20"/>
                <w:color w:val="auto"/>
              </w:rPr>
            </w:pPr>
          </w:p>
        </w:tc>
        <w:tc>
          <w:tcPr>
            <w:tcW w:w="4080" w:type="dxa"/>
            <w:vAlign w:val="bottom"/>
            <w:tcBorders>
              <w:bottom w:val="single" w:sz="8" w:color="95B3D7"/>
            </w:tcBorders>
            <w:shd w:val="clear" w:color="auto" w:fill="DBE5F1"/>
          </w:tcPr>
          <w:p>
            <w:pPr>
              <w:ind w:left="480"/>
              <w:spacing w:after="0"/>
              <w:rPr>
                <w:sz w:val="20"/>
                <w:szCs w:val="20"/>
                <w:color w:val="auto"/>
              </w:rPr>
            </w:pPr>
            <w:r>
              <w:rPr>
                <w:rFonts w:ascii="Arial" w:cs="Arial" w:eastAsia="Arial" w:hAnsi="Arial"/>
                <w:sz w:val="18"/>
                <w:szCs w:val="18"/>
                <w:color w:val="auto"/>
              </w:rPr>
              <w:t>others in the Company</w:t>
            </w:r>
          </w:p>
        </w:tc>
        <w:tc>
          <w:tcPr>
            <w:tcW w:w="0" w:type="dxa"/>
            <w:vAlign w:val="bottom"/>
          </w:tcPr>
          <w:p>
            <w:pPr>
              <w:spacing w:after="0"/>
              <w:rPr>
                <w:sz w:val="1"/>
                <w:szCs w:val="1"/>
                <w:color w:val="auto"/>
              </w:rPr>
            </w:pPr>
          </w:p>
        </w:tc>
      </w:tr>
      <w:tr>
        <w:trPr>
          <w:trHeight w:val="177"/>
        </w:trPr>
        <w:tc>
          <w:tcPr>
            <w:tcW w:w="1220" w:type="dxa"/>
            <w:vAlign w:val="bottom"/>
            <w:tcBorders>
              <w:right w:val="single" w:sz="8" w:color="95B3D7"/>
            </w:tcBorders>
          </w:tcPr>
          <w:p>
            <w:pPr>
              <w:ind w:left="140"/>
              <w:spacing w:after="0" w:line="177" w:lineRule="exact"/>
              <w:rPr>
                <w:sz w:val="20"/>
                <w:szCs w:val="20"/>
                <w:color w:val="auto"/>
              </w:rPr>
            </w:pPr>
            <w:r>
              <w:rPr>
                <w:rFonts w:ascii="Arial" w:cs="Arial" w:eastAsia="Arial" w:hAnsi="Arial"/>
                <w:sz w:val="18"/>
                <w:szCs w:val="18"/>
                <w:b w:val="1"/>
                <w:bCs w:val="1"/>
                <w:color w:val="auto"/>
              </w:rPr>
              <w:t>Annual</w:t>
            </w:r>
          </w:p>
        </w:tc>
        <w:tc>
          <w:tcPr>
            <w:tcW w:w="1300" w:type="dxa"/>
            <w:vAlign w:val="bottom"/>
            <w:tcBorders>
              <w:right w:val="single" w:sz="8" w:color="95B3D7"/>
            </w:tcBorders>
          </w:tcPr>
          <w:p>
            <w:pPr>
              <w:jc w:val="center"/>
              <w:spacing w:after="0" w:line="177" w:lineRule="exact"/>
              <w:rPr>
                <w:sz w:val="20"/>
                <w:szCs w:val="20"/>
                <w:color w:val="auto"/>
              </w:rPr>
            </w:pPr>
            <w:r>
              <w:rPr>
                <w:rFonts w:ascii="Arial" w:cs="Arial" w:eastAsia="Arial" w:hAnsi="Arial"/>
                <w:sz w:val="18"/>
                <w:szCs w:val="18"/>
                <w:color w:val="auto"/>
                <w:w w:val="97"/>
              </w:rPr>
              <w:t>Target at</w:t>
            </w:r>
          </w:p>
        </w:tc>
        <w:tc>
          <w:tcPr>
            <w:tcW w:w="4420" w:type="dxa"/>
            <w:vAlign w:val="bottom"/>
            <w:tcBorders>
              <w:right w:val="single" w:sz="8" w:color="95B3D7"/>
            </w:tcBorders>
          </w:tcPr>
          <w:p>
            <w:pPr>
              <w:ind w:left="200"/>
              <w:spacing w:after="0" w:line="177" w:lineRule="exact"/>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 xml:space="preserve">    Motivate executives to achieve challenging short-</w:t>
            </w:r>
          </w:p>
        </w:tc>
        <w:tc>
          <w:tcPr>
            <w:tcW w:w="4080" w:type="dxa"/>
            <w:vAlign w:val="bottom"/>
          </w:tcPr>
          <w:p>
            <w:pPr>
              <w:ind w:left="200"/>
              <w:spacing w:after="0" w:line="177"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Target awards based on competitive</w:t>
            </w:r>
          </w:p>
        </w:tc>
        <w:tc>
          <w:tcPr>
            <w:tcW w:w="0" w:type="dxa"/>
            <w:vAlign w:val="bottom"/>
          </w:tcPr>
          <w:p>
            <w:pPr>
              <w:spacing w:after="0"/>
              <w:rPr>
                <w:sz w:val="1"/>
                <w:szCs w:val="1"/>
                <w:color w:val="auto"/>
              </w:rPr>
            </w:pPr>
          </w:p>
        </w:tc>
      </w:tr>
      <w:tr>
        <w:trPr>
          <w:trHeight w:val="203"/>
        </w:trPr>
        <w:tc>
          <w:tcPr>
            <w:tcW w:w="1220" w:type="dxa"/>
            <w:vAlign w:val="bottom"/>
            <w:tcBorders>
              <w:right w:val="single" w:sz="8" w:color="95B3D7"/>
            </w:tcBorders>
          </w:tcPr>
          <w:p>
            <w:pPr>
              <w:ind w:left="140"/>
              <w:spacing w:after="0" w:line="202" w:lineRule="exact"/>
              <w:rPr>
                <w:sz w:val="20"/>
                <w:szCs w:val="20"/>
                <w:color w:val="auto"/>
              </w:rPr>
            </w:pPr>
            <w:r>
              <w:rPr>
                <w:rFonts w:ascii="Arial" w:cs="Arial" w:eastAsia="Arial" w:hAnsi="Arial"/>
                <w:sz w:val="18"/>
                <w:szCs w:val="18"/>
                <w:b w:val="1"/>
                <w:bCs w:val="1"/>
                <w:color w:val="auto"/>
              </w:rPr>
              <w:t>Cash</w:t>
            </w:r>
          </w:p>
        </w:tc>
        <w:tc>
          <w:tcPr>
            <w:tcW w:w="1300" w:type="dxa"/>
            <w:vAlign w:val="bottom"/>
            <w:tcBorders>
              <w:right w:val="single" w:sz="8" w:color="95B3D7"/>
            </w:tcBorders>
          </w:tcPr>
          <w:p>
            <w:pPr>
              <w:jc w:val="center"/>
              <w:spacing w:after="0" w:line="202" w:lineRule="exact"/>
              <w:rPr>
                <w:sz w:val="20"/>
                <w:szCs w:val="20"/>
                <w:color w:val="auto"/>
              </w:rPr>
            </w:pPr>
            <w:r>
              <w:rPr>
                <w:rFonts w:ascii="Arial" w:cs="Arial" w:eastAsia="Arial" w:hAnsi="Arial"/>
                <w:sz w:val="18"/>
                <w:szCs w:val="18"/>
                <w:color w:val="auto"/>
                <w:w w:val="98"/>
              </w:rPr>
              <w:t>Median</w:t>
            </w:r>
          </w:p>
        </w:tc>
        <w:tc>
          <w:tcPr>
            <w:tcW w:w="4420" w:type="dxa"/>
            <w:vAlign w:val="bottom"/>
            <w:tcBorders>
              <w:right w:val="single" w:sz="8" w:color="95B3D7"/>
            </w:tcBorders>
          </w:tcPr>
          <w:p>
            <w:pPr>
              <w:ind w:left="460"/>
              <w:spacing w:after="0" w:line="202" w:lineRule="exact"/>
              <w:rPr>
                <w:sz w:val="20"/>
                <w:szCs w:val="20"/>
                <w:color w:val="auto"/>
              </w:rPr>
            </w:pPr>
            <w:r>
              <w:rPr>
                <w:rFonts w:ascii="Arial" w:cs="Arial" w:eastAsia="Arial" w:hAnsi="Arial"/>
                <w:sz w:val="18"/>
                <w:szCs w:val="18"/>
                <w:color w:val="auto"/>
              </w:rPr>
              <w:t>term performance goals</w:t>
            </w:r>
          </w:p>
        </w:tc>
        <w:tc>
          <w:tcPr>
            <w:tcW w:w="4080" w:type="dxa"/>
            <w:vAlign w:val="bottom"/>
          </w:tcPr>
          <w:p>
            <w:pPr>
              <w:ind w:left="480"/>
              <w:spacing w:after="0" w:line="202" w:lineRule="exact"/>
              <w:rPr>
                <w:sz w:val="20"/>
                <w:szCs w:val="20"/>
                <w:color w:val="auto"/>
              </w:rPr>
            </w:pPr>
            <w:r>
              <w:rPr>
                <w:rFonts w:ascii="Arial" w:cs="Arial" w:eastAsia="Arial" w:hAnsi="Arial"/>
                <w:sz w:val="18"/>
                <w:szCs w:val="18"/>
                <w:color w:val="auto"/>
              </w:rPr>
              <w:t>marketplace, level of position, skills and</w:t>
            </w:r>
          </w:p>
        </w:tc>
        <w:tc>
          <w:tcPr>
            <w:tcW w:w="0" w:type="dxa"/>
            <w:vAlign w:val="bottom"/>
          </w:tcPr>
          <w:p>
            <w:pPr>
              <w:spacing w:after="0"/>
              <w:rPr>
                <w:sz w:val="1"/>
                <w:szCs w:val="1"/>
                <w:color w:val="auto"/>
              </w:rPr>
            </w:pPr>
          </w:p>
        </w:tc>
      </w:tr>
      <w:tr>
        <w:trPr>
          <w:trHeight w:val="252"/>
        </w:trPr>
        <w:tc>
          <w:tcPr>
            <w:tcW w:w="1220" w:type="dxa"/>
            <w:vAlign w:val="bottom"/>
            <w:tcBorders>
              <w:right w:val="single" w:sz="8" w:color="95B3D7"/>
            </w:tcBorders>
          </w:tcPr>
          <w:p>
            <w:pPr>
              <w:ind w:left="140"/>
              <w:spacing w:after="0"/>
              <w:rPr>
                <w:sz w:val="20"/>
                <w:szCs w:val="20"/>
                <w:color w:val="auto"/>
              </w:rPr>
            </w:pPr>
            <w:r>
              <w:rPr>
                <w:rFonts w:ascii="Arial" w:cs="Arial" w:eastAsia="Arial" w:hAnsi="Arial"/>
                <w:sz w:val="18"/>
                <w:szCs w:val="18"/>
                <w:b w:val="1"/>
                <w:bCs w:val="1"/>
                <w:color w:val="auto"/>
              </w:rPr>
              <w:t>Incentives</w:t>
            </w:r>
          </w:p>
        </w:tc>
        <w:tc>
          <w:tcPr>
            <w:tcW w:w="1300" w:type="dxa"/>
            <w:vAlign w:val="bottom"/>
            <w:tcBorders>
              <w:right w:val="single" w:sz="8" w:color="95B3D7"/>
            </w:tcBorders>
          </w:tcPr>
          <w:p>
            <w:pPr>
              <w:spacing w:after="0"/>
              <w:rPr>
                <w:sz w:val="21"/>
                <w:szCs w:val="21"/>
                <w:color w:val="auto"/>
              </w:rPr>
            </w:pPr>
          </w:p>
        </w:tc>
        <w:tc>
          <w:tcPr>
            <w:tcW w:w="4420" w:type="dxa"/>
            <w:vAlign w:val="bottom"/>
            <w:tcBorders>
              <w:right w:val="single" w:sz="8" w:color="95B3D7"/>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Align with annual financial objectives</w:t>
            </w:r>
          </w:p>
        </w:tc>
        <w:tc>
          <w:tcPr>
            <w:tcW w:w="4080" w:type="dxa"/>
            <w:vAlign w:val="bottom"/>
          </w:tcPr>
          <w:p>
            <w:pPr>
              <w:ind w:left="480"/>
              <w:spacing w:after="0"/>
              <w:rPr>
                <w:sz w:val="20"/>
                <w:szCs w:val="20"/>
                <w:color w:val="auto"/>
              </w:rPr>
            </w:pPr>
            <w:r>
              <w:rPr>
                <w:rFonts w:ascii="Arial" w:cs="Arial" w:eastAsia="Arial" w:hAnsi="Arial"/>
                <w:sz w:val="18"/>
                <w:szCs w:val="18"/>
                <w:color w:val="auto"/>
              </w:rPr>
              <w:t>performance of executive</w:t>
            </w:r>
          </w:p>
        </w:tc>
        <w:tc>
          <w:tcPr>
            <w:tcW w:w="0" w:type="dxa"/>
            <w:vAlign w:val="bottom"/>
          </w:tcPr>
          <w:p>
            <w:pPr>
              <w:spacing w:after="0"/>
              <w:rPr>
                <w:sz w:val="1"/>
                <w:szCs w:val="1"/>
                <w:color w:val="auto"/>
              </w:rPr>
            </w:pPr>
          </w:p>
        </w:tc>
      </w:tr>
      <w:tr>
        <w:trPr>
          <w:trHeight w:val="122"/>
        </w:trPr>
        <w:tc>
          <w:tcPr>
            <w:tcW w:w="1220" w:type="dxa"/>
            <w:vAlign w:val="bottom"/>
            <w:tcBorders>
              <w:right w:val="single" w:sz="8" w:color="95B3D7"/>
            </w:tcBorders>
          </w:tcPr>
          <w:p>
            <w:pPr>
              <w:spacing w:after="0"/>
              <w:rPr>
                <w:sz w:val="10"/>
                <w:szCs w:val="10"/>
                <w:color w:val="auto"/>
              </w:rPr>
            </w:pPr>
          </w:p>
        </w:tc>
        <w:tc>
          <w:tcPr>
            <w:tcW w:w="1300" w:type="dxa"/>
            <w:vAlign w:val="bottom"/>
            <w:tcBorders>
              <w:right w:val="single" w:sz="8" w:color="95B3D7"/>
            </w:tcBorders>
          </w:tcPr>
          <w:p>
            <w:pPr>
              <w:spacing w:after="0"/>
              <w:rPr>
                <w:sz w:val="10"/>
                <w:szCs w:val="10"/>
                <w:color w:val="auto"/>
              </w:rPr>
            </w:pPr>
          </w:p>
        </w:tc>
        <w:tc>
          <w:tcPr>
            <w:tcW w:w="4420" w:type="dxa"/>
            <w:vAlign w:val="bottom"/>
            <w:tcBorders>
              <w:right w:val="single" w:sz="8" w:color="95B3D7"/>
            </w:tcBorders>
            <w:vMerge w:val="continue"/>
          </w:tcPr>
          <w:p>
            <w:pPr>
              <w:spacing w:after="0"/>
              <w:rPr>
                <w:sz w:val="10"/>
                <w:szCs w:val="10"/>
                <w:color w:val="auto"/>
              </w:rPr>
            </w:pPr>
          </w:p>
        </w:tc>
        <w:tc>
          <w:tcPr>
            <w:tcW w:w="408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 xml:space="preserve">    75% of actual awards based on achievement</w:t>
            </w:r>
          </w:p>
        </w:tc>
        <w:tc>
          <w:tcPr>
            <w:tcW w:w="0" w:type="dxa"/>
            <w:vAlign w:val="bottom"/>
          </w:tcPr>
          <w:p>
            <w:pPr>
              <w:spacing w:after="0"/>
              <w:rPr>
                <w:sz w:val="1"/>
                <w:szCs w:val="1"/>
                <w:color w:val="auto"/>
              </w:rPr>
            </w:pPr>
          </w:p>
        </w:tc>
      </w:tr>
      <w:tr>
        <w:trPr>
          <w:trHeight w:val="180"/>
        </w:trPr>
        <w:tc>
          <w:tcPr>
            <w:tcW w:w="1220" w:type="dxa"/>
            <w:vAlign w:val="bottom"/>
            <w:tcBorders>
              <w:right w:val="single" w:sz="8" w:color="95B3D7"/>
            </w:tcBorders>
          </w:tcPr>
          <w:p>
            <w:pPr>
              <w:spacing w:after="0"/>
              <w:rPr>
                <w:sz w:val="15"/>
                <w:szCs w:val="15"/>
                <w:color w:val="auto"/>
              </w:rPr>
            </w:pPr>
          </w:p>
        </w:tc>
        <w:tc>
          <w:tcPr>
            <w:tcW w:w="1300" w:type="dxa"/>
            <w:vAlign w:val="bottom"/>
            <w:tcBorders>
              <w:right w:val="single" w:sz="8" w:color="95B3D7"/>
            </w:tcBorders>
          </w:tcPr>
          <w:p>
            <w:pPr>
              <w:spacing w:after="0"/>
              <w:rPr>
                <w:sz w:val="15"/>
                <w:szCs w:val="15"/>
                <w:color w:val="auto"/>
              </w:rPr>
            </w:pPr>
          </w:p>
        </w:tc>
        <w:tc>
          <w:tcPr>
            <w:tcW w:w="4420" w:type="dxa"/>
            <w:vAlign w:val="bottom"/>
            <w:tcBorders>
              <w:right w:val="single" w:sz="8" w:color="95B3D7"/>
            </w:tcBorders>
          </w:tcPr>
          <w:p>
            <w:pPr>
              <w:spacing w:after="0"/>
              <w:rPr>
                <w:sz w:val="15"/>
                <w:szCs w:val="15"/>
                <w:color w:val="auto"/>
              </w:rPr>
            </w:pPr>
          </w:p>
        </w:tc>
        <w:tc>
          <w:tcPr>
            <w:tcW w:w="4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1220" w:type="dxa"/>
            <w:vAlign w:val="bottom"/>
            <w:tcBorders>
              <w:right w:val="single" w:sz="8" w:color="95B3D7"/>
            </w:tcBorders>
          </w:tcPr>
          <w:p>
            <w:pPr>
              <w:spacing w:after="0"/>
              <w:rPr>
                <w:sz w:val="20"/>
                <w:szCs w:val="20"/>
                <w:color w:val="auto"/>
              </w:rPr>
            </w:pPr>
          </w:p>
        </w:tc>
        <w:tc>
          <w:tcPr>
            <w:tcW w:w="1300" w:type="dxa"/>
            <w:vAlign w:val="bottom"/>
            <w:tcBorders>
              <w:right w:val="single" w:sz="8" w:color="95B3D7"/>
            </w:tcBorders>
          </w:tcPr>
          <w:p>
            <w:pPr>
              <w:spacing w:after="0"/>
              <w:rPr>
                <w:sz w:val="20"/>
                <w:szCs w:val="20"/>
                <w:color w:val="auto"/>
              </w:rPr>
            </w:pPr>
          </w:p>
        </w:tc>
        <w:tc>
          <w:tcPr>
            <w:tcW w:w="4420" w:type="dxa"/>
            <w:vAlign w:val="bottom"/>
            <w:tcBorders>
              <w:right w:val="single" w:sz="8" w:color="95B3D7"/>
            </w:tcBorders>
          </w:tcPr>
          <w:p>
            <w:pPr>
              <w:spacing w:after="0"/>
              <w:rPr>
                <w:sz w:val="20"/>
                <w:szCs w:val="20"/>
                <w:color w:val="auto"/>
              </w:rPr>
            </w:pPr>
          </w:p>
        </w:tc>
        <w:tc>
          <w:tcPr>
            <w:tcW w:w="4080" w:type="dxa"/>
            <w:vAlign w:val="bottom"/>
          </w:tcPr>
          <w:p>
            <w:pPr>
              <w:ind w:left="480"/>
              <w:spacing w:after="0"/>
              <w:rPr>
                <w:sz w:val="20"/>
                <w:szCs w:val="20"/>
                <w:color w:val="auto"/>
              </w:rPr>
            </w:pPr>
            <w:r>
              <w:rPr>
                <w:rFonts w:ascii="Arial" w:cs="Arial" w:eastAsia="Arial" w:hAnsi="Arial"/>
                <w:sz w:val="18"/>
                <w:szCs w:val="18"/>
                <w:color w:val="auto"/>
              </w:rPr>
              <w:t>against the following corporate metrics:</w:t>
            </w:r>
          </w:p>
        </w:tc>
        <w:tc>
          <w:tcPr>
            <w:tcW w:w="0" w:type="dxa"/>
            <w:vAlign w:val="bottom"/>
          </w:tcPr>
          <w:p>
            <w:pPr>
              <w:spacing w:after="0"/>
              <w:rPr>
                <w:sz w:val="1"/>
                <w:szCs w:val="1"/>
                <w:color w:val="auto"/>
              </w:rPr>
            </w:pPr>
          </w:p>
        </w:tc>
      </w:tr>
      <w:tr>
        <w:trPr>
          <w:trHeight w:val="324"/>
        </w:trPr>
        <w:tc>
          <w:tcPr>
            <w:tcW w:w="1220" w:type="dxa"/>
            <w:vAlign w:val="bottom"/>
            <w:tcBorders>
              <w:right w:val="single" w:sz="8" w:color="95B3D7"/>
            </w:tcBorders>
          </w:tcPr>
          <w:p>
            <w:pPr>
              <w:spacing w:after="0"/>
              <w:rPr>
                <w:sz w:val="24"/>
                <w:szCs w:val="24"/>
                <w:color w:val="auto"/>
              </w:rPr>
            </w:pPr>
          </w:p>
        </w:tc>
        <w:tc>
          <w:tcPr>
            <w:tcW w:w="1300" w:type="dxa"/>
            <w:vAlign w:val="bottom"/>
            <w:tcBorders>
              <w:right w:val="single" w:sz="8" w:color="95B3D7"/>
            </w:tcBorders>
          </w:tcPr>
          <w:p>
            <w:pPr>
              <w:spacing w:after="0"/>
              <w:rPr>
                <w:sz w:val="24"/>
                <w:szCs w:val="24"/>
                <w:color w:val="auto"/>
              </w:rPr>
            </w:pPr>
          </w:p>
        </w:tc>
        <w:tc>
          <w:tcPr>
            <w:tcW w:w="4420" w:type="dxa"/>
            <w:vAlign w:val="bottom"/>
            <w:tcBorders>
              <w:right w:val="single" w:sz="8" w:color="95B3D7"/>
            </w:tcBorders>
          </w:tcPr>
          <w:p>
            <w:pPr>
              <w:spacing w:after="0"/>
              <w:rPr>
                <w:sz w:val="24"/>
                <w:szCs w:val="24"/>
                <w:color w:val="auto"/>
              </w:rPr>
            </w:pPr>
          </w:p>
        </w:tc>
        <w:tc>
          <w:tcPr>
            <w:tcW w:w="4080" w:type="dxa"/>
            <w:vAlign w:val="bottom"/>
          </w:tcPr>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Health Plan membership</w:t>
            </w:r>
          </w:p>
        </w:tc>
        <w:tc>
          <w:tcPr>
            <w:tcW w:w="0" w:type="dxa"/>
            <w:vAlign w:val="bottom"/>
          </w:tcPr>
          <w:p>
            <w:pPr>
              <w:spacing w:after="0"/>
              <w:rPr>
                <w:sz w:val="1"/>
                <w:szCs w:val="1"/>
                <w:color w:val="auto"/>
              </w:rPr>
            </w:pPr>
          </w:p>
        </w:tc>
      </w:tr>
      <w:tr>
        <w:trPr>
          <w:trHeight w:val="324"/>
        </w:trPr>
        <w:tc>
          <w:tcPr>
            <w:tcW w:w="1220" w:type="dxa"/>
            <w:vAlign w:val="bottom"/>
            <w:tcBorders>
              <w:right w:val="single" w:sz="8" w:color="95B3D7"/>
            </w:tcBorders>
          </w:tcPr>
          <w:p>
            <w:pPr>
              <w:spacing w:after="0"/>
              <w:rPr>
                <w:sz w:val="24"/>
                <w:szCs w:val="24"/>
                <w:color w:val="auto"/>
              </w:rPr>
            </w:pPr>
          </w:p>
        </w:tc>
        <w:tc>
          <w:tcPr>
            <w:tcW w:w="1300" w:type="dxa"/>
            <w:vAlign w:val="bottom"/>
            <w:tcBorders>
              <w:right w:val="single" w:sz="8" w:color="95B3D7"/>
            </w:tcBorders>
          </w:tcPr>
          <w:p>
            <w:pPr>
              <w:spacing w:after="0"/>
              <w:rPr>
                <w:sz w:val="24"/>
                <w:szCs w:val="24"/>
                <w:color w:val="auto"/>
              </w:rPr>
            </w:pPr>
          </w:p>
        </w:tc>
        <w:tc>
          <w:tcPr>
            <w:tcW w:w="4420" w:type="dxa"/>
            <w:vAlign w:val="bottom"/>
            <w:tcBorders>
              <w:right w:val="single" w:sz="8" w:color="95B3D7"/>
            </w:tcBorders>
          </w:tcPr>
          <w:p>
            <w:pPr>
              <w:spacing w:after="0"/>
              <w:rPr>
                <w:sz w:val="24"/>
                <w:szCs w:val="24"/>
                <w:color w:val="auto"/>
              </w:rPr>
            </w:pPr>
          </w:p>
        </w:tc>
        <w:tc>
          <w:tcPr>
            <w:tcW w:w="4080" w:type="dxa"/>
            <w:vAlign w:val="bottom"/>
          </w:tcPr>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Adjusted gross profit</w:t>
            </w:r>
          </w:p>
        </w:tc>
        <w:tc>
          <w:tcPr>
            <w:tcW w:w="0" w:type="dxa"/>
            <w:vAlign w:val="bottom"/>
          </w:tcPr>
          <w:p>
            <w:pPr>
              <w:spacing w:after="0"/>
              <w:rPr>
                <w:sz w:val="1"/>
                <w:szCs w:val="1"/>
                <w:color w:val="auto"/>
              </w:rPr>
            </w:pPr>
          </w:p>
        </w:tc>
      </w:tr>
      <w:tr>
        <w:trPr>
          <w:trHeight w:val="324"/>
        </w:trPr>
        <w:tc>
          <w:tcPr>
            <w:tcW w:w="1220" w:type="dxa"/>
            <w:vAlign w:val="bottom"/>
            <w:tcBorders>
              <w:right w:val="single" w:sz="8" w:color="95B3D7"/>
            </w:tcBorders>
          </w:tcPr>
          <w:p>
            <w:pPr>
              <w:spacing w:after="0"/>
              <w:rPr>
                <w:sz w:val="24"/>
                <w:szCs w:val="24"/>
                <w:color w:val="auto"/>
              </w:rPr>
            </w:pPr>
          </w:p>
        </w:tc>
        <w:tc>
          <w:tcPr>
            <w:tcW w:w="1300" w:type="dxa"/>
            <w:vAlign w:val="bottom"/>
            <w:tcBorders>
              <w:right w:val="single" w:sz="8" w:color="95B3D7"/>
            </w:tcBorders>
          </w:tcPr>
          <w:p>
            <w:pPr>
              <w:spacing w:after="0"/>
              <w:rPr>
                <w:sz w:val="24"/>
                <w:szCs w:val="24"/>
                <w:color w:val="auto"/>
              </w:rPr>
            </w:pPr>
          </w:p>
        </w:tc>
        <w:tc>
          <w:tcPr>
            <w:tcW w:w="4420" w:type="dxa"/>
            <w:vAlign w:val="bottom"/>
            <w:tcBorders>
              <w:right w:val="single" w:sz="8" w:color="95B3D7"/>
            </w:tcBorders>
          </w:tcPr>
          <w:p>
            <w:pPr>
              <w:spacing w:after="0"/>
              <w:rPr>
                <w:sz w:val="24"/>
                <w:szCs w:val="24"/>
                <w:color w:val="auto"/>
              </w:rPr>
            </w:pPr>
          </w:p>
        </w:tc>
        <w:tc>
          <w:tcPr>
            <w:tcW w:w="4080" w:type="dxa"/>
            <w:vAlign w:val="bottom"/>
          </w:tcPr>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Adjusted EBITDA</w:t>
            </w:r>
          </w:p>
        </w:tc>
        <w:tc>
          <w:tcPr>
            <w:tcW w:w="0" w:type="dxa"/>
            <w:vAlign w:val="bottom"/>
          </w:tcPr>
          <w:p>
            <w:pPr>
              <w:spacing w:after="0"/>
              <w:rPr>
                <w:sz w:val="1"/>
                <w:szCs w:val="1"/>
                <w:color w:val="auto"/>
              </w:rPr>
            </w:pPr>
          </w:p>
        </w:tc>
      </w:tr>
      <w:tr>
        <w:trPr>
          <w:trHeight w:val="301"/>
        </w:trPr>
        <w:tc>
          <w:tcPr>
            <w:tcW w:w="1220" w:type="dxa"/>
            <w:vAlign w:val="bottom"/>
            <w:tcBorders>
              <w:right w:val="single" w:sz="8" w:color="95B3D7"/>
            </w:tcBorders>
          </w:tcPr>
          <w:p>
            <w:pPr>
              <w:spacing w:after="0"/>
              <w:rPr>
                <w:sz w:val="24"/>
                <w:szCs w:val="24"/>
                <w:color w:val="auto"/>
              </w:rPr>
            </w:pPr>
          </w:p>
        </w:tc>
        <w:tc>
          <w:tcPr>
            <w:tcW w:w="1300" w:type="dxa"/>
            <w:vAlign w:val="bottom"/>
            <w:tcBorders>
              <w:right w:val="single" w:sz="8" w:color="95B3D7"/>
            </w:tcBorders>
          </w:tcPr>
          <w:p>
            <w:pPr>
              <w:spacing w:after="0"/>
              <w:rPr>
                <w:sz w:val="24"/>
                <w:szCs w:val="24"/>
                <w:color w:val="auto"/>
              </w:rPr>
            </w:pPr>
          </w:p>
        </w:tc>
        <w:tc>
          <w:tcPr>
            <w:tcW w:w="4420" w:type="dxa"/>
            <w:vAlign w:val="bottom"/>
            <w:tcBorders>
              <w:right w:val="single" w:sz="8" w:color="95B3D7"/>
            </w:tcBorders>
          </w:tcPr>
          <w:p>
            <w:pPr>
              <w:spacing w:after="0"/>
              <w:rPr>
                <w:sz w:val="24"/>
                <w:szCs w:val="24"/>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 xml:space="preserve">    25% of actual awards based on achievement</w:t>
            </w:r>
          </w:p>
        </w:tc>
        <w:tc>
          <w:tcPr>
            <w:tcW w:w="0" w:type="dxa"/>
            <w:vAlign w:val="bottom"/>
          </w:tcPr>
          <w:p>
            <w:pPr>
              <w:spacing w:after="0"/>
              <w:rPr>
                <w:sz w:val="1"/>
                <w:szCs w:val="1"/>
                <w:color w:val="auto"/>
              </w:rPr>
            </w:pPr>
          </w:p>
        </w:tc>
      </w:tr>
      <w:tr>
        <w:trPr>
          <w:trHeight w:val="203"/>
        </w:trPr>
        <w:tc>
          <w:tcPr>
            <w:tcW w:w="1220" w:type="dxa"/>
            <w:vAlign w:val="bottom"/>
            <w:tcBorders>
              <w:right w:val="single" w:sz="8" w:color="95B3D7"/>
            </w:tcBorders>
          </w:tcPr>
          <w:p>
            <w:pPr>
              <w:spacing w:after="0"/>
              <w:rPr>
                <w:sz w:val="17"/>
                <w:szCs w:val="17"/>
                <w:color w:val="auto"/>
              </w:rPr>
            </w:pPr>
          </w:p>
        </w:tc>
        <w:tc>
          <w:tcPr>
            <w:tcW w:w="1300" w:type="dxa"/>
            <w:vAlign w:val="bottom"/>
            <w:tcBorders>
              <w:right w:val="single" w:sz="8" w:color="95B3D7"/>
            </w:tcBorders>
          </w:tcPr>
          <w:p>
            <w:pPr>
              <w:spacing w:after="0"/>
              <w:rPr>
                <w:sz w:val="17"/>
                <w:szCs w:val="17"/>
                <w:color w:val="auto"/>
              </w:rPr>
            </w:pPr>
          </w:p>
        </w:tc>
        <w:tc>
          <w:tcPr>
            <w:tcW w:w="4420" w:type="dxa"/>
            <w:vAlign w:val="bottom"/>
            <w:tcBorders>
              <w:right w:val="single" w:sz="8" w:color="95B3D7"/>
            </w:tcBorders>
          </w:tcPr>
          <w:p>
            <w:pPr>
              <w:spacing w:after="0"/>
              <w:rPr>
                <w:sz w:val="17"/>
                <w:szCs w:val="17"/>
                <w:color w:val="auto"/>
              </w:rPr>
            </w:pPr>
          </w:p>
        </w:tc>
        <w:tc>
          <w:tcPr>
            <w:tcW w:w="4080" w:type="dxa"/>
            <w:vAlign w:val="bottom"/>
          </w:tcPr>
          <w:p>
            <w:pPr>
              <w:ind w:left="480"/>
              <w:spacing w:after="0" w:line="202" w:lineRule="exact"/>
              <w:rPr>
                <w:sz w:val="20"/>
                <w:szCs w:val="20"/>
                <w:color w:val="auto"/>
              </w:rPr>
            </w:pPr>
            <w:r>
              <w:rPr>
                <w:rFonts w:ascii="Arial" w:cs="Arial" w:eastAsia="Arial" w:hAnsi="Arial"/>
                <w:sz w:val="18"/>
                <w:szCs w:val="18"/>
                <w:color w:val="auto"/>
              </w:rPr>
              <w:t>of individual and/or departmental goals</w:t>
            </w:r>
          </w:p>
        </w:tc>
        <w:tc>
          <w:tcPr>
            <w:tcW w:w="0" w:type="dxa"/>
            <w:vAlign w:val="bottom"/>
          </w:tcPr>
          <w:p>
            <w:pPr>
              <w:spacing w:after="0"/>
              <w:rPr>
                <w:sz w:val="1"/>
                <w:szCs w:val="1"/>
                <w:color w:val="auto"/>
              </w:rPr>
            </w:pPr>
          </w:p>
        </w:tc>
      </w:tr>
      <w:tr>
        <w:trPr>
          <w:trHeight w:val="239"/>
        </w:trPr>
        <w:tc>
          <w:tcPr>
            <w:tcW w:w="1220" w:type="dxa"/>
            <w:vAlign w:val="bottom"/>
            <w:tcBorders>
              <w:right w:val="single" w:sz="8" w:color="95B3D7"/>
            </w:tcBorders>
          </w:tcPr>
          <w:p>
            <w:pPr>
              <w:spacing w:after="0"/>
              <w:rPr>
                <w:sz w:val="20"/>
                <w:szCs w:val="20"/>
                <w:color w:val="auto"/>
              </w:rPr>
            </w:pPr>
          </w:p>
        </w:tc>
        <w:tc>
          <w:tcPr>
            <w:tcW w:w="1300" w:type="dxa"/>
            <w:vAlign w:val="bottom"/>
            <w:tcBorders>
              <w:right w:val="single" w:sz="8" w:color="95B3D7"/>
            </w:tcBorders>
          </w:tcPr>
          <w:p>
            <w:pPr>
              <w:spacing w:after="0"/>
              <w:rPr>
                <w:sz w:val="20"/>
                <w:szCs w:val="20"/>
                <w:color w:val="auto"/>
              </w:rPr>
            </w:pPr>
          </w:p>
        </w:tc>
        <w:tc>
          <w:tcPr>
            <w:tcW w:w="4420" w:type="dxa"/>
            <w:vAlign w:val="bottom"/>
            <w:tcBorders>
              <w:right w:val="single" w:sz="8" w:color="95B3D7"/>
            </w:tcBorders>
          </w:tcPr>
          <w:p>
            <w:pPr>
              <w:spacing w:after="0"/>
              <w:rPr>
                <w:sz w:val="20"/>
                <w:szCs w:val="20"/>
                <w:color w:val="auto"/>
              </w:rPr>
            </w:pPr>
          </w:p>
        </w:tc>
        <w:tc>
          <w:tcPr>
            <w:tcW w:w="4080" w:type="dxa"/>
            <w:vAlign w:val="bottom"/>
          </w:tcPr>
          <w:p>
            <w:pPr>
              <w:ind w:left="480"/>
              <w:spacing w:after="0"/>
              <w:rPr>
                <w:sz w:val="20"/>
                <w:szCs w:val="20"/>
                <w:color w:val="auto"/>
              </w:rPr>
            </w:pPr>
            <w:r>
              <w:rPr>
                <w:rFonts w:ascii="Arial" w:cs="Arial" w:eastAsia="Arial" w:hAnsi="Arial"/>
                <w:sz w:val="18"/>
                <w:szCs w:val="18"/>
                <w:color w:val="auto"/>
              </w:rPr>
              <w:t>(other than for the CEO)</w:t>
            </w:r>
          </w:p>
        </w:tc>
        <w:tc>
          <w:tcPr>
            <w:tcW w:w="0" w:type="dxa"/>
            <w:vAlign w:val="bottom"/>
          </w:tcPr>
          <w:p>
            <w:pPr>
              <w:spacing w:after="0"/>
              <w:rPr>
                <w:sz w:val="1"/>
                <w:szCs w:val="1"/>
                <w:color w:val="auto"/>
              </w:rPr>
            </w:pPr>
          </w:p>
        </w:tc>
      </w:tr>
      <w:tr>
        <w:trPr>
          <w:trHeight w:val="301"/>
        </w:trPr>
        <w:tc>
          <w:tcPr>
            <w:tcW w:w="1220" w:type="dxa"/>
            <w:vAlign w:val="bottom"/>
            <w:tcBorders>
              <w:right w:val="single" w:sz="8" w:color="95B3D7"/>
            </w:tcBorders>
          </w:tcPr>
          <w:p>
            <w:pPr>
              <w:spacing w:after="0"/>
              <w:rPr>
                <w:sz w:val="24"/>
                <w:szCs w:val="24"/>
                <w:color w:val="auto"/>
              </w:rPr>
            </w:pPr>
          </w:p>
        </w:tc>
        <w:tc>
          <w:tcPr>
            <w:tcW w:w="1300" w:type="dxa"/>
            <w:vAlign w:val="bottom"/>
            <w:tcBorders>
              <w:right w:val="single" w:sz="8" w:color="95B3D7"/>
            </w:tcBorders>
          </w:tcPr>
          <w:p>
            <w:pPr>
              <w:spacing w:after="0"/>
              <w:rPr>
                <w:sz w:val="24"/>
                <w:szCs w:val="24"/>
                <w:color w:val="auto"/>
              </w:rPr>
            </w:pPr>
          </w:p>
        </w:tc>
        <w:tc>
          <w:tcPr>
            <w:tcW w:w="4420" w:type="dxa"/>
            <w:vAlign w:val="bottom"/>
            <w:tcBorders>
              <w:right w:val="single" w:sz="8" w:color="95B3D7"/>
            </w:tcBorders>
          </w:tcPr>
          <w:p>
            <w:pPr>
              <w:spacing w:after="0"/>
              <w:rPr>
                <w:sz w:val="24"/>
                <w:szCs w:val="24"/>
                <w:color w:val="auto"/>
              </w:rPr>
            </w:pPr>
          </w:p>
        </w:tc>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For 2023, awards were subject to a modifier</w:t>
            </w:r>
          </w:p>
        </w:tc>
        <w:tc>
          <w:tcPr>
            <w:tcW w:w="0" w:type="dxa"/>
            <w:vAlign w:val="bottom"/>
          </w:tcPr>
          <w:p>
            <w:pPr>
              <w:spacing w:after="0"/>
              <w:rPr>
                <w:sz w:val="1"/>
                <w:szCs w:val="1"/>
                <w:color w:val="auto"/>
              </w:rPr>
            </w:pPr>
          </w:p>
        </w:tc>
      </w:tr>
      <w:tr>
        <w:trPr>
          <w:trHeight w:val="203"/>
        </w:trPr>
        <w:tc>
          <w:tcPr>
            <w:tcW w:w="1220" w:type="dxa"/>
            <w:vAlign w:val="bottom"/>
            <w:tcBorders>
              <w:right w:val="single" w:sz="8" w:color="95B3D7"/>
            </w:tcBorders>
          </w:tcPr>
          <w:p>
            <w:pPr>
              <w:spacing w:after="0"/>
              <w:rPr>
                <w:sz w:val="17"/>
                <w:szCs w:val="17"/>
                <w:color w:val="auto"/>
              </w:rPr>
            </w:pPr>
          </w:p>
        </w:tc>
        <w:tc>
          <w:tcPr>
            <w:tcW w:w="1300" w:type="dxa"/>
            <w:vAlign w:val="bottom"/>
            <w:tcBorders>
              <w:right w:val="single" w:sz="8" w:color="95B3D7"/>
            </w:tcBorders>
          </w:tcPr>
          <w:p>
            <w:pPr>
              <w:spacing w:after="0"/>
              <w:rPr>
                <w:sz w:val="17"/>
                <w:szCs w:val="17"/>
                <w:color w:val="auto"/>
              </w:rPr>
            </w:pPr>
          </w:p>
        </w:tc>
        <w:tc>
          <w:tcPr>
            <w:tcW w:w="4420" w:type="dxa"/>
            <w:vAlign w:val="bottom"/>
            <w:tcBorders>
              <w:right w:val="single" w:sz="8" w:color="95B3D7"/>
            </w:tcBorders>
          </w:tcPr>
          <w:p>
            <w:pPr>
              <w:spacing w:after="0"/>
              <w:rPr>
                <w:sz w:val="17"/>
                <w:szCs w:val="17"/>
                <w:color w:val="auto"/>
              </w:rPr>
            </w:pPr>
          </w:p>
        </w:tc>
        <w:tc>
          <w:tcPr>
            <w:tcW w:w="4080" w:type="dxa"/>
            <w:vAlign w:val="bottom"/>
          </w:tcPr>
          <w:p>
            <w:pPr>
              <w:ind w:left="480"/>
              <w:spacing w:after="0" w:line="202" w:lineRule="exact"/>
              <w:rPr>
                <w:sz w:val="20"/>
                <w:szCs w:val="20"/>
                <w:color w:val="auto"/>
              </w:rPr>
            </w:pPr>
            <w:r>
              <w:rPr>
                <w:rFonts w:ascii="Arial" w:cs="Arial" w:eastAsia="Arial" w:hAnsi="Arial"/>
                <w:sz w:val="18"/>
                <w:szCs w:val="18"/>
                <w:color w:val="auto"/>
              </w:rPr>
              <w:t>(-25% to +50%) based on the Company’s</w:t>
            </w:r>
          </w:p>
        </w:tc>
        <w:tc>
          <w:tcPr>
            <w:tcW w:w="0" w:type="dxa"/>
            <w:vAlign w:val="bottom"/>
          </w:tcPr>
          <w:p>
            <w:pPr>
              <w:spacing w:after="0"/>
              <w:rPr>
                <w:sz w:val="1"/>
                <w:szCs w:val="1"/>
                <w:color w:val="auto"/>
              </w:rPr>
            </w:pPr>
          </w:p>
        </w:tc>
      </w:tr>
      <w:tr>
        <w:trPr>
          <w:trHeight w:val="203"/>
        </w:trPr>
        <w:tc>
          <w:tcPr>
            <w:tcW w:w="1220" w:type="dxa"/>
            <w:vAlign w:val="bottom"/>
            <w:tcBorders>
              <w:right w:val="single" w:sz="8" w:color="95B3D7"/>
            </w:tcBorders>
          </w:tcPr>
          <w:p>
            <w:pPr>
              <w:spacing w:after="0"/>
              <w:rPr>
                <w:sz w:val="17"/>
                <w:szCs w:val="17"/>
                <w:color w:val="auto"/>
              </w:rPr>
            </w:pPr>
          </w:p>
        </w:tc>
        <w:tc>
          <w:tcPr>
            <w:tcW w:w="1300" w:type="dxa"/>
            <w:vAlign w:val="bottom"/>
            <w:tcBorders>
              <w:right w:val="single" w:sz="8" w:color="95B3D7"/>
            </w:tcBorders>
          </w:tcPr>
          <w:p>
            <w:pPr>
              <w:spacing w:after="0"/>
              <w:rPr>
                <w:sz w:val="17"/>
                <w:szCs w:val="17"/>
                <w:color w:val="auto"/>
              </w:rPr>
            </w:pPr>
          </w:p>
        </w:tc>
        <w:tc>
          <w:tcPr>
            <w:tcW w:w="4420" w:type="dxa"/>
            <w:vAlign w:val="bottom"/>
            <w:tcBorders>
              <w:right w:val="single" w:sz="8" w:color="95B3D7"/>
            </w:tcBorders>
          </w:tcPr>
          <w:p>
            <w:pPr>
              <w:spacing w:after="0"/>
              <w:rPr>
                <w:sz w:val="17"/>
                <w:szCs w:val="17"/>
                <w:color w:val="auto"/>
              </w:rPr>
            </w:pPr>
          </w:p>
        </w:tc>
        <w:tc>
          <w:tcPr>
            <w:tcW w:w="4080" w:type="dxa"/>
            <w:vAlign w:val="bottom"/>
          </w:tcPr>
          <w:p>
            <w:pPr>
              <w:ind w:left="480"/>
              <w:spacing w:after="0" w:line="202" w:lineRule="exact"/>
              <w:rPr>
                <w:sz w:val="20"/>
                <w:szCs w:val="20"/>
                <w:color w:val="auto"/>
              </w:rPr>
            </w:pPr>
            <w:r>
              <w:rPr>
                <w:rFonts w:ascii="Arial" w:cs="Arial" w:eastAsia="Arial" w:hAnsi="Arial"/>
                <w:sz w:val="18"/>
                <w:szCs w:val="18"/>
                <w:color w:val="auto"/>
              </w:rPr>
              <w:t>CMS Star Ratings, with potential payouts</w:t>
            </w:r>
          </w:p>
        </w:tc>
        <w:tc>
          <w:tcPr>
            <w:tcW w:w="0" w:type="dxa"/>
            <w:vAlign w:val="bottom"/>
          </w:tcPr>
          <w:p>
            <w:pPr>
              <w:spacing w:after="0"/>
              <w:rPr>
                <w:sz w:val="1"/>
                <w:szCs w:val="1"/>
                <w:color w:val="auto"/>
              </w:rPr>
            </w:pPr>
          </w:p>
        </w:tc>
      </w:tr>
      <w:tr>
        <w:trPr>
          <w:trHeight w:val="235"/>
        </w:trPr>
        <w:tc>
          <w:tcPr>
            <w:tcW w:w="1220" w:type="dxa"/>
            <w:vAlign w:val="bottom"/>
            <w:tcBorders>
              <w:bottom w:val="single" w:sz="8" w:color="95B3D7"/>
              <w:right w:val="single" w:sz="8" w:color="95B3D7"/>
            </w:tcBorders>
          </w:tcPr>
          <w:p>
            <w:pPr>
              <w:spacing w:after="0"/>
              <w:rPr>
                <w:sz w:val="20"/>
                <w:szCs w:val="20"/>
                <w:color w:val="auto"/>
              </w:rPr>
            </w:pPr>
          </w:p>
        </w:tc>
        <w:tc>
          <w:tcPr>
            <w:tcW w:w="1300" w:type="dxa"/>
            <w:vAlign w:val="bottom"/>
            <w:tcBorders>
              <w:bottom w:val="single" w:sz="8" w:color="95B3D7"/>
              <w:right w:val="single" w:sz="8" w:color="95B3D7"/>
            </w:tcBorders>
          </w:tcPr>
          <w:p>
            <w:pPr>
              <w:spacing w:after="0"/>
              <w:rPr>
                <w:sz w:val="20"/>
                <w:szCs w:val="20"/>
                <w:color w:val="auto"/>
              </w:rPr>
            </w:pPr>
          </w:p>
        </w:tc>
        <w:tc>
          <w:tcPr>
            <w:tcW w:w="4420" w:type="dxa"/>
            <w:vAlign w:val="bottom"/>
            <w:tcBorders>
              <w:bottom w:val="single" w:sz="8" w:color="95B3D7"/>
              <w:right w:val="single" w:sz="8" w:color="95B3D7"/>
            </w:tcBorders>
          </w:tcPr>
          <w:p>
            <w:pPr>
              <w:spacing w:after="0"/>
              <w:rPr>
                <w:sz w:val="20"/>
                <w:szCs w:val="20"/>
                <w:color w:val="auto"/>
              </w:rPr>
            </w:pPr>
          </w:p>
        </w:tc>
        <w:tc>
          <w:tcPr>
            <w:tcW w:w="4080" w:type="dxa"/>
            <w:vAlign w:val="bottom"/>
            <w:tcBorders>
              <w:bottom w:val="single" w:sz="8" w:color="95B3D7"/>
            </w:tcBorders>
          </w:tcPr>
          <w:p>
            <w:pPr>
              <w:ind w:left="480"/>
              <w:spacing w:after="0"/>
              <w:rPr>
                <w:sz w:val="20"/>
                <w:szCs w:val="20"/>
                <w:color w:val="auto"/>
              </w:rPr>
            </w:pPr>
            <w:r>
              <w:rPr>
                <w:rFonts w:ascii="Arial" w:cs="Arial" w:eastAsia="Arial" w:hAnsi="Arial"/>
                <w:sz w:val="18"/>
                <w:szCs w:val="18"/>
                <w:color w:val="auto"/>
              </w:rPr>
              <w:t>ranging from 0% to 200% of target bonus</w:t>
            </w:r>
          </w:p>
        </w:tc>
        <w:tc>
          <w:tcPr>
            <w:tcW w:w="0" w:type="dxa"/>
            <w:vAlign w:val="bottom"/>
          </w:tcPr>
          <w:p>
            <w:pPr>
              <w:spacing w:after="0"/>
              <w:rPr>
                <w:sz w:val="1"/>
                <w:szCs w:val="1"/>
                <w:color w:val="auto"/>
              </w:rPr>
            </w:pPr>
          </w:p>
        </w:tc>
      </w:tr>
      <w:tr>
        <w:trPr>
          <w:trHeight w:val="177"/>
        </w:trPr>
        <w:tc>
          <w:tcPr>
            <w:tcW w:w="1220" w:type="dxa"/>
            <w:vAlign w:val="bottom"/>
            <w:tcBorders>
              <w:right w:val="single" w:sz="8" w:color="95B3D7"/>
            </w:tcBorders>
            <w:shd w:val="clear" w:color="auto" w:fill="DBE5F1"/>
          </w:tcPr>
          <w:p>
            <w:pPr>
              <w:ind w:left="140"/>
              <w:spacing w:after="0" w:line="177" w:lineRule="exact"/>
              <w:rPr>
                <w:sz w:val="20"/>
                <w:szCs w:val="20"/>
                <w:color w:val="auto"/>
              </w:rPr>
            </w:pPr>
            <w:r>
              <w:rPr>
                <w:rFonts w:ascii="Arial" w:cs="Arial" w:eastAsia="Arial" w:hAnsi="Arial"/>
                <w:sz w:val="18"/>
                <w:szCs w:val="18"/>
                <w:b w:val="1"/>
                <w:bCs w:val="1"/>
                <w:color w:val="auto"/>
              </w:rPr>
              <w:t>Long-</w:t>
            </w:r>
          </w:p>
        </w:tc>
        <w:tc>
          <w:tcPr>
            <w:tcW w:w="130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w w:val="97"/>
              </w:rPr>
              <w:t>Target at</w:t>
            </w:r>
          </w:p>
        </w:tc>
        <w:tc>
          <w:tcPr>
            <w:tcW w:w="4420" w:type="dxa"/>
            <w:vAlign w:val="bottom"/>
            <w:tcBorders>
              <w:right w:val="single" w:sz="8" w:color="95B3D7"/>
            </w:tcBorders>
            <w:shd w:val="clear" w:color="auto" w:fill="DBE5F1"/>
          </w:tcPr>
          <w:p>
            <w:pPr>
              <w:ind w:left="200"/>
              <w:spacing w:after="0" w:line="177"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Align executives’ interests with those of</w:t>
            </w:r>
          </w:p>
        </w:tc>
        <w:tc>
          <w:tcPr>
            <w:tcW w:w="4080" w:type="dxa"/>
            <w:vAlign w:val="bottom"/>
            <w:shd w:val="clear" w:color="auto" w:fill="DBE5F1"/>
          </w:tcPr>
          <w:p>
            <w:pPr>
              <w:ind w:left="200"/>
              <w:spacing w:after="0" w:line="177" w:lineRule="exact"/>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Awards based on competitive marketplace,</w:t>
            </w:r>
          </w:p>
        </w:tc>
        <w:tc>
          <w:tcPr>
            <w:tcW w:w="0" w:type="dxa"/>
            <w:vAlign w:val="bottom"/>
          </w:tcPr>
          <w:p>
            <w:pPr>
              <w:spacing w:after="0"/>
              <w:rPr>
                <w:sz w:val="1"/>
                <w:szCs w:val="1"/>
                <w:color w:val="auto"/>
              </w:rPr>
            </w:pPr>
          </w:p>
        </w:tc>
      </w:tr>
      <w:tr>
        <w:trPr>
          <w:trHeight w:val="203"/>
        </w:trPr>
        <w:tc>
          <w:tcPr>
            <w:tcW w:w="1220" w:type="dxa"/>
            <w:vAlign w:val="bottom"/>
            <w:tcBorders>
              <w:right w:val="single" w:sz="8" w:color="95B3D7"/>
            </w:tcBorders>
            <w:shd w:val="clear" w:color="auto" w:fill="DBE5F1"/>
          </w:tcPr>
          <w:p>
            <w:pPr>
              <w:ind w:left="140"/>
              <w:spacing w:after="0" w:line="202" w:lineRule="exact"/>
              <w:rPr>
                <w:sz w:val="20"/>
                <w:szCs w:val="20"/>
                <w:color w:val="auto"/>
              </w:rPr>
            </w:pPr>
            <w:r>
              <w:rPr>
                <w:rFonts w:ascii="Arial" w:cs="Arial" w:eastAsia="Arial" w:hAnsi="Arial"/>
                <w:sz w:val="18"/>
                <w:szCs w:val="18"/>
                <w:b w:val="1"/>
                <w:bCs w:val="1"/>
                <w:color w:val="auto"/>
                <w:w w:val="99"/>
              </w:rPr>
              <w:t>Term Equity</w:t>
            </w:r>
          </w:p>
        </w:tc>
        <w:tc>
          <w:tcPr>
            <w:tcW w:w="1300" w:type="dxa"/>
            <w:vAlign w:val="bottom"/>
            <w:tcBorders>
              <w:right w:val="single" w:sz="8" w:color="95B3D7"/>
            </w:tcBorders>
            <w:shd w:val="clear" w:color="auto" w:fill="DBE5F1"/>
          </w:tcPr>
          <w:p>
            <w:pPr>
              <w:jc w:val="center"/>
              <w:spacing w:after="0" w:line="202" w:lineRule="exact"/>
              <w:rPr>
                <w:sz w:val="20"/>
                <w:szCs w:val="20"/>
                <w:color w:val="auto"/>
              </w:rPr>
            </w:pPr>
            <w:r>
              <w:rPr>
                <w:rFonts w:ascii="Arial" w:cs="Arial" w:eastAsia="Arial" w:hAnsi="Arial"/>
                <w:sz w:val="18"/>
                <w:szCs w:val="18"/>
                <w:color w:val="auto"/>
                <w:w w:val="99"/>
              </w:rPr>
              <w:t>50th - 75th</w:t>
            </w:r>
          </w:p>
        </w:tc>
        <w:tc>
          <w:tcPr>
            <w:tcW w:w="4420" w:type="dxa"/>
            <w:vAlign w:val="bottom"/>
            <w:tcBorders>
              <w:right w:val="single" w:sz="8" w:color="95B3D7"/>
            </w:tcBorders>
            <w:shd w:val="clear" w:color="auto" w:fill="DBE5F1"/>
          </w:tcPr>
          <w:p>
            <w:pPr>
              <w:ind w:left="460"/>
              <w:spacing w:after="0" w:line="202" w:lineRule="exact"/>
              <w:rPr>
                <w:sz w:val="20"/>
                <w:szCs w:val="20"/>
                <w:color w:val="auto"/>
              </w:rPr>
            </w:pPr>
            <w:r>
              <w:rPr>
                <w:rFonts w:ascii="Arial" w:cs="Arial" w:eastAsia="Arial" w:hAnsi="Arial"/>
                <w:sz w:val="18"/>
                <w:szCs w:val="18"/>
                <w:color w:val="auto"/>
              </w:rPr>
              <w:t>stockholders</w:t>
            </w:r>
          </w:p>
        </w:tc>
        <w:tc>
          <w:tcPr>
            <w:tcW w:w="4080" w:type="dxa"/>
            <w:vAlign w:val="bottom"/>
            <w:shd w:val="clear" w:color="auto" w:fill="DBE5F1"/>
          </w:tcPr>
          <w:p>
            <w:pPr>
              <w:ind w:left="480"/>
              <w:spacing w:after="0" w:line="202" w:lineRule="exact"/>
              <w:rPr>
                <w:sz w:val="20"/>
                <w:szCs w:val="20"/>
                <w:color w:val="auto"/>
              </w:rPr>
            </w:pPr>
            <w:r>
              <w:rPr>
                <w:rFonts w:ascii="Arial" w:cs="Arial" w:eastAsia="Arial" w:hAnsi="Arial"/>
                <w:sz w:val="18"/>
                <w:szCs w:val="18"/>
                <w:color w:val="auto"/>
              </w:rPr>
              <w:t>level of position, skills and performance of</w:t>
            </w:r>
          </w:p>
        </w:tc>
        <w:tc>
          <w:tcPr>
            <w:tcW w:w="0" w:type="dxa"/>
            <w:vAlign w:val="bottom"/>
          </w:tcPr>
          <w:p>
            <w:pPr>
              <w:spacing w:after="0"/>
              <w:rPr>
                <w:sz w:val="1"/>
                <w:szCs w:val="1"/>
                <w:color w:val="auto"/>
              </w:rPr>
            </w:pPr>
          </w:p>
        </w:tc>
      </w:tr>
      <w:tr>
        <w:trPr>
          <w:trHeight w:val="252"/>
        </w:trPr>
        <w:tc>
          <w:tcPr>
            <w:tcW w:w="122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8"/>
                <w:szCs w:val="18"/>
                <w:b w:val="1"/>
                <w:bCs w:val="1"/>
                <w:color w:val="auto"/>
              </w:rPr>
              <w:t>Incentives</w:t>
            </w:r>
          </w:p>
        </w:tc>
        <w:tc>
          <w:tcPr>
            <w:tcW w:w="130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8"/>
                <w:szCs w:val="18"/>
                <w:color w:val="auto"/>
                <w:w w:val="99"/>
              </w:rPr>
              <w:t>percentile</w:t>
            </w:r>
          </w:p>
        </w:tc>
        <w:tc>
          <w:tcPr>
            <w:tcW w:w="4420" w:type="dxa"/>
            <w:vAlign w:val="bottom"/>
            <w:tcBorders>
              <w:right w:val="single" w:sz="8" w:color="95B3D7"/>
            </w:tcBorders>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Align with long-term business strategy</w:t>
            </w:r>
          </w:p>
        </w:tc>
        <w:tc>
          <w:tcPr>
            <w:tcW w:w="4080" w:type="dxa"/>
            <w:vAlign w:val="bottom"/>
            <w:shd w:val="clear" w:color="auto" w:fill="DBE5F1"/>
          </w:tcPr>
          <w:p>
            <w:pPr>
              <w:ind w:left="480"/>
              <w:spacing w:after="0"/>
              <w:rPr>
                <w:sz w:val="20"/>
                <w:szCs w:val="20"/>
                <w:color w:val="auto"/>
              </w:rPr>
            </w:pPr>
            <w:r>
              <w:rPr>
                <w:rFonts w:ascii="Arial" w:cs="Arial" w:eastAsia="Arial" w:hAnsi="Arial"/>
                <w:sz w:val="18"/>
                <w:szCs w:val="18"/>
                <w:color w:val="auto"/>
              </w:rPr>
              <w:t>the executive</w:t>
            </w:r>
          </w:p>
        </w:tc>
        <w:tc>
          <w:tcPr>
            <w:tcW w:w="0" w:type="dxa"/>
            <w:vAlign w:val="bottom"/>
          </w:tcPr>
          <w:p>
            <w:pPr>
              <w:spacing w:after="0"/>
              <w:rPr>
                <w:sz w:val="1"/>
                <w:szCs w:val="1"/>
                <w:color w:val="auto"/>
              </w:rPr>
            </w:pPr>
          </w:p>
        </w:tc>
      </w:tr>
      <w:tr>
        <w:trPr>
          <w:trHeight w:val="121"/>
        </w:trPr>
        <w:tc>
          <w:tcPr>
            <w:tcW w:w="1220" w:type="dxa"/>
            <w:vAlign w:val="bottom"/>
            <w:tcBorders>
              <w:right w:val="single" w:sz="8" w:color="95B3D7"/>
            </w:tcBorders>
            <w:shd w:val="clear" w:color="auto" w:fill="DBE5F1"/>
          </w:tcPr>
          <w:p>
            <w:pPr>
              <w:spacing w:after="0"/>
              <w:rPr>
                <w:sz w:val="10"/>
                <w:szCs w:val="10"/>
                <w:color w:val="auto"/>
              </w:rPr>
            </w:pPr>
          </w:p>
        </w:tc>
        <w:tc>
          <w:tcPr>
            <w:tcW w:w="1300" w:type="dxa"/>
            <w:vAlign w:val="bottom"/>
            <w:tcBorders>
              <w:right w:val="single" w:sz="8" w:color="95B3D7"/>
            </w:tcBorders>
            <w:shd w:val="clear" w:color="auto" w:fill="DBE5F1"/>
          </w:tcPr>
          <w:p>
            <w:pPr>
              <w:spacing w:after="0"/>
              <w:rPr>
                <w:sz w:val="10"/>
                <w:szCs w:val="10"/>
                <w:color w:val="auto"/>
              </w:rPr>
            </w:pPr>
          </w:p>
        </w:tc>
        <w:tc>
          <w:tcPr>
            <w:tcW w:w="4420" w:type="dxa"/>
            <w:vAlign w:val="bottom"/>
            <w:tcBorders>
              <w:right w:val="single" w:sz="8" w:color="95B3D7"/>
            </w:tcBorders>
            <w:vMerge w:val="continue"/>
            <w:shd w:val="clear" w:color="auto" w:fill="DBE5F1"/>
          </w:tcPr>
          <w:p>
            <w:pPr>
              <w:spacing w:after="0"/>
              <w:rPr>
                <w:sz w:val="10"/>
                <w:szCs w:val="10"/>
                <w:color w:val="auto"/>
              </w:rPr>
            </w:pPr>
          </w:p>
        </w:tc>
        <w:tc>
          <w:tcPr>
            <w:tcW w:w="408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For 2023, awards were issued using 100%</w:t>
            </w:r>
          </w:p>
        </w:tc>
        <w:tc>
          <w:tcPr>
            <w:tcW w:w="0" w:type="dxa"/>
            <w:vAlign w:val="bottom"/>
          </w:tcPr>
          <w:p>
            <w:pPr>
              <w:spacing w:after="0"/>
              <w:rPr>
                <w:sz w:val="1"/>
                <w:szCs w:val="1"/>
                <w:color w:val="auto"/>
              </w:rPr>
            </w:pPr>
          </w:p>
        </w:tc>
      </w:tr>
      <w:tr>
        <w:trPr>
          <w:trHeight w:val="180"/>
        </w:trPr>
        <w:tc>
          <w:tcPr>
            <w:tcW w:w="1220" w:type="dxa"/>
            <w:vAlign w:val="bottom"/>
            <w:tcBorders>
              <w:right w:val="single" w:sz="8" w:color="95B3D7"/>
            </w:tcBorders>
            <w:shd w:val="clear" w:color="auto" w:fill="DBE5F1"/>
          </w:tcPr>
          <w:p>
            <w:pPr>
              <w:spacing w:after="0"/>
              <w:rPr>
                <w:sz w:val="15"/>
                <w:szCs w:val="15"/>
                <w:color w:val="auto"/>
              </w:rPr>
            </w:pPr>
          </w:p>
        </w:tc>
        <w:tc>
          <w:tcPr>
            <w:tcW w:w="1300" w:type="dxa"/>
            <w:vAlign w:val="bottom"/>
            <w:tcBorders>
              <w:right w:val="single" w:sz="8" w:color="95B3D7"/>
            </w:tcBorders>
            <w:shd w:val="clear" w:color="auto" w:fill="DBE5F1"/>
          </w:tcPr>
          <w:p>
            <w:pPr>
              <w:spacing w:after="0"/>
              <w:rPr>
                <w:sz w:val="15"/>
                <w:szCs w:val="15"/>
                <w:color w:val="auto"/>
              </w:rPr>
            </w:pPr>
          </w:p>
        </w:tc>
        <w:tc>
          <w:tcPr>
            <w:tcW w:w="4420" w:type="dxa"/>
            <w:vAlign w:val="bottom"/>
            <w:tcBorders>
              <w:right w:val="single" w:sz="8" w:color="95B3D7"/>
            </w:tcBorders>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Retain executive talent through multi-year</w:t>
            </w:r>
          </w:p>
        </w:tc>
        <w:tc>
          <w:tcPr>
            <w:tcW w:w="4080" w:type="dxa"/>
            <w:vAlign w:val="bottom"/>
            <w:vMerge w:val="continue"/>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220" w:type="dxa"/>
            <w:vAlign w:val="bottom"/>
            <w:tcBorders>
              <w:right w:val="single" w:sz="8" w:color="95B3D7"/>
            </w:tcBorders>
            <w:shd w:val="clear" w:color="auto" w:fill="DBE5F1"/>
          </w:tcPr>
          <w:p>
            <w:pPr>
              <w:spacing w:after="0"/>
              <w:rPr>
                <w:sz w:val="11"/>
                <w:szCs w:val="11"/>
                <w:color w:val="auto"/>
              </w:rPr>
            </w:pPr>
          </w:p>
        </w:tc>
        <w:tc>
          <w:tcPr>
            <w:tcW w:w="1300" w:type="dxa"/>
            <w:vAlign w:val="bottom"/>
            <w:tcBorders>
              <w:right w:val="single" w:sz="8" w:color="95B3D7"/>
            </w:tcBorders>
            <w:shd w:val="clear" w:color="auto" w:fill="DBE5F1"/>
          </w:tcPr>
          <w:p>
            <w:pPr>
              <w:spacing w:after="0"/>
              <w:rPr>
                <w:sz w:val="11"/>
                <w:szCs w:val="11"/>
                <w:color w:val="auto"/>
              </w:rPr>
            </w:pPr>
          </w:p>
        </w:tc>
        <w:tc>
          <w:tcPr>
            <w:tcW w:w="4420" w:type="dxa"/>
            <w:vAlign w:val="bottom"/>
            <w:tcBorders>
              <w:right w:val="single" w:sz="8" w:color="95B3D7"/>
            </w:tcBorders>
            <w:vMerge w:val="continue"/>
            <w:shd w:val="clear" w:color="auto" w:fill="DBE5F1"/>
          </w:tcPr>
          <w:p>
            <w:pPr>
              <w:spacing w:after="0"/>
              <w:rPr>
                <w:sz w:val="11"/>
                <w:szCs w:val="11"/>
                <w:color w:val="auto"/>
              </w:rPr>
            </w:pPr>
          </w:p>
        </w:tc>
        <w:tc>
          <w:tcPr>
            <w:tcW w:w="4080" w:type="dxa"/>
            <w:vAlign w:val="bottom"/>
            <w:vMerge w:val="restart"/>
            <w:shd w:val="clear" w:color="auto" w:fill="DBE5F1"/>
          </w:tcPr>
          <w:p>
            <w:pPr>
              <w:ind w:left="480"/>
              <w:spacing w:after="0" w:line="202" w:lineRule="exact"/>
              <w:rPr>
                <w:sz w:val="20"/>
                <w:szCs w:val="20"/>
                <w:color w:val="auto"/>
              </w:rPr>
            </w:pPr>
            <w:r>
              <w:rPr>
                <w:rFonts w:ascii="Arial" w:cs="Arial" w:eastAsia="Arial" w:hAnsi="Arial"/>
                <w:sz w:val="18"/>
                <w:szCs w:val="18"/>
                <w:color w:val="auto"/>
              </w:rPr>
              <w:t>PSUs that vest after the end of the</w:t>
            </w:r>
          </w:p>
        </w:tc>
        <w:tc>
          <w:tcPr>
            <w:tcW w:w="0" w:type="dxa"/>
            <w:vAlign w:val="bottom"/>
          </w:tcPr>
          <w:p>
            <w:pPr>
              <w:spacing w:after="0"/>
              <w:rPr>
                <w:sz w:val="1"/>
                <w:szCs w:val="1"/>
                <w:color w:val="auto"/>
              </w:rPr>
            </w:pPr>
          </w:p>
        </w:tc>
      </w:tr>
      <w:tr>
        <w:trPr>
          <w:trHeight w:val="68"/>
        </w:trPr>
        <w:tc>
          <w:tcPr>
            <w:tcW w:w="1220" w:type="dxa"/>
            <w:vAlign w:val="bottom"/>
            <w:tcBorders>
              <w:right w:val="single" w:sz="8" w:color="95B3D7"/>
            </w:tcBorders>
            <w:shd w:val="clear" w:color="auto" w:fill="DBE5F1"/>
          </w:tcPr>
          <w:p>
            <w:pPr>
              <w:spacing w:after="0"/>
              <w:rPr>
                <w:sz w:val="5"/>
                <w:szCs w:val="5"/>
                <w:color w:val="auto"/>
              </w:rPr>
            </w:pPr>
          </w:p>
        </w:tc>
        <w:tc>
          <w:tcPr>
            <w:tcW w:w="1300" w:type="dxa"/>
            <w:vAlign w:val="bottom"/>
            <w:tcBorders>
              <w:right w:val="single" w:sz="8" w:color="95B3D7"/>
            </w:tcBorders>
            <w:shd w:val="clear" w:color="auto" w:fill="DBE5F1"/>
          </w:tcPr>
          <w:p>
            <w:pPr>
              <w:spacing w:after="0"/>
              <w:rPr>
                <w:sz w:val="5"/>
                <w:szCs w:val="5"/>
                <w:color w:val="auto"/>
              </w:rPr>
            </w:pPr>
          </w:p>
        </w:tc>
        <w:tc>
          <w:tcPr>
            <w:tcW w:w="4420" w:type="dxa"/>
            <w:vAlign w:val="bottom"/>
            <w:tcBorders>
              <w:right w:val="single" w:sz="8" w:color="95B3D7"/>
            </w:tcBorders>
            <w:vMerge w:val="restart"/>
            <w:shd w:val="clear" w:color="auto" w:fill="DBE5F1"/>
          </w:tcPr>
          <w:p>
            <w:pPr>
              <w:ind w:left="460"/>
              <w:spacing w:after="0"/>
              <w:rPr>
                <w:sz w:val="20"/>
                <w:szCs w:val="20"/>
                <w:color w:val="auto"/>
              </w:rPr>
            </w:pPr>
            <w:r>
              <w:rPr>
                <w:rFonts w:ascii="Arial" w:cs="Arial" w:eastAsia="Arial" w:hAnsi="Arial"/>
                <w:sz w:val="18"/>
                <w:szCs w:val="18"/>
                <w:color w:val="auto"/>
              </w:rPr>
              <w:t>vesting schedules</w:t>
            </w:r>
          </w:p>
        </w:tc>
        <w:tc>
          <w:tcPr>
            <w:tcW w:w="4080" w:type="dxa"/>
            <w:vAlign w:val="bottom"/>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1220" w:type="dxa"/>
            <w:vAlign w:val="bottom"/>
            <w:tcBorders>
              <w:right w:val="single" w:sz="8" w:color="95B3D7"/>
            </w:tcBorders>
            <w:shd w:val="clear" w:color="auto" w:fill="DBE5F1"/>
          </w:tcPr>
          <w:p>
            <w:pPr>
              <w:spacing w:after="0"/>
              <w:rPr>
                <w:sz w:val="17"/>
                <w:szCs w:val="17"/>
                <w:color w:val="auto"/>
              </w:rPr>
            </w:pPr>
          </w:p>
        </w:tc>
        <w:tc>
          <w:tcPr>
            <w:tcW w:w="1300" w:type="dxa"/>
            <w:vAlign w:val="bottom"/>
            <w:tcBorders>
              <w:right w:val="single" w:sz="8" w:color="95B3D7"/>
            </w:tcBorders>
            <w:shd w:val="clear" w:color="auto" w:fill="DBE5F1"/>
          </w:tcPr>
          <w:p>
            <w:pPr>
              <w:spacing w:after="0"/>
              <w:rPr>
                <w:sz w:val="17"/>
                <w:szCs w:val="17"/>
                <w:color w:val="auto"/>
              </w:rPr>
            </w:pPr>
          </w:p>
        </w:tc>
        <w:tc>
          <w:tcPr>
            <w:tcW w:w="4420" w:type="dxa"/>
            <w:vAlign w:val="bottom"/>
            <w:tcBorders>
              <w:right w:val="single" w:sz="8" w:color="95B3D7"/>
            </w:tcBorders>
            <w:vMerge w:val="continue"/>
            <w:shd w:val="clear" w:color="auto" w:fill="DBE5F1"/>
          </w:tcPr>
          <w:p>
            <w:pPr>
              <w:spacing w:after="0"/>
              <w:rPr>
                <w:sz w:val="17"/>
                <w:szCs w:val="17"/>
                <w:color w:val="auto"/>
              </w:rPr>
            </w:pPr>
          </w:p>
        </w:tc>
        <w:tc>
          <w:tcPr>
            <w:tcW w:w="4080" w:type="dxa"/>
            <w:vAlign w:val="bottom"/>
            <w:shd w:val="clear" w:color="auto" w:fill="DBE5F1"/>
          </w:tcPr>
          <w:p>
            <w:pPr>
              <w:ind w:left="480"/>
              <w:spacing w:after="0" w:line="202" w:lineRule="exact"/>
              <w:rPr>
                <w:sz w:val="20"/>
                <w:szCs w:val="20"/>
                <w:color w:val="auto"/>
              </w:rPr>
            </w:pPr>
            <w:r>
              <w:rPr>
                <w:rFonts w:ascii="Arial" w:cs="Arial" w:eastAsia="Arial" w:hAnsi="Arial"/>
                <w:sz w:val="18"/>
                <w:szCs w:val="18"/>
                <w:color w:val="auto"/>
              </w:rPr>
              <w:t>performance period based on the following</w:t>
            </w:r>
          </w:p>
        </w:tc>
        <w:tc>
          <w:tcPr>
            <w:tcW w:w="0" w:type="dxa"/>
            <w:vAlign w:val="bottom"/>
          </w:tcPr>
          <w:p>
            <w:pPr>
              <w:spacing w:after="0"/>
              <w:rPr>
                <w:sz w:val="1"/>
                <w:szCs w:val="1"/>
                <w:color w:val="auto"/>
              </w:rPr>
            </w:pPr>
          </w:p>
        </w:tc>
      </w:tr>
      <w:tr>
        <w:trPr>
          <w:trHeight w:val="270"/>
        </w:trPr>
        <w:tc>
          <w:tcPr>
            <w:tcW w:w="1220" w:type="dxa"/>
            <w:vAlign w:val="bottom"/>
            <w:tcBorders>
              <w:right w:val="single" w:sz="8" w:color="95B3D7"/>
            </w:tcBorders>
            <w:shd w:val="clear" w:color="auto" w:fill="DBE5F1"/>
          </w:tcPr>
          <w:p>
            <w:pPr>
              <w:spacing w:after="0"/>
              <w:rPr>
                <w:sz w:val="23"/>
                <w:szCs w:val="23"/>
                <w:color w:val="auto"/>
              </w:rPr>
            </w:pPr>
          </w:p>
        </w:tc>
        <w:tc>
          <w:tcPr>
            <w:tcW w:w="1300" w:type="dxa"/>
            <w:vAlign w:val="bottom"/>
            <w:tcBorders>
              <w:right w:val="single" w:sz="8" w:color="95B3D7"/>
            </w:tcBorders>
            <w:shd w:val="clear" w:color="auto" w:fill="DBE5F1"/>
          </w:tcPr>
          <w:p>
            <w:pPr>
              <w:spacing w:after="0"/>
              <w:rPr>
                <w:sz w:val="23"/>
                <w:szCs w:val="23"/>
                <w:color w:val="auto"/>
              </w:rPr>
            </w:pPr>
          </w:p>
        </w:tc>
        <w:tc>
          <w:tcPr>
            <w:tcW w:w="4420" w:type="dxa"/>
            <w:vAlign w:val="bottom"/>
            <w:tcBorders>
              <w:right w:val="single" w:sz="8" w:color="95B3D7"/>
            </w:tcBorders>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Motivate sustainable performance that creates</w:t>
            </w:r>
          </w:p>
        </w:tc>
        <w:tc>
          <w:tcPr>
            <w:tcW w:w="4080" w:type="dxa"/>
            <w:vAlign w:val="bottom"/>
            <w:shd w:val="clear" w:color="auto" w:fill="DBE5F1"/>
          </w:tcPr>
          <w:p>
            <w:pPr>
              <w:ind w:left="480"/>
              <w:spacing w:after="0"/>
              <w:rPr>
                <w:sz w:val="20"/>
                <w:szCs w:val="20"/>
                <w:color w:val="auto"/>
              </w:rPr>
            </w:pPr>
            <w:r>
              <w:rPr>
                <w:rFonts w:ascii="Arial" w:cs="Arial" w:eastAsia="Arial" w:hAnsi="Arial"/>
                <w:sz w:val="18"/>
                <w:szCs w:val="18"/>
                <w:color w:val="auto"/>
              </w:rPr>
              <w:t>metrics:</w:t>
            </w:r>
          </w:p>
        </w:tc>
        <w:tc>
          <w:tcPr>
            <w:tcW w:w="0" w:type="dxa"/>
            <w:vAlign w:val="bottom"/>
          </w:tcPr>
          <w:p>
            <w:pPr>
              <w:spacing w:after="0"/>
              <w:rPr>
                <w:sz w:val="1"/>
                <w:szCs w:val="1"/>
                <w:color w:val="auto"/>
              </w:rPr>
            </w:pPr>
          </w:p>
        </w:tc>
      </w:tr>
      <w:tr>
        <w:trPr>
          <w:trHeight w:val="257"/>
        </w:trPr>
        <w:tc>
          <w:tcPr>
            <w:tcW w:w="1220" w:type="dxa"/>
            <w:vAlign w:val="bottom"/>
            <w:tcBorders>
              <w:right w:val="single" w:sz="8" w:color="95B3D7"/>
            </w:tcBorders>
            <w:shd w:val="clear" w:color="auto" w:fill="DBE5F1"/>
          </w:tcPr>
          <w:p>
            <w:pPr>
              <w:spacing w:after="0"/>
              <w:rPr>
                <w:sz w:val="22"/>
                <w:szCs w:val="22"/>
                <w:color w:val="auto"/>
              </w:rPr>
            </w:pPr>
          </w:p>
        </w:tc>
        <w:tc>
          <w:tcPr>
            <w:tcW w:w="1300" w:type="dxa"/>
            <w:vAlign w:val="bottom"/>
            <w:tcBorders>
              <w:right w:val="single" w:sz="8" w:color="95B3D7"/>
            </w:tcBorders>
            <w:shd w:val="clear" w:color="auto" w:fill="DBE5F1"/>
          </w:tcPr>
          <w:p>
            <w:pPr>
              <w:spacing w:after="0"/>
              <w:rPr>
                <w:sz w:val="22"/>
                <w:szCs w:val="22"/>
                <w:color w:val="auto"/>
              </w:rPr>
            </w:pPr>
          </w:p>
        </w:tc>
        <w:tc>
          <w:tcPr>
            <w:tcW w:w="442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8"/>
                <w:szCs w:val="18"/>
                <w:color w:val="auto"/>
              </w:rPr>
              <w:t>long-term value for stockholders</w:t>
            </w:r>
          </w:p>
        </w:tc>
        <w:tc>
          <w:tcPr>
            <w:tcW w:w="4080" w:type="dxa"/>
            <w:vAlign w:val="bottom"/>
            <w:shd w:val="clear" w:color="auto" w:fill="DBE5F1"/>
          </w:tcPr>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Health Plan Revenue Growth</w:t>
            </w:r>
          </w:p>
        </w:tc>
        <w:tc>
          <w:tcPr>
            <w:tcW w:w="0" w:type="dxa"/>
            <w:vAlign w:val="bottom"/>
          </w:tcPr>
          <w:p>
            <w:pPr>
              <w:spacing w:after="0"/>
              <w:rPr>
                <w:sz w:val="1"/>
                <w:szCs w:val="1"/>
                <w:color w:val="auto"/>
              </w:rPr>
            </w:pPr>
          </w:p>
        </w:tc>
      </w:tr>
      <w:tr>
        <w:trPr>
          <w:trHeight w:val="283"/>
        </w:trPr>
        <w:tc>
          <w:tcPr>
            <w:tcW w:w="1220" w:type="dxa"/>
            <w:vAlign w:val="bottom"/>
            <w:tcBorders>
              <w:right w:val="single" w:sz="8" w:color="95B3D7"/>
            </w:tcBorders>
            <w:shd w:val="clear" w:color="auto" w:fill="DBE5F1"/>
          </w:tcPr>
          <w:p>
            <w:pPr>
              <w:spacing w:after="0"/>
              <w:rPr>
                <w:sz w:val="24"/>
                <w:szCs w:val="24"/>
                <w:color w:val="auto"/>
              </w:rPr>
            </w:pPr>
          </w:p>
        </w:tc>
        <w:tc>
          <w:tcPr>
            <w:tcW w:w="1300" w:type="dxa"/>
            <w:vAlign w:val="bottom"/>
            <w:tcBorders>
              <w:right w:val="single" w:sz="8" w:color="95B3D7"/>
            </w:tcBorders>
            <w:shd w:val="clear" w:color="auto" w:fill="DBE5F1"/>
          </w:tcPr>
          <w:p>
            <w:pPr>
              <w:spacing w:after="0"/>
              <w:rPr>
                <w:sz w:val="24"/>
                <w:szCs w:val="24"/>
                <w:color w:val="auto"/>
              </w:rPr>
            </w:pPr>
          </w:p>
        </w:tc>
        <w:tc>
          <w:tcPr>
            <w:tcW w:w="4420" w:type="dxa"/>
            <w:vAlign w:val="bottom"/>
            <w:tcBorders>
              <w:right w:val="single" w:sz="8" w:color="95B3D7"/>
            </w:tcBorders>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Foster our purpose and values to build teams</w:t>
            </w:r>
          </w:p>
        </w:tc>
        <w:tc>
          <w:tcPr>
            <w:tcW w:w="4080" w:type="dxa"/>
            <w:vAlign w:val="bottom"/>
            <w:shd w:val="clear" w:color="auto" w:fill="DBE5F1"/>
          </w:tcPr>
          <w:p>
            <w:pPr>
              <w:ind w:left="84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43"/>
        </w:trPr>
        <w:tc>
          <w:tcPr>
            <w:tcW w:w="1220" w:type="dxa"/>
            <w:vAlign w:val="bottom"/>
            <w:tcBorders>
              <w:right w:val="single" w:sz="8" w:color="95B3D7"/>
            </w:tcBorders>
            <w:shd w:val="clear" w:color="auto" w:fill="DBE5F1"/>
          </w:tcPr>
          <w:p>
            <w:pPr>
              <w:spacing w:after="0"/>
              <w:rPr>
                <w:sz w:val="21"/>
                <w:szCs w:val="21"/>
                <w:color w:val="auto"/>
              </w:rPr>
            </w:pPr>
          </w:p>
        </w:tc>
        <w:tc>
          <w:tcPr>
            <w:tcW w:w="1300" w:type="dxa"/>
            <w:vAlign w:val="bottom"/>
            <w:tcBorders>
              <w:right w:val="single" w:sz="8" w:color="95B3D7"/>
            </w:tcBorders>
            <w:shd w:val="clear" w:color="auto" w:fill="DBE5F1"/>
          </w:tcPr>
          <w:p>
            <w:pPr>
              <w:spacing w:after="0"/>
              <w:rPr>
                <w:sz w:val="21"/>
                <w:szCs w:val="21"/>
                <w:color w:val="auto"/>
              </w:rPr>
            </w:pPr>
          </w:p>
        </w:tc>
        <w:tc>
          <w:tcPr>
            <w:tcW w:w="4420" w:type="dxa"/>
            <w:vAlign w:val="bottom"/>
            <w:tcBorders>
              <w:right w:val="single" w:sz="8" w:color="95B3D7"/>
            </w:tcBorders>
            <w:shd w:val="clear" w:color="auto" w:fill="DBE5F1"/>
          </w:tcPr>
          <w:p>
            <w:pPr>
              <w:ind w:left="460"/>
              <w:spacing w:after="0"/>
              <w:rPr>
                <w:sz w:val="20"/>
                <w:szCs w:val="20"/>
                <w:color w:val="auto"/>
              </w:rPr>
            </w:pPr>
            <w:r>
              <w:rPr>
                <w:rFonts w:ascii="Arial" w:cs="Arial" w:eastAsia="Arial" w:hAnsi="Arial"/>
                <w:sz w:val="18"/>
                <w:szCs w:val="18"/>
                <w:color w:val="auto"/>
              </w:rPr>
              <w:t>that think and act like owners</w:t>
            </w:r>
          </w:p>
        </w:tc>
        <w:tc>
          <w:tcPr>
            <w:tcW w:w="4080" w:type="dxa"/>
            <w:vAlign w:val="bottom"/>
            <w:shd w:val="clear" w:color="auto" w:fill="DBE5F1"/>
          </w:tcPr>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At-Risk Returning Member Medical</w:t>
            </w:r>
          </w:p>
        </w:tc>
        <w:tc>
          <w:tcPr>
            <w:tcW w:w="0" w:type="dxa"/>
            <w:vAlign w:val="bottom"/>
          </w:tcPr>
          <w:p>
            <w:pPr>
              <w:spacing w:after="0"/>
              <w:rPr>
                <w:sz w:val="1"/>
                <w:szCs w:val="1"/>
                <w:color w:val="auto"/>
              </w:rPr>
            </w:pPr>
          </w:p>
        </w:tc>
      </w:tr>
      <w:tr>
        <w:trPr>
          <w:trHeight w:val="239"/>
        </w:trPr>
        <w:tc>
          <w:tcPr>
            <w:tcW w:w="1220" w:type="dxa"/>
            <w:vAlign w:val="bottom"/>
            <w:tcBorders>
              <w:right w:val="single" w:sz="8" w:color="95B3D7"/>
            </w:tcBorders>
            <w:shd w:val="clear" w:color="auto" w:fill="DBE5F1"/>
          </w:tcPr>
          <w:p>
            <w:pPr>
              <w:spacing w:after="0"/>
              <w:rPr>
                <w:sz w:val="20"/>
                <w:szCs w:val="20"/>
                <w:color w:val="auto"/>
              </w:rPr>
            </w:pPr>
          </w:p>
        </w:tc>
        <w:tc>
          <w:tcPr>
            <w:tcW w:w="1300" w:type="dxa"/>
            <w:vAlign w:val="bottom"/>
            <w:tcBorders>
              <w:right w:val="single" w:sz="8" w:color="95B3D7"/>
            </w:tcBorders>
            <w:shd w:val="clear" w:color="auto" w:fill="DBE5F1"/>
          </w:tcPr>
          <w:p>
            <w:pPr>
              <w:spacing w:after="0"/>
              <w:rPr>
                <w:sz w:val="20"/>
                <w:szCs w:val="20"/>
                <w:color w:val="auto"/>
              </w:rPr>
            </w:pPr>
          </w:p>
        </w:tc>
        <w:tc>
          <w:tcPr>
            <w:tcW w:w="4420" w:type="dxa"/>
            <w:vAlign w:val="bottom"/>
            <w:tcBorders>
              <w:right w:val="single" w:sz="8" w:color="95B3D7"/>
            </w:tcBorders>
            <w:shd w:val="clear" w:color="auto" w:fill="DBE5F1"/>
          </w:tcPr>
          <w:p>
            <w:pPr>
              <w:spacing w:after="0"/>
              <w:rPr>
                <w:sz w:val="20"/>
                <w:szCs w:val="20"/>
                <w:color w:val="auto"/>
              </w:rPr>
            </w:pPr>
          </w:p>
        </w:tc>
        <w:tc>
          <w:tcPr>
            <w:tcW w:w="4080" w:type="dxa"/>
            <w:vAlign w:val="bottom"/>
            <w:shd w:val="clear" w:color="auto" w:fill="DBE5F1"/>
          </w:tcPr>
          <w:p>
            <w:pPr>
              <w:ind w:left="840"/>
              <w:spacing w:after="0"/>
              <w:rPr>
                <w:sz w:val="20"/>
                <w:szCs w:val="20"/>
                <w:color w:val="auto"/>
              </w:rPr>
            </w:pPr>
            <w:r>
              <w:rPr>
                <w:rFonts w:ascii="Arial" w:cs="Arial" w:eastAsia="Arial" w:hAnsi="Arial"/>
                <w:sz w:val="18"/>
                <w:szCs w:val="18"/>
                <w:color w:val="auto"/>
              </w:rPr>
              <w:t>Benefit Ratio</w:t>
            </w:r>
          </w:p>
        </w:tc>
        <w:tc>
          <w:tcPr>
            <w:tcW w:w="0" w:type="dxa"/>
            <w:vAlign w:val="bottom"/>
          </w:tcPr>
          <w:p>
            <w:pPr>
              <w:spacing w:after="0"/>
              <w:rPr>
                <w:sz w:val="1"/>
                <w:szCs w:val="1"/>
                <w:color w:val="auto"/>
              </w:rPr>
            </w:pPr>
          </w:p>
        </w:tc>
      </w:tr>
      <w:tr>
        <w:trPr>
          <w:trHeight w:val="288"/>
        </w:trPr>
        <w:tc>
          <w:tcPr>
            <w:tcW w:w="1220" w:type="dxa"/>
            <w:vAlign w:val="bottom"/>
            <w:tcBorders>
              <w:right w:val="single" w:sz="8" w:color="95B3D7"/>
            </w:tcBorders>
            <w:shd w:val="clear" w:color="auto" w:fill="DBE5F1"/>
          </w:tcPr>
          <w:p>
            <w:pPr>
              <w:spacing w:after="0"/>
              <w:rPr>
                <w:sz w:val="24"/>
                <w:szCs w:val="24"/>
                <w:color w:val="auto"/>
              </w:rPr>
            </w:pPr>
          </w:p>
        </w:tc>
        <w:tc>
          <w:tcPr>
            <w:tcW w:w="1300" w:type="dxa"/>
            <w:vAlign w:val="bottom"/>
            <w:tcBorders>
              <w:right w:val="single" w:sz="8" w:color="95B3D7"/>
            </w:tcBorders>
            <w:shd w:val="clear" w:color="auto" w:fill="DBE5F1"/>
          </w:tcPr>
          <w:p>
            <w:pPr>
              <w:spacing w:after="0"/>
              <w:rPr>
                <w:sz w:val="24"/>
                <w:szCs w:val="24"/>
                <w:color w:val="auto"/>
              </w:rPr>
            </w:pPr>
          </w:p>
        </w:tc>
        <w:tc>
          <w:tcPr>
            <w:tcW w:w="4420" w:type="dxa"/>
            <w:vAlign w:val="bottom"/>
            <w:tcBorders>
              <w:right w:val="single" w:sz="8" w:color="95B3D7"/>
            </w:tcBorders>
            <w:shd w:val="clear" w:color="auto" w:fill="DBE5F1"/>
          </w:tcPr>
          <w:p>
            <w:pPr>
              <w:spacing w:after="0"/>
              <w:rPr>
                <w:sz w:val="24"/>
                <w:szCs w:val="24"/>
                <w:color w:val="auto"/>
              </w:rPr>
            </w:pPr>
          </w:p>
        </w:tc>
        <w:tc>
          <w:tcPr>
            <w:tcW w:w="4080" w:type="dxa"/>
            <w:vAlign w:val="bottom"/>
            <w:shd w:val="clear" w:color="auto" w:fill="DBE5F1"/>
          </w:tcPr>
          <w:p>
            <w:pPr>
              <w:ind w:left="560"/>
              <w:spacing w:after="0"/>
              <w:rPr>
                <w:sz w:val="20"/>
                <w:szCs w:val="20"/>
                <w:color w:val="auto"/>
              </w:rPr>
            </w:pPr>
            <w:r>
              <w:rPr>
                <w:rFonts w:ascii="Arial" w:cs="Arial" w:eastAsia="Arial" w:hAnsi="Arial"/>
                <w:sz w:val="13"/>
                <w:szCs w:val="13"/>
                <w:color w:val="auto"/>
              </w:rPr>
              <w:t>○</w:t>
            </w:r>
            <w:r>
              <w:rPr>
                <w:rFonts w:ascii="Arial" w:cs="Arial" w:eastAsia="Arial" w:hAnsi="Arial"/>
                <w:sz w:val="17"/>
                <w:szCs w:val="17"/>
                <w:color w:val="auto"/>
              </w:rPr>
              <w:t xml:space="preserve">    Adjusted EBITDA, less Capital</w:t>
            </w:r>
          </w:p>
        </w:tc>
        <w:tc>
          <w:tcPr>
            <w:tcW w:w="0" w:type="dxa"/>
            <w:vAlign w:val="bottom"/>
          </w:tcPr>
          <w:p>
            <w:pPr>
              <w:spacing w:after="0"/>
              <w:rPr>
                <w:sz w:val="1"/>
                <w:szCs w:val="1"/>
                <w:color w:val="auto"/>
              </w:rPr>
            </w:pPr>
          </w:p>
        </w:tc>
      </w:tr>
      <w:tr>
        <w:trPr>
          <w:trHeight w:val="235"/>
        </w:trPr>
        <w:tc>
          <w:tcPr>
            <w:tcW w:w="1220" w:type="dxa"/>
            <w:vAlign w:val="bottom"/>
            <w:tcBorders>
              <w:bottom w:val="single" w:sz="8" w:color="95B3D7"/>
              <w:right w:val="single" w:sz="8" w:color="95B3D7"/>
            </w:tcBorders>
            <w:shd w:val="clear" w:color="auto" w:fill="DBE5F1"/>
          </w:tcPr>
          <w:p>
            <w:pPr>
              <w:spacing w:after="0"/>
              <w:rPr>
                <w:sz w:val="20"/>
                <w:szCs w:val="20"/>
                <w:color w:val="auto"/>
              </w:rPr>
            </w:pPr>
          </w:p>
        </w:tc>
        <w:tc>
          <w:tcPr>
            <w:tcW w:w="1300" w:type="dxa"/>
            <w:vAlign w:val="bottom"/>
            <w:tcBorders>
              <w:bottom w:val="single" w:sz="8" w:color="95B3D7"/>
              <w:right w:val="single" w:sz="8" w:color="95B3D7"/>
            </w:tcBorders>
            <w:shd w:val="clear" w:color="auto" w:fill="DBE5F1"/>
          </w:tcPr>
          <w:p>
            <w:pPr>
              <w:spacing w:after="0"/>
              <w:rPr>
                <w:sz w:val="20"/>
                <w:szCs w:val="20"/>
                <w:color w:val="auto"/>
              </w:rPr>
            </w:pPr>
          </w:p>
        </w:tc>
        <w:tc>
          <w:tcPr>
            <w:tcW w:w="4420" w:type="dxa"/>
            <w:vAlign w:val="bottom"/>
            <w:tcBorders>
              <w:bottom w:val="single" w:sz="8" w:color="95B3D7"/>
              <w:right w:val="single" w:sz="8" w:color="95B3D7"/>
            </w:tcBorders>
            <w:shd w:val="clear" w:color="auto" w:fill="DBE5F1"/>
          </w:tcPr>
          <w:p>
            <w:pPr>
              <w:spacing w:after="0"/>
              <w:rPr>
                <w:sz w:val="20"/>
                <w:szCs w:val="20"/>
                <w:color w:val="auto"/>
              </w:rPr>
            </w:pPr>
          </w:p>
        </w:tc>
        <w:tc>
          <w:tcPr>
            <w:tcW w:w="4080" w:type="dxa"/>
            <w:vAlign w:val="bottom"/>
            <w:tcBorders>
              <w:bottom w:val="single" w:sz="8" w:color="95B3D7"/>
            </w:tcBorders>
            <w:shd w:val="clear" w:color="auto" w:fill="DBE5F1"/>
          </w:tcPr>
          <w:p>
            <w:pPr>
              <w:ind w:left="840"/>
              <w:spacing w:after="0"/>
              <w:rPr>
                <w:sz w:val="20"/>
                <w:szCs w:val="20"/>
                <w:color w:val="auto"/>
              </w:rPr>
            </w:pPr>
            <w:r>
              <w:rPr>
                <w:rFonts w:ascii="Arial" w:cs="Arial" w:eastAsia="Arial" w:hAnsi="Arial"/>
                <w:sz w:val="18"/>
                <w:szCs w:val="18"/>
                <w:color w:val="auto"/>
              </w:rPr>
              <w:t>Expenditures</w:t>
            </w:r>
          </w:p>
        </w:tc>
        <w:tc>
          <w:tcPr>
            <w:tcW w:w="0" w:type="dxa"/>
            <w:vAlign w:val="bottom"/>
          </w:tcPr>
          <w:p>
            <w:pPr>
              <w:spacing w:after="0"/>
              <w:rPr>
                <w:sz w:val="1"/>
                <w:szCs w:val="1"/>
                <w:color w:val="auto"/>
              </w:rPr>
            </w:pPr>
          </w:p>
        </w:tc>
      </w:tr>
      <w:tr>
        <w:trPr>
          <w:trHeight w:val="362"/>
        </w:trPr>
        <w:tc>
          <w:tcPr>
            <w:tcW w:w="1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20" w:type="dxa"/>
            <w:vAlign w:val="bottom"/>
          </w:tcPr>
          <w:p>
            <w:pPr>
              <w:ind w:left="2900"/>
              <w:spacing w:after="0"/>
              <w:rPr>
                <w:sz w:val="20"/>
                <w:szCs w:val="20"/>
                <w:color w:val="auto"/>
              </w:rPr>
            </w:pPr>
            <w:r>
              <w:rPr>
                <w:rFonts w:ascii="Arial" w:cs="Arial" w:eastAsia="Arial" w:hAnsi="Arial"/>
                <w:sz w:val="18"/>
                <w:szCs w:val="18"/>
                <w:color w:val="auto"/>
              </w:rPr>
              <w:t>11</w:t>
            </w:r>
          </w:p>
        </w:tc>
        <w:tc>
          <w:tcPr>
            <w:tcW w:w="4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301" w:right="439" w:bottom="1440" w:gutter="0" w:footer="0" w:header="0"/>
        </w:sectPr>
      </w:pPr>
    </w:p>
    <w:bookmarkStart w:id="19" w:name="page20"/>
    <w:bookmarkEnd w:id="19"/>
    <w:p>
      <w:pPr>
        <w:ind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For more information regarding our executive compensation program, please see “</w:t>
      </w:r>
      <w:r>
        <w:rPr>
          <w:rFonts w:ascii="Arial" w:cs="Arial" w:eastAsia="Arial" w:hAnsi="Arial"/>
          <w:sz w:val="18"/>
          <w:szCs w:val="18"/>
          <w:i w:val="1"/>
          <w:iCs w:val="1"/>
          <w:color w:val="auto"/>
        </w:rPr>
        <w:t>Compensation Discussion and Analysis—2023</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Program in Detail</w:t>
      </w:r>
      <w:r>
        <w:rPr>
          <w:rFonts w:ascii="Arial" w:cs="Arial" w:eastAsia="Arial" w:hAnsi="Arial"/>
          <w:sz w:val="18"/>
          <w:szCs w:val="18"/>
          <w:color w:val="auto"/>
        </w:rPr>
        <w:t>” beginning on page 47. For information regarding the 2023 compensation paid to our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please see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beginning on page 55.</w:t>
      </w:r>
    </w:p>
    <w:p>
      <w:pPr>
        <w:spacing w:after="0" w:line="10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840"/>
          </w:cols>
          <w:pgMar w:left="440" w:top="296" w:right="61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1 – ELECTION OF DIRECTORS</w:t>
      </w:r>
    </w:p>
    <w:p>
      <w:pPr>
        <w:spacing w:after="0" w:line="212" w:lineRule="exact"/>
        <w:rPr>
          <w:sz w:val="20"/>
          <w:szCs w:val="20"/>
          <w:color w:val="auto"/>
        </w:rPr>
      </w:pPr>
    </w:p>
    <w:p>
      <w:pPr>
        <w:ind w:right="400" w:firstLine="440"/>
        <w:spacing w:after="0" w:line="271" w:lineRule="auto"/>
        <w:rPr>
          <w:sz w:val="20"/>
          <w:szCs w:val="20"/>
          <w:color w:val="auto"/>
        </w:rPr>
      </w:pPr>
      <w:r>
        <w:rPr>
          <w:rFonts w:ascii="Arial" w:cs="Arial" w:eastAsia="Arial" w:hAnsi="Arial"/>
          <w:sz w:val="18"/>
          <w:szCs w:val="18"/>
          <w:color w:val="auto"/>
        </w:rPr>
        <w:t>Our Board recommends that the nominees below be elected as Class III members of the Board at the Annual Meeting for a term expiring at the 2027 Meeting of Stockholders:</w:t>
      </w:r>
    </w:p>
    <w:p>
      <w:pPr>
        <w:spacing w:after="0" w:line="190" w:lineRule="exact"/>
        <w:rPr>
          <w:sz w:val="20"/>
          <w:szCs w:val="20"/>
          <w:color w:val="auto"/>
        </w:rPr>
      </w:pPr>
    </w:p>
    <w:p>
      <w:pPr>
        <w:ind w:left="2800" w:hanging="493"/>
        <w:spacing w:after="0"/>
        <w:tabs>
          <w:tab w:leader="none" w:pos="2800" w:val="left"/>
        </w:tabs>
        <w:numPr>
          <w:ilvl w:val="0"/>
          <w:numId w:val="15"/>
        </w:numPr>
        <w:rPr>
          <w:rFonts w:ascii="Arial" w:cs="Arial" w:eastAsia="Arial" w:hAnsi="Arial"/>
          <w:sz w:val="14"/>
          <w:szCs w:val="14"/>
          <w:b w:val="1"/>
          <w:bCs w:val="1"/>
          <w:color w:val="auto"/>
        </w:rPr>
      </w:pPr>
      <w:r>
        <w:rPr>
          <w:rFonts w:ascii="Arial" w:cs="Arial" w:eastAsia="Arial" w:hAnsi="Arial"/>
          <w:sz w:val="14"/>
          <w:szCs w:val="14"/>
          <w:b w:val="1"/>
          <w:bCs w:val="1"/>
          <w:color w:val="auto"/>
        </w:rPr>
        <w:t>Director</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Name</w:t>
            </w:r>
          </w:p>
        </w:tc>
        <w:tc>
          <w:tcPr>
            <w:tcW w:w="6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w w:val="93"/>
              </w:rPr>
              <w:t>Age </w:t>
            </w: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Since </w:t>
            </w: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Independent </w:t>
            </w:r>
          </w:p>
        </w:tc>
        <w:tc>
          <w:tcPr>
            <w:tcW w:w="130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Committees </w:t>
            </w:r>
          </w:p>
        </w:tc>
        <w:tc>
          <w:tcPr>
            <w:tcW w:w="4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Other Public Company Boards</w:t>
            </w:r>
          </w:p>
        </w:tc>
        <w:tc>
          <w:tcPr>
            <w:tcW w:w="0" w:type="dxa"/>
            <w:vAlign w:val="bottom"/>
          </w:tcPr>
          <w:p>
            <w:pPr>
              <w:spacing w:after="0"/>
              <w:rPr>
                <w:sz w:val="1"/>
                <w:szCs w:val="1"/>
                <w:color w:val="auto"/>
              </w:rPr>
            </w:pPr>
          </w:p>
        </w:tc>
      </w:tr>
      <w:tr>
        <w:trPr>
          <w:trHeight w:val="254"/>
        </w:trPr>
        <w:tc>
          <w:tcPr>
            <w:tcW w:w="19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8"/>
                <w:szCs w:val="18"/>
                <w:color w:val="auto"/>
              </w:rPr>
              <w:t>Yon Jorden</w:t>
            </w:r>
          </w:p>
        </w:tc>
        <w:tc>
          <w:tcPr>
            <w:tcW w:w="620" w:type="dxa"/>
            <w:vAlign w:val="bottom"/>
            <w:tcBorders>
              <w:right w:val="single" w:sz="8" w:color="95B3D7"/>
            </w:tcBorders>
            <w:shd w:val="clear" w:color="auto" w:fill="DBE5F1"/>
          </w:tcPr>
          <w:p>
            <w:pPr>
              <w:ind w:left="180"/>
              <w:spacing w:after="0"/>
              <w:rPr>
                <w:sz w:val="20"/>
                <w:szCs w:val="20"/>
                <w:color w:val="auto"/>
              </w:rPr>
            </w:pPr>
            <w:r>
              <w:rPr>
                <w:rFonts w:ascii="Arial" w:cs="Arial" w:eastAsia="Arial" w:hAnsi="Arial"/>
                <w:sz w:val="18"/>
                <w:szCs w:val="18"/>
                <w:color w:val="auto"/>
              </w:rPr>
              <w:t>69</w:t>
            </w:r>
          </w:p>
        </w:tc>
        <w:tc>
          <w:tcPr>
            <w:tcW w:w="92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2022</w:t>
            </w:r>
          </w:p>
        </w:tc>
        <w:tc>
          <w:tcPr>
            <w:tcW w:w="1320" w:type="dxa"/>
            <w:vAlign w:val="bottom"/>
            <w:tcBorders>
              <w:right w:val="single" w:sz="8" w:color="95B3D7"/>
            </w:tcBorders>
            <w:shd w:val="clear" w:color="auto" w:fill="DBE5F1"/>
          </w:tcPr>
          <w:p>
            <w:pPr>
              <w:jc w:val="center"/>
              <w:ind w:left="94"/>
              <w:spacing w:after="0"/>
              <w:rPr>
                <w:sz w:val="20"/>
                <w:szCs w:val="20"/>
                <w:color w:val="auto"/>
              </w:rPr>
            </w:pPr>
            <w:r>
              <w:rPr>
                <w:rFonts w:ascii="Arial" w:cs="Arial" w:eastAsia="Arial" w:hAnsi="Arial"/>
                <w:sz w:val="18"/>
                <w:szCs w:val="18"/>
                <w:color w:val="auto"/>
                <w:w w:val="96"/>
              </w:rPr>
              <w:t>Yes</w:t>
            </w:r>
          </w:p>
        </w:tc>
        <w:tc>
          <w:tcPr>
            <w:tcW w:w="130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Audit</w:t>
            </w:r>
          </w:p>
        </w:tc>
        <w:tc>
          <w:tcPr>
            <w:tcW w:w="488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Cohu, Inc.</w:t>
            </w:r>
          </w:p>
        </w:tc>
        <w:tc>
          <w:tcPr>
            <w:tcW w:w="0" w:type="dxa"/>
            <w:vAlign w:val="bottom"/>
          </w:tcPr>
          <w:p>
            <w:pPr>
              <w:spacing w:after="0"/>
              <w:rPr>
                <w:sz w:val="1"/>
                <w:szCs w:val="1"/>
                <w:color w:val="auto"/>
              </w:rPr>
            </w:pPr>
          </w:p>
        </w:tc>
      </w:tr>
      <w:tr>
        <w:trPr>
          <w:trHeight w:val="342"/>
        </w:trPr>
        <w:tc>
          <w:tcPr>
            <w:tcW w:w="1980" w:type="dxa"/>
            <w:vAlign w:val="bottom"/>
            <w:tcBorders>
              <w:bottom w:val="single" w:sz="8" w:color="95B3D7"/>
              <w:right w:val="single" w:sz="8" w:color="95B3D7"/>
            </w:tcBorders>
            <w:shd w:val="clear" w:color="auto" w:fill="DBE5F1"/>
          </w:tcPr>
          <w:p>
            <w:pPr>
              <w:spacing w:after="0"/>
              <w:rPr>
                <w:sz w:val="24"/>
                <w:szCs w:val="24"/>
                <w:color w:val="auto"/>
              </w:rPr>
            </w:pPr>
          </w:p>
        </w:tc>
        <w:tc>
          <w:tcPr>
            <w:tcW w:w="620" w:type="dxa"/>
            <w:vAlign w:val="bottom"/>
            <w:tcBorders>
              <w:bottom w:val="single" w:sz="8" w:color="95B3D7"/>
              <w:right w:val="single" w:sz="8" w:color="95B3D7"/>
            </w:tcBorders>
            <w:shd w:val="clear" w:color="auto" w:fill="DBE5F1"/>
          </w:tcPr>
          <w:p>
            <w:pPr>
              <w:spacing w:after="0"/>
              <w:rPr>
                <w:sz w:val="24"/>
                <w:szCs w:val="24"/>
                <w:color w:val="auto"/>
              </w:rPr>
            </w:pPr>
          </w:p>
        </w:tc>
        <w:tc>
          <w:tcPr>
            <w:tcW w:w="920" w:type="dxa"/>
            <w:vAlign w:val="bottom"/>
            <w:tcBorders>
              <w:bottom w:val="single" w:sz="8" w:color="95B3D7"/>
              <w:right w:val="single" w:sz="8" w:color="95B3D7"/>
            </w:tcBorders>
            <w:shd w:val="clear" w:color="auto" w:fill="DBE5F1"/>
          </w:tcPr>
          <w:p>
            <w:pPr>
              <w:spacing w:after="0"/>
              <w:rPr>
                <w:sz w:val="24"/>
                <w:szCs w:val="24"/>
                <w:color w:val="auto"/>
              </w:rPr>
            </w:pPr>
          </w:p>
        </w:tc>
        <w:tc>
          <w:tcPr>
            <w:tcW w:w="1320" w:type="dxa"/>
            <w:vAlign w:val="bottom"/>
            <w:tcBorders>
              <w:bottom w:val="single" w:sz="8" w:color="95B3D7"/>
              <w:right w:val="single" w:sz="8" w:color="95B3D7"/>
            </w:tcBorders>
            <w:shd w:val="clear" w:color="auto" w:fill="DBE5F1"/>
          </w:tcPr>
          <w:p>
            <w:pPr>
              <w:spacing w:after="0"/>
              <w:rPr>
                <w:sz w:val="24"/>
                <w:szCs w:val="24"/>
                <w:color w:val="auto"/>
              </w:rPr>
            </w:pPr>
          </w:p>
        </w:tc>
        <w:tc>
          <w:tcPr>
            <w:tcW w:w="1300" w:type="dxa"/>
            <w:vAlign w:val="bottom"/>
            <w:tcBorders>
              <w:bottom w:val="single" w:sz="8" w:color="95B3D7"/>
              <w:right w:val="single" w:sz="8" w:color="95B3D7"/>
            </w:tcBorders>
            <w:shd w:val="clear" w:color="auto" w:fill="DBE5F1"/>
          </w:tcPr>
          <w:p>
            <w:pPr>
              <w:spacing w:after="0"/>
              <w:rPr>
                <w:sz w:val="24"/>
                <w:szCs w:val="24"/>
                <w:color w:val="auto"/>
              </w:rPr>
            </w:pPr>
          </w:p>
        </w:tc>
        <w:tc>
          <w:tcPr>
            <w:tcW w:w="4880" w:type="dxa"/>
            <w:vAlign w:val="bottom"/>
            <w:tcBorders>
              <w:bottom w:val="single" w:sz="8" w:color="95B3D7"/>
            </w:tcBorders>
            <w:shd w:val="clear" w:color="auto" w:fill="DBE5F1"/>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Capstone Green Energy Corp.</w:t>
            </w:r>
          </w:p>
        </w:tc>
        <w:tc>
          <w:tcPr>
            <w:tcW w:w="0" w:type="dxa"/>
            <w:vAlign w:val="bottom"/>
          </w:tcPr>
          <w:p>
            <w:pPr>
              <w:spacing w:after="0"/>
              <w:rPr>
                <w:sz w:val="1"/>
                <w:szCs w:val="1"/>
                <w:color w:val="auto"/>
              </w:rPr>
            </w:pPr>
          </w:p>
        </w:tc>
      </w:tr>
      <w:tr>
        <w:trPr>
          <w:trHeight w:val="241"/>
        </w:trPr>
        <w:tc>
          <w:tcPr>
            <w:tcW w:w="1980" w:type="dxa"/>
            <w:vAlign w:val="bottom"/>
            <w:tcBorders>
              <w:bottom w:val="single" w:sz="8" w:color="95B3D7"/>
              <w:right w:val="single" w:sz="8" w:color="95B3D7"/>
            </w:tcBorders>
          </w:tcPr>
          <w:p>
            <w:pPr>
              <w:ind w:left="140"/>
              <w:spacing w:after="0"/>
              <w:rPr>
                <w:sz w:val="20"/>
                <w:szCs w:val="20"/>
                <w:color w:val="auto"/>
              </w:rPr>
            </w:pPr>
            <w:r>
              <w:rPr>
                <w:rFonts w:ascii="Arial" w:cs="Arial" w:eastAsia="Arial" w:hAnsi="Arial"/>
                <w:sz w:val="18"/>
                <w:szCs w:val="18"/>
                <w:color w:val="auto"/>
              </w:rPr>
              <w:t>John Kao</w:t>
            </w:r>
          </w:p>
        </w:tc>
        <w:tc>
          <w:tcPr>
            <w:tcW w:w="620" w:type="dxa"/>
            <w:vAlign w:val="bottom"/>
            <w:tcBorders>
              <w:bottom w:val="single" w:sz="8" w:color="95B3D7"/>
              <w:right w:val="single" w:sz="8" w:color="95B3D7"/>
            </w:tcBorders>
          </w:tcPr>
          <w:p>
            <w:pPr>
              <w:ind w:left="180"/>
              <w:spacing w:after="0"/>
              <w:rPr>
                <w:sz w:val="20"/>
                <w:szCs w:val="20"/>
                <w:color w:val="auto"/>
              </w:rPr>
            </w:pPr>
            <w:r>
              <w:rPr>
                <w:rFonts w:ascii="Arial" w:cs="Arial" w:eastAsia="Arial" w:hAnsi="Arial"/>
                <w:sz w:val="18"/>
                <w:szCs w:val="18"/>
                <w:color w:val="auto"/>
              </w:rPr>
              <w:t>62</w:t>
            </w:r>
          </w:p>
        </w:tc>
        <w:tc>
          <w:tcPr>
            <w:tcW w:w="920" w:type="dxa"/>
            <w:vAlign w:val="bottom"/>
            <w:tcBorders>
              <w:bottom w:val="single" w:sz="8" w:color="95B3D7"/>
              <w:right w:val="single" w:sz="8" w:color="95B3D7"/>
            </w:tcBorders>
          </w:tcPr>
          <w:p>
            <w:pPr>
              <w:ind w:left="200"/>
              <w:spacing w:after="0"/>
              <w:rPr>
                <w:sz w:val="20"/>
                <w:szCs w:val="20"/>
                <w:color w:val="auto"/>
              </w:rPr>
            </w:pPr>
            <w:r>
              <w:rPr>
                <w:rFonts w:ascii="Arial" w:cs="Arial" w:eastAsia="Arial" w:hAnsi="Arial"/>
                <w:sz w:val="18"/>
                <w:szCs w:val="18"/>
                <w:color w:val="auto"/>
              </w:rPr>
              <w:t>2014</w:t>
            </w:r>
          </w:p>
        </w:tc>
        <w:tc>
          <w:tcPr>
            <w:tcW w:w="1320" w:type="dxa"/>
            <w:vAlign w:val="bottom"/>
            <w:tcBorders>
              <w:bottom w:val="single" w:sz="8" w:color="95B3D7"/>
              <w:right w:val="single" w:sz="8" w:color="95B3D7"/>
            </w:tcBorders>
          </w:tcPr>
          <w:p>
            <w:pPr>
              <w:jc w:val="center"/>
              <w:ind w:left="94"/>
              <w:spacing w:after="0"/>
              <w:rPr>
                <w:sz w:val="20"/>
                <w:szCs w:val="20"/>
                <w:color w:val="auto"/>
              </w:rPr>
            </w:pPr>
            <w:r>
              <w:rPr>
                <w:rFonts w:ascii="Arial" w:cs="Arial" w:eastAsia="Arial" w:hAnsi="Arial"/>
                <w:sz w:val="18"/>
                <w:szCs w:val="18"/>
                <w:color w:val="auto"/>
                <w:w w:val="95"/>
              </w:rPr>
              <w:t>No</w:t>
            </w:r>
          </w:p>
        </w:tc>
        <w:tc>
          <w:tcPr>
            <w:tcW w:w="1300" w:type="dxa"/>
            <w:vAlign w:val="bottom"/>
            <w:tcBorders>
              <w:bottom w:val="single" w:sz="8" w:color="95B3D7"/>
              <w:right w:val="single" w:sz="8" w:color="95B3D7"/>
            </w:tcBorders>
          </w:tcPr>
          <w:p>
            <w:pPr>
              <w:ind w:left="200"/>
              <w:spacing w:after="0"/>
              <w:rPr>
                <w:sz w:val="20"/>
                <w:szCs w:val="20"/>
                <w:color w:val="auto"/>
              </w:rPr>
            </w:pPr>
            <w:r>
              <w:rPr>
                <w:rFonts w:ascii="Arial" w:cs="Arial" w:eastAsia="Arial" w:hAnsi="Arial"/>
                <w:sz w:val="18"/>
                <w:szCs w:val="18"/>
                <w:color w:val="auto"/>
              </w:rPr>
              <w:t>—</w:t>
            </w:r>
          </w:p>
        </w:tc>
        <w:tc>
          <w:tcPr>
            <w:tcW w:w="4880" w:type="dxa"/>
            <w:vAlign w:val="bottom"/>
            <w:tcBorders>
              <w:bottom w:val="single" w:sz="8" w:color="95B3D7"/>
            </w:tcBorders>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9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8"/>
                <w:szCs w:val="18"/>
                <w:color w:val="auto"/>
              </w:rPr>
              <w:t>Joseph Konowiecki,</w:t>
            </w:r>
          </w:p>
        </w:tc>
        <w:tc>
          <w:tcPr>
            <w:tcW w:w="620" w:type="dxa"/>
            <w:vAlign w:val="bottom"/>
            <w:tcBorders>
              <w:right w:val="single" w:sz="8" w:color="95B3D7"/>
            </w:tcBorders>
            <w:shd w:val="clear" w:color="auto" w:fill="DBE5F1"/>
          </w:tcPr>
          <w:p>
            <w:pPr>
              <w:ind w:left="180"/>
              <w:spacing w:after="0"/>
              <w:rPr>
                <w:sz w:val="20"/>
                <w:szCs w:val="20"/>
                <w:color w:val="auto"/>
              </w:rPr>
            </w:pPr>
            <w:r>
              <w:rPr>
                <w:rFonts w:ascii="Arial" w:cs="Arial" w:eastAsia="Arial" w:hAnsi="Arial"/>
                <w:sz w:val="18"/>
                <w:szCs w:val="18"/>
                <w:color w:val="auto"/>
              </w:rPr>
              <w:t>70</w:t>
            </w:r>
          </w:p>
        </w:tc>
        <w:tc>
          <w:tcPr>
            <w:tcW w:w="92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2014</w:t>
            </w:r>
          </w:p>
        </w:tc>
        <w:tc>
          <w:tcPr>
            <w:tcW w:w="1320" w:type="dxa"/>
            <w:vAlign w:val="bottom"/>
            <w:tcBorders>
              <w:right w:val="single" w:sz="8" w:color="95B3D7"/>
            </w:tcBorders>
            <w:shd w:val="clear" w:color="auto" w:fill="DBE5F1"/>
          </w:tcPr>
          <w:p>
            <w:pPr>
              <w:jc w:val="center"/>
              <w:ind w:left="94"/>
              <w:spacing w:after="0"/>
              <w:rPr>
                <w:sz w:val="20"/>
                <w:szCs w:val="20"/>
                <w:color w:val="auto"/>
              </w:rPr>
            </w:pPr>
            <w:r>
              <w:rPr>
                <w:rFonts w:ascii="Arial" w:cs="Arial" w:eastAsia="Arial" w:hAnsi="Arial"/>
                <w:sz w:val="18"/>
                <w:szCs w:val="18"/>
                <w:color w:val="auto"/>
                <w:w w:val="95"/>
              </w:rPr>
              <w:t>No</w:t>
            </w:r>
          </w:p>
        </w:tc>
        <w:tc>
          <w:tcPr>
            <w:tcW w:w="130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w:t>
            </w:r>
          </w:p>
        </w:tc>
        <w:tc>
          <w:tcPr>
            <w:tcW w:w="4880" w:type="dxa"/>
            <w:vAlign w:val="bottom"/>
            <w:shd w:val="clear" w:color="auto" w:fill="DBE5F1"/>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1980" w:type="dxa"/>
            <w:vAlign w:val="bottom"/>
            <w:tcBorders>
              <w:bottom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8"/>
                <w:szCs w:val="18"/>
                <w:color w:val="auto"/>
              </w:rPr>
              <w:t>Chairman</w:t>
            </w:r>
          </w:p>
        </w:tc>
        <w:tc>
          <w:tcPr>
            <w:tcW w:w="620" w:type="dxa"/>
            <w:vAlign w:val="bottom"/>
            <w:tcBorders>
              <w:bottom w:val="single" w:sz="8" w:color="95B3D7"/>
              <w:right w:val="single" w:sz="8" w:color="95B3D7"/>
            </w:tcBorders>
            <w:shd w:val="clear" w:color="auto" w:fill="DBE5F1"/>
          </w:tcPr>
          <w:p>
            <w:pPr>
              <w:spacing w:after="0"/>
              <w:rPr>
                <w:sz w:val="20"/>
                <w:szCs w:val="20"/>
                <w:color w:val="auto"/>
              </w:rPr>
            </w:pPr>
          </w:p>
        </w:tc>
        <w:tc>
          <w:tcPr>
            <w:tcW w:w="920" w:type="dxa"/>
            <w:vAlign w:val="bottom"/>
            <w:tcBorders>
              <w:bottom w:val="single" w:sz="8" w:color="95B3D7"/>
              <w:right w:val="single" w:sz="8" w:color="95B3D7"/>
            </w:tcBorders>
            <w:shd w:val="clear" w:color="auto" w:fill="DBE5F1"/>
          </w:tcPr>
          <w:p>
            <w:pPr>
              <w:spacing w:after="0"/>
              <w:rPr>
                <w:sz w:val="20"/>
                <w:szCs w:val="20"/>
                <w:color w:val="auto"/>
              </w:rPr>
            </w:pPr>
          </w:p>
        </w:tc>
        <w:tc>
          <w:tcPr>
            <w:tcW w:w="1320" w:type="dxa"/>
            <w:vAlign w:val="bottom"/>
            <w:tcBorders>
              <w:bottom w:val="single" w:sz="8" w:color="95B3D7"/>
              <w:right w:val="single" w:sz="8" w:color="95B3D7"/>
            </w:tcBorders>
            <w:shd w:val="clear" w:color="auto" w:fill="DBE5F1"/>
          </w:tcPr>
          <w:p>
            <w:pPr>
              <w:spacing w:after="0"/>
              <w:rPr>
                <w:sz w:val="20"/>
                <w:szCs w:val="20"/>
                <w:color w:val="auto"/>
              </w:rPr>
            </w:pPr>
          </w:p>
        </w:tc>
        <w:tc>
          <w:tcPr>
            <w:tcW w:w="1300" w:type="dxa"/>
            <w:vAlign w:val="bottom"/>
            <w:tcBorders>
              <w:bottom w:val="single" w:sz="8" w:color="95B3D7"/>
              <w:right w:val="single" w:sz="8" w:color="95B3D7"/>
            </w:tcBorders>
            <w:shd w:val="clear" w:color="auto" w:fill="DBE5F1"/>
          </w:tcPr>
          <w:p>
            <w:pPr>
              <w:spacing w:after="0"/>
              <w:rPr>
                <w:sz w:val="20"/>
                <w:szCs w:val="20"/>
                <w:color w:val="auto"/>
              </w:rPr>
            </w:pPr>
          </w:p>
        </w:tc>
        <w:tc>
          <w:tcPr>
            <w:tcW w:w="4880" w:type="dxa"/>
            <w:vAlign w:val="bottom"/>
            <w:tcBorders>
              <w:bottom w:val="single" w:sz="8" w:color="95B3D7"/>
            </w:tcBorders>
            <w:shd w:val="clear" w:color="auto" w:fill="DBE5F1"/>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1980" w:type="dxa"/>
            <w:vAlign w:val="bottom"/>
            <w:tcBorders>
              <w:right w:val="single" w:sz="8" w:color="95B3D7"/>
            </w:tcBorders>
          </w:tcPr>
          <w:p>
            <w:pPr>
              <w:ind w:left="140"/>
              <w:spacing w:after="0"/>
              <w:rPr>
                <w:sz w:val="20"/>
                <w:szCs w:val="20"/>
                <w:color w:val="auto"/>
              </w:rPr>
            </w:pPr>
            <w:r>
              <w:rPr>
                <w:rFonts w:ascii="Arial" w:cs="Arial" w:eastAsia="Arial" w:hAnsi="Arial"/>
                <w:sz w:val="18"/>
                <w:szCs w:val="18"/>
                <w:color w:val="auto"/>
              </w:rPr>
              <w:t>Margaret McCarthy,</w:t>
            </w:r>
          </w:p>
        </w:tc>
        <w:tc>
          <w:tcPr>
            <w:tcW w:w="620" w:type="dxa"/>
            <w:vAlign w:val="bottom"/>
            <w:tcBorders>
              <w:right w:val="single" w:sz="8" w:color="95B3D7"/>
            </w:tcBorders>
          </w:tcPr>
          <w:p>
            <w:pPr>
              <w:ind w:left="180"/>
              <w:spacing w:after="0"/>
              <w:rPr>
                <w:sz w:val="20"/>
                <w:szCs w:val="20"/>
                <w:color w:val="auto"/>
              </w:rPr>
            </w:pPr>
            <w:r>
              <w:rPr>
                <w:rFonts w:ascii="Arial" w:cs="Arial" w:eastAsia="Arial" w:hAnsi="Arial"/>
                <w:sz w:val="18"/>
                <w:szCs w:val="18"/>
                <w:color w:val="auto"/>
              </w:rPr>
              <w:t>70</w:t>
            </w:r>
          </w:p>
        </w:tc>
        <w:tc>
          <w:tcPr>
            <w:tcW w:w="920" w:type="dxa"/>
            <w:vAlign w:val="bottom"/>
            <w:tcBorders>
              <w:right w:val="single" w:sz="8" w:color="95B3D7"/>
            </w:tcBorders>
          </w:tcPr>
          <w:p>
            <w:pPr>
              <w:ind w:left="200"/>
              <w:spacing w:after="0"/>
              <w:rPr>
                <w:sz w:val="20"/>
                <w:szCs w:val="20"/>
                <w:color w:val="auto"/>
              </w:rPr>
            </w:pPr>
            <w:r>
              <w:rPr>
                <w:rFonts w:ascii="Arial" w:cs="Arial" w:eastAsia="Arial" w:hAnsi="Arial"/>
                <w:sz w:val="18"/>
                <w:szCs w:val="18"/>
                <w:color w:val="auto"/>
              </w:rPr>
              <w:t>2020</w:t>
            </w:r>
          </w:p>
        </w:tc>
        <w:tc>
          <w:tcPr>
            <w:tcW w:w="1320" w:type="dxa"/>
            <w:vAlign w:val="bottom"/>
            <w:tcBorders>
              <w:right w:val="single" w:sz="8" w:color="95B3D7"/>
            </w:tcBorders>
          </w:tcPr>
          <w:p>
            <w:pPr>
              <w:jc w:val="center"/>
              <w:ind w:left="94"/>
              <w:spacing w:after="0"/>
              <w:rPr>
                <w:sz w:val="20"/>
                <w:szCs w:val="20"/>
                <w:color w:val="auto"/>
              </w:rPr>
            </w:pPr>
            <w:r>
              <w:rPr>
                <w:rFonts w:ascii="Arial" w:cs="Arial" w:eastAsia="Arial" w:hAnsi="Arial"/>
                <w:sz w:val="18"/>
                <w:szCs w:val="18"/>
                <w:color w:val="auto"/>
                <w:w w:val="96"/>
              </w:rPr>
              <w:t>Yes</w:t>
            </w:r>
          </w:p>
        </w:tc>
        <w:tc>
          <w:tcPr>
            <w:tcW w:w="1300" w:type="dxa"/>
            <w:vAlign w:val="bottom"/>
            <w:tcBorders>
              <w:right w:val="single" w:sz="8" w:color="95B3D7"/>
            </w:tcBorders>
          </w:tcPr>
          <w:p>
            <w:pPr>
              <w:ind w:left="200"/>
              <w:spacing w:after="0"/>
              <w:rPr>
                <w:sz w:val="20"/>
                <w:szCs w:val="20"/>
                <w:color w:val="auto"/>
              </w:rPr>
            </w:pPr>
            <w:r>
              <w:rPr>
                <w:rFonts w:ascii="Arial" w:cs="Arial" w:eastAsia="Arial" w:hAnsi="Arial"/>
                <w:sz w:val="18"/>
                <w:szCs w:val="18"/>
                <w:color w:val="auto"/>
              </w:rPr>
              <w:t>Audit</w:t>
            </w:r>
          </w:p>
        </w:tc>
        <w:tc>
          <w:tcPr>
            <w:tcW w:w="4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American Electric Power Co. Inc.</w:t>
            </w:r>
          </w:p>
        </w:tc>
        <w:tc>
          <w:tcPr>
            <w:tcW w:w="0" w:type="dxa"/>
            <w:vAlign w:val="bottom"/>
          </w:tcPr>
          <w:p>
            <w:pPr>
              <w:spacing w:after="0"/>
              <w:rPr>
                <w:sz w:val="1"/>
                <w:szCs w:val="1"/>
                <w:color w:val="auto"/>
              </w:rPr>
            </w:pPr>
          </w:p>
        </w:tc>
      </w:tr>
      <w:tr>
        <w:trPr>
          <w:trHeight w:val="203"/>
        </w:trPr>
        <w:tc>
          <w:tcPr>
            <w:tcW w:w="1980" w:type="dxa"/>
            <w:vAlign w:val="bottom"/>
            <w:tcBorders>
              <w:right w:val="single" w:sz="8" w:color="95B3D7"/>
            </w:tcBorders>
          </w:tcPr>
          <w:p>
            <w:pPr>
              <w:ind w:left="140"/>
              <w:spacing w:after="0" w:line="202" w:lineRule="exact"/>
              <w:rPr>
                <w:sz w:val="20"/>
                <w:szCs w:val="20"/>
                <w:color w:val="auto"/>
              </w:rPr>
            </w:pPr>
            <w:r>
              <w:rPr>
                <w:rFonts w:ascii="Arial" w:cs="Arial" w:eastAsia="Arial" w:hAnsi="Arial"/>
                <w:sz w:val="18"/>
                <w:szCs w:val="18"/>
                <w:color w:val="auto"/>
              </w:rPr>
              <w:t>Lead Independent</w:t>
            </w:r>
          </w:p>
        </w:tc>
        <w:tc>
          <w:tcPr>
            <w:tcW w:w="620" w:type="dxa"/>
            <w:vAlign w:val="bottom"/>
            <w:tcBorders>
              <w:right w:val="single" w:sz="8" w:color="95B3D7"/>
            </w:tcBorders>
          </w:tcPr>
          <w:p>
            <w:pPr>
              <w:spacing w:after="0"/>
              <w:rPr>
                <w:sz w:val="17"/>
                <w:szCs w:val="17"/>
                <w:color w:val="auto"/>
              </w:rPr>
            </w:pPr>
          </w:p>
        </w:tc>
        <w:tc>
          <w:tcPr>
            <w:tcW w:w="920" w:type="dxa"/>
            <w:vAlign w:val="bottom"/>
            <w:tcBorders>
              <w:right w:val="single" w:sz="8" w:color="95B3D7"/>
            </w:tcBorders>
          </w:tcPr>
          <w:p>
            <w:pPr>
              <w:spacing w:after="0"/>
              <w:rPr>
                <w:sz w:val="17"/>
                <w:szCs w:val="17"/>
                <w:color w:val="auto"/>
              </w:rPr>
            </w:pPr>
          </w:p>
        </w:tc>
        <w:tc>
          <w:tcPr>
            <w:tcW w:w="1320" w:type="dxa"/>
            <w:vAlign w:val="bottom"/>
            <w:tcBorders>
              <w:right w:val="single" w:sz="8" w:color="95B3D7"/>
            </w:tcBorders>
          </w:tcPr>
          <w:p>
            <w:pPr>
              <w:spacing w:after="0"/>
              <w:rPr>
                <w:sz w:val="17"/>
                <w:szCs w:val="17"/>
                <w:color w:val="auto"/>
              </w:rPr>
            </w:pPr>
          </w:p>
        </w:tc>
        <w:tc>
          <w:tcPr>
            <w:tcW w:w="1300" w:type="dxa"/>
            <w:vAlign w:val="bottom"/>
            <w:tcBorders>
              <w:right w:val="single" w:sz="8" w:color="95B3D7"/>
            </w:tcBorders>
          </w:tcPr>
          <w:p>
            <w:pPr>
              <w:spacing w:after="0"/>
              <w:rPr>
                <w:sz w:val="17"/>
                <w:szCs w:val="17"/>
                <w:color w:val="auto"/>
              </w:rPr>
            </w:pPr>
          </w:p>
        </w:tc>
        <w:tc>
          <w:tcPr>
            <w:tcW w:w="488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First American Financial Corp.</w:t>
            </w:r>
          </w:p>
        </w:tc>
        <w:tc>
          <w:tcPr>
            <w:tcW w:w="0" w:type="dxa"/>
            <w:vAlign w:val="bottom"/>
          </w:tcPr>
          <w:p>
            <w:pPr>
              <w:spacing w:after="0"/>
              <w:rPr>
                <w:sz w:val="1"/>
                <w:szCs w:val="1"/>
                <w:color w:val="auto"/>
              </w:rPr>
            </w:pPr>
          </w:p>
        </w:tc>
      </w:tr>
      <w:tr>
        <w:trPr>
          <w:trHeight w:val="171"/>
        </w:trPr>
        <w:tc>
          <w:tcPr>
            <w:tcW w:w="1980" w:type="dxa"/>
            <w:vAlign w:val="bottom"/>
            <w:tcBorders>
              <w:right w:val="single" w:sz="8" w:color="95B3D7"/>
            </w:tcBorders>
            <w:vMerge w:val="restart"/>
          </w:tcPr>
          <w:p>
            <w:pPr>
              <w:ind w:left="140"/>
              <w:spacing w:after="0"/>
              <w:rPr>
                <w:sz w:val="20"/>
                <w:szCs w:val="20"/>
                <w:color w:val="auto"/>
              </w:rPr>
            </w:pPr>
            <w:r>
              <w:rPr>
                <w:rFonts w:ascii="Arial" w:cs="Arial" w:eastAsia="Arial" w:hAnsi="Arial"/>
                <w:sz w:val="18"/>
                <w:szCs w:val="18"/>
                <w:color w:val="auto"/>
              </w:rPr>
              <w:t>Director</w:t>
            </w:r>
          </w:p>
        </w:tc>
        <w:tc>
          <w:tcPr>
            <w:tcW w:w="620" w:type="dxa"/>
            <w:vAlign w:val="bottom"/>
            <w:tcBorders>
              <w:right w:val="single" w:sz="8" w:color="95B3D7"/>
            </w:tcBorders>
          </w:tcPr>
          <w:p>
            <w:pPr>
              <w:spacing w:after="0"/>
              <w:rPr>
                <w:sz w:val="14"/>
                <w:szCs w:val="14"/>
                <w:color w:val="auto"/>
              </w:rPr>
            </w:pPr>
          </w:p>
        </w:tc>
        <w:tc>
          <w:tcPr>
            <w:tcW w:w="920" w:type="dxa"/>
            <w:vAlign w:val="bottom"/>
            <w:tcBorders>
              <w:right w:val="single" w:sz="8" w:color="95B3D7"/>
            </w:tcBorders>
          </w:tcPr>
          <w:p>
            <w:pPr>
              <w:spacing w:after="0"/>
              <w:rPr>
                <w:sz w:val="14"/>
                <w:szCs w:val="14"/>
                <w:color w:val="auto"/>
              </w:rPr>
            </w:pPr>
          </w:p>
        </w:tc>
        <w:tc>
          <w:tcPr>
            <w:tcW w:w="1320" w:type="dxa"/>
            <w:vAlign w:val="bottom"/>
            <w:tcBorders>
              <w:right w:val="single" w:sz="8" w:color="95B3D7"/>
            </w:tcBorders>
          </w:tcPr>
          <w:p>
            <w:pPr>
              <w:spacing w:after="0"/>
              <w:rPr>
                <w:sz w:val="14"/>
                <w:szCs w:val="14"/>
                <w:color w:val="auto"/>
              </w:rPr>
            </w:pPr>
          </w:p>
        </w:tc>
        <w:tc>
          <w:tcPr>
            <w:tcW w:w="1300" w:type="dxa"/>
            <w:vAlign w:val="bottom"/>
            <w:tcBorders>
              <w:right w:val="single" w:sz="8" w:color="95B3D7"/>
            </w:tcBorders>
          </w:tcPr>
          <w:p>
            <w:pPr>
              <w:spacing w:after="0"/>
              <w:rPr>
                <w:sz w:val="14"/>
                <w:szCs w:val="14"/>
                <w:color w:val="auto"/>
              </w:rPr>
            </w:pPr>
          </w:p>
        </w:tc>
        <w:tc>
          <w:tcPr>
            <w:tcW w:w="4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1980" w:type="dxa"/>
            <w:vAlign w:val="bottom"/>
            <w:tcBorders>
              <w:right w:val="single" w:sz="8" w:color="95B3D7"/>
            </w:tcBorders>
            <w:vMerge w:val="continue"/>
          </w:tcPr>
          <w:p>
            <w:pPr>
              <w:spacing w:after="0"/>
              <w:rPr>
                <w:sz w:val="5"/>
                <w:szCs w:val="5"/>
                <w:color w:val="auto"/>
              </w:rPr>
            </w:pPr>
          </w:p>
        </w:tc>
        <w:tc>
          <w:tcPr>
            <w:tcW w:w="620" w:type="dxa"/>
            <w:vAlign w:val="bottom"/>
            <w:tcBorders>
              <w:right w:val="single" w:sz="8" w:color="95B3D7"/>
            </w:tcBorders>
          </w:tcPr>
          <w:p>
            <w:pPr>
              <w:spacing w:after="0"/>
              <w:rPr>
                <w:sz w:val="5"/>
                <w:szCs w:val="5"/>
                <w:color w:val="auto"/>
              </w:rPr>
            </w:pPr>
          </w:p>
        </w:tc>
        <w:tc>
          <w:tcPr>
            <w:tcW w:w="920" w:type="dxa"/>
            <w:vAlign w:val="bottom"/>
            <w:tcBorders>
              <w:right w:val="single" w:sz="8" w:color="95B3D7"/>
            </w:tcBorders>
          </w:tcPr>
          <w:p>
            <w:pPr>
              <w:spacing w:after="0"/>
              <w:rPr>
                <w:sz w:val="5"/>
                <w:szCs w:val="5"/>
                <w:color w:val="auto"/>
              </w:rPr>
            </w:pPr>
          </w:p>
        </w:tc>
        <w:tc>
          <w:tcPr>
            <w:tcW w:w="1320" w:type="dxa"/>
            <w:vAlign w:val="bottom"/>
            <w:tcBorders>
              <w:right w:val="single" w:sz="8" w:color="95B3D7"/>
            </w:tcBorders>
          </w:tcPr>
          <w:p>
            <w:pPr>
              <w:spacing w:after="0"/>
              <w:rPr>
                <w:sz w:val="5"/>
                <w:szCs w:val="5"/>
                <w:color w:val="auto"/>
              </w:rPr>
            </w:pPr>
          </w:p>
        </w:tc>
        <w:tc>
          <w:tcPr>
            <w:tcW w:w="1300" w:type="dxa"/>
            <w:vAlign w:val="bottom"/>
            <w:tcBorders>
              <w:right w:val="single" w:sz="8" w:color="95B3D7"/>
            </w:tcBorders>
          </w:tcPr>
          <w:p>
            <w:pPr>
              <w:spacing w:after="0"/>
              <w:rPr>
                <w:sz w:val="5"/>
                <w:szCs w:val="5"/>
                <w:color w:val="auto"/>
              </w:rPr>
            </w:pPr>
          </w:p>
        </w:tc>
        <w:tc>
          <w:tcPr>
            <w:tcW w:w="4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5"/>
        </w:trPr>
        <w:tc>
          <w:tcPr>
            <w:tcW w:w="1980" w:type="dxa"/>
            <w:vAlign w:val="bottom"/>
            <w:tcBorders>
              <w:bottom w:val="single" w:sz="8" w:color="95B3D7"/>
              <w:right w:val="single" w:sz="8" w:color="95B3D7"/>
            </w:tcBorders>
          </w:tcPr>
          <w:p>
            <w:pPr>
              <w:spacing w:after="0"/>
              <w:rPr>
                <w:sz w:val="23"/>
                <w:szCs w:val="23"/>
                <w:color w:val="auto"/>
              </w:rPr>
            </w:pPr>
          </w:p>
        </w:tc>
        <w:tc>
          <w:tcPr>
            <w:tcW w:w="620" w:type="dxa"/>
            <w:vAlign w:val="bottom"/>
            <w:tcBorders>
              <w:bottom w:val="single" w:sz="8" w:color="95B3D7"/>
              <w:right w:val="single" w:sz="8" w:color="95B3D7"/>
            </w:tcBorders>
          </w:tcPr>
          <w:p>
            <w:pPr>
              <w:spacing w:after="0"/>
              <w:rPr>
                <w:sz w:val="23"/>
                <w:szCs w:val="23"/>
                <w:color w:val="auto"/>
              </w:rPr>
            </w:pPr>
          </w:p>
        </w:tc>
        <w:tc>
          <w:tcPr>
            <w:tcW w:w="920" w:type="dxa"/>
            <w:vAlign w:val="bottom"/>
            <w:tcBorders>
              <w:bottom w:val="single" w:sz="8" w:color="95B3D7"/>
              <w:right w:val="single" w:sz="8" w:color="95B3D7"/>
            </w:tcBorders>
          </w:tcPr>
          <w:p>
            <w:pPr>
              <w:spacing w:after="0"/>
              <w:rPr>
                <w:sz w:val="23"/>
                <w:szCs w:val="23"/>
                <w:color w:val="auto"/>
              </w:rPr>
            </w:pPr>
          </w:p>
        </w:tc>
        <w:tc>
          <w:tcPr>
            <w:tcW w:w="1320" w:type="dxa"/>
            <w:vAlign w:val="bottom"/>
            <w:tcBorders>
              <w:bottom w:val="single" w:sz="8" w:color="95B3D7"/>
              <w:right w:val="single" w:sz="8" w:color="95B3D7"/>
            </w:tcBorders>
          </w:tcPr>
          <w:p>
            <w:pPr>
              <w:spacing w:after="0"/>
              <w:rPr>
                <w:sz w:val="23"/>
                <w:szCs w:val="23"/>
                <w:color w:val="auto"/>
              </w:rPr>
            </w:pPr>
          </w:p>
        </w:tc>
        <w:tc>
          <w:tcPr>
            <w:tcW w:w="1300" w:type="dxa"/>
            <w:vAlign w:val="bottom"/>
            <w:tcBorders>
              <w:bottom w:val="single" w:sz="8" w:color="95B3D7"/>
              <w:right w:val="single" w:sz="8" w:color="95B3D7"/>
            </w:tcBorders>
          </w:tcPr>
          <w:p>
            <w:pPr>
              <w:spacing w:after="0"/>
              <w:rPr>
                <w:sz w:val="23"/>
                <w:szCs w:val="23"/>
                <w:color w:val="auto"/>
              </w:rPr>
            </w:pPr>
          </w:p>
        </w:tc>
        <w:tc>
          <w:tcPr>
            <w:tcW w:w="4880" w:type="dxa"/>
            <w:vAlign w:val="bottom"/>
            <w:tcBorders>
              <w:bottom w:val="single" w:sz="8" w:color="95B3D7"/>
            </w:tcBorders>
          </w:tcPr>
          <w:p>
            <w:pPr>
              <w:ind w:left="3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Marriott International</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Each nominee was recommended for re-election by the NCGCC for consideration by the Board and our stockholders. If, before the Annual Meeting, any nominee becomes unable to serve, or chooses not to serve, the Board may nominate a substitute. If that happens, the persons named as proxies on the proxy card will vote for the substitute. Alternatively, the Board may either let the vacancy stay unfilled until an appropriate candidate is identified or reduce the size of the Board to eliminate the unfilled seat, subject to the Stockholders Agreement (as defined below).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Director Nominees to Serve for a Three-Year Term Expiring at the 2027 Annual Meeting</w:t>
      </w:r>
    </w:p>
    <w:p>
      <w:pPr>
        <w:spacing w:after="0" w:line="239" w:lineRule="exact"/>
        <w:rPr>
          <w:sz w:val="20"/>
          <w:szCs w:val="20"/>
          <w:color w:val="auto"/>
        </w:rPr>
      </w:pPr>
    </w:p>
    <w:p>
      <w:pPr>
        <w:ind w:left="2220" w:right="20"/>
        <w:spacing w:after="0" w:line="245" w:lineRule="auto"/>
        <w:rPr>
          <w:sz w:val="20"/>
          <w:szCs w:val="20"/>
          <w:color w:val="auto"/>
        </w:rPr>
      </w:pPr>
      <w:r>
        <w:rPr>
          <w:rFonts w:ascii="Arial" w:cs="Arial" w:eastAsia="Arial" w:hAnsi="Arial"/>
          <w:sz w:val="17"/>
          <w:szCs w:val="17"/>
          <w:color w:val="auto"/>
        </w:rPr>
        <w:t>Ms. Jorden has served as a member of our Board since January 2022. Ms. Jorden has served as a director and audit committee member of Cohu, Inc., a manufacturer of semiconductor equipment, since May 2021, and as a director of Capstone Green Energy Corp., a microturbine manufacturer, since April 2017. Additionally, she has served as a director and finance committee member of Methodist Health System, a not-for-profit Texas-based hospital system, since 2008. Prior to her current roles, Ms. Jorden served as director and a member of the audit committee for Maxwell Technologies, a manufacturer of energy storage and power delivery solutions, from 2008 to 2017. In addition, she also served as director and chairperson of the audit committee of Magnatek, Inc., a manufacturer of digital power control systems, U.S. Oncology, a privately held oncology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-1001395</wp:posOffset>
            </wp:positionV>
            <wp:extent cx="1071245" cy="1003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71245" cy="1003300"/>
                    </a:xfrm>
                    <a:prstGeom prst="rect">
                      <a:avLst/>
                    </a:prstGeom>
                    <a:noFill/>
                  </pic:spPr>
                </pic:pic>
              </a:graphicData>
            </a:graphic>
          </wp:anchor>
        </w:drawing>
      </w:r>
    </w:p>
    <w:p>
      <w:pPr>
        <w:ind w:left="2220" w:right="60" w:hanging="2213"/>
        <w:spacing w:after="0" w:line="256" w:lineRule="auto"/>
        <w:tabs>
          <w:tab w:leader="none" w:pos="2200" w:val="left"/>
        </w:tabs>
        <w:rPr>
          <w:sz w:val="20"/>
          <w:szCs w:val="20"/>
          <w:color w:val="auto"/>
        </w:rPr>
      </w:pPr>
      <w:r>
        <w:rPr>
          <w:rFonts w:ascii="Arial" w:cs="Arial" w:eastAsia="Arial" w:hAnsi="Arial"/>
          <w:sz w:val="35"/>
          <w:szCs w:val="35"/>
          <w:b w:val="1"/>
          <w:bCs w:val="1"/>
          <w:i w:val="1"/>
          <w:iCs w:val="1"/>
          <w:color w:val="1F497D"/>
          <w:vertAlign w:val="superscript"/>
        </w:rPr>
        <w:t>Yon Jorden</w:t>
      </w:r>
      <w:r>
        <w:rPr>
          <w:sz w:val="20"/>
          <w:szCs w:val="20"/>
          <w:color w:val="auto"/>
        </w:rPr>
        <w:tab/>
      </w:r>
      <w:r>
        <w:rPr>
          <w:rFonts w:ascii="Arial" w:cs="Arial" w:eastAsia="Arial" w:hAnsi="Arial"/>
          <w:sz w:val="17"/>
          <w:szCs w:val="17"/>
          <w:color w:val="auto"/>
        </w:rPr>
        <w:t>services company, and BioScrip, a national provider of infusion and home care management solutions. During her business career, she served as chief financial officer of four publicly traded companies, including as Executive Vice President and Chief Financial Officer of AdvancePCS, a pharmacy benefits management company, from 2002 to 2004. Previously she was chief financial officer of Informix Corp. (now Ascential Software Corp.), a provider of information management software, Oxford Health Plans, a provider of managed health care services, and WellPoint, Inc., a managed care company. Earlier in her career, she was a senior auditor with Arthur Andersen &amp; Co., where she became a Certified Public Accountant (inactive) in the State of California. Ms. Jorden is a Board Leadership Fellow of the National Association of Corporate Directors. She</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0"/>
          </w:cols>
          <w:pgMar w:left="440" w:top="296" w:right="4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723265</wp:posOffset>
            </wp:positionV>
            <wp:extent cx="1071245" cy="10026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John Kao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556260</wp:posOffset>
            </wp:positionV>
            <wp:extent cx="1071245" cy="10026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F497D"/>
        </w:rPr>
        <w:t>Joseph Konowiecki</w:t>
      </w:r>
    </w:p>
    <w:p>
      <w:pPr>
        <w:spacing w:after="0" w:line="20" w:lineRule="exact"/>
        <w:rPr>
          <w:sz w:val="20"/>
          <w:szCs w:val="20"/>
          <w:color w:val="auto"/>
        </w:rPr>
      </w:pPr>
      <w:r>
        <w:rPr>
          <w:sz w:val="20"/>
          <w:szCs w:val="20"/>
          <w:color w:val="auto"/>
        </w:rPr>
        <w:br w:type="column"/>
      </w:r>
    </w:p>
    <w:p>
      <w:pPr>
        <w:jc w:val="both"/>
        <w:ind w:right="40"/>
        <w:spacing w:after="0" w:line="253" w:lineRule="auto"/>
        <w:rPr>
          <w:sz w:val="20"/>
          <w:szCs w:val="20"/>
          <w:color w:val="auto"/>
        </w:rPr>
      </w:pPr>
      <w:r>
        <w:rPr>
          <w:rFonts w:ascii="Arial" w:cs="Arial" w:eastAsia="Arial" w:hAnsi="Arial"/>
          <w:sz w:val="18"/>
          <w:szCs w:val="18"/>
          <w:color w:val="auto"/>
        </w:rPr>
        <w:t>received her Bachelor of Science degree in Accounting from the California State University, Los Angeles. Ms. Jorden is a valuable member of our Board because of her extensive experience as a chief financial officer, her financial expertise and her experience as a director of multiple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-514350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149"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Mr. Kao has served as our Chief Executive Officer and as a member of our Board since 2014. Mr. Kao is our founder, and he was appointed as our Chief Executive Officer and to serve on our board of directors because of his extensive experience in managing organizations in the health care industry. Mr. Kao previously served as president of CareMore Medical Enterprises, Inc. (“CareMore”), which Mr. Kao and his partners acquired in 2006. In August 2011, CareMore was acquired by Wellpoint, Inc. Mr. Kao has also served as executive vice president at The TriZetto Group, and has served as president and CEO of the Ventures Division of PacifiCare Health Systems. While at PacifiCare, Mr. Kao was the chief financial officer at Secure Horizons USA. His earlier work included mergers and acquisitions with FHP International and investment banking with BancAmerica Securities, Inc. Mr. Kao received his Bachelor of Science degree from Santa Clara University and his MBA from the UCLA Anderson Graduate School of Management, where he was honored as a Venture Capital Fellow. Mr. Kao is qualified to serve on our Board because of his executive leadership experience and his extensive experience in the health care industry.</w:t>
      </w:r>
    </w:p>
    <w:p>
      <w:pPr>
        <w:spacing w:after="0" w:line="183"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Mr. Konowiecki has served as chairman of the Board since 2014. From October 2022 to December 2023, he served in an executive role with the Company, leading strategic network and business development. Since 2009, Mr. Konowiecki has served as managing partner of Moriah Partners, LLC and is the founder and CEO of Advanced Sports Media Group. Mr. Konowiecki previously served as Chairman and CEO of Apollo Enterprise Solutions, Inc. Mr. Konowiecki was previously CEO of Future Solutions with UnitedHealth Group’s Ovations division. Mr. Konowiecki has also held the positions of general counsel and executive vice president corporate affairs at PacifiCare Health Systems, Inc. In addition, he is a founding partner of the law firm Konowiecki &amp; Rank and serves as a member of the RAND Healthcare Advisory Board. Mr. Konowiecki received a Bachelor of Arts degree in Political Science from the University of California, Los Angeles and a JD from Hastings College. Mr. Konowiecki was appointed to serve on our board of directors because of his extensive experience in managing organizations as an executive officer and representing organizations in the health care industry.</w:t>
      </w:r>
    </w:p>
    <w:p>
      <w:pPr>
        <w:spacing w:after="0" w:line="109"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14</w:t>
      </w:r>
    </w:p>
    <w:p>
      <w:pPr>
        <w:sectPr>
          <w:pgSz w:w="11900" w:h="16838" w:orient="portrait"/>
          <w:cols w:equalWidth="0" w:num="2">
            <w:col w:w="1680" w:space="540"/>
            <w:col w:w="8780"/>
          </w:cols>
          <w:pgMar w:left="440" w:top="296" w:right="459" w:bottom="1440" w:gutter="0" w:footer="0" w:header="0"/>
        </w:sectPr>
      </w:pPr>
    </w:p>
    <w:bookmarkStart w:id="22" w:name="page23"/>
    <w:bookmarkEnd w:id="22"/>
    <w:p>
      <w:pPr>
        <w:ind w:left="2220"/>
        <w:spacing w:after="0" w:line="24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Ms. McCarthy has served as a member of our Board since December 2020 and as our Lead Independent Director in October 2022. Ms. McCarthy retired in June 2019 as executive vice president of CVS Health following the completion of CVS Health’s acquisition of Aetna in 2018. She served as Executive Vice President of Operations and Technology for Aetna from 2010 until 2018, where she was responsible for innovation, technology, data security, procurement, real estate and service operations. Prior to joining Aetna in 2003, she served in information technology-related roles at Cigna and Catholic Health Initiatives, among others. Ms. McCarthy also worked in technology consulting at Accenture and was a consulting partner at Ernst &amp; Young. She has served as a director of Marriott International since March 2019, of First American Financial since June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-1001395</wp:posOffset>
            </wp:positionV>
            <wp:extent cx="1071245" cy="10033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71245" cy="1003300"/>
                    </a:xfrm>
                    <a:prstGeom prst="rect">
                      <a:avLst/>
                    </a:prstGeom>
                    <a:noFill/>
                  </pic:spPr>
                </pic:pic>
              </a:graphicData>
            </a:graphic>
          </wp:anchor>
        </w:drawing>
      </w:r>
    </w:p>
    <w:p>
      <w:pPr>
        <w:ind w:left="2220" w:right="60" w:hanging="2213"/>
        <w:spacing w:after="0" w:line="242" w:lineRule="auto"/>
        <w:tabs>
          <w:tab w:leader="none" w:pos="2200" w:val="left"/>
        </w:tabs>
        <w:rPr>
          <w:sz w:val="20"/>
          <w:szCs w:val="20"/>
          <w:color w:val="auto"/>
        </w:rPr>
      </w:pPr>
      <w:r>
        <w:rPr>
          <w:rFonts w:ascii="Arial" w:cs="Arial" w:eastAsia="Arial" w:hAnsi="Arial"/>
          <w:sz w:val="35"/>
          <w:szCs w:val="35"/>
          <w:b w:val="1"/>
          <w:bCs w:val="1"/>
          <w:i w:val="1"/>
          <w:iCs w:val="1"/>
          <w:color w:val="1F497D"/>
          <w:vertAlign w:val="superscript"/>
        </w:rPr>
        <w:t>Margaret McCarthy</w:t>
      </w:r>
      <w:r>
        <w:rPr>
          <w:sz w:val="20"/>
          <w:szCs w:val="20"/>
          <w:color w:val="auto"/>
        </w:rPr>
        <w:tab/>
      </w:r>
      <w:r>
        <w:rPr>
          <w:rFonts w:ascii="Arial" w:cs="Arial" w:eastAsia="Arial" w:hAnsi="Arial"/>
          <w:sz w:val="18"/>
          <w:szCs w:val="18"/>
          <w:color w:val="auto"/>
        </w:rPr>
        <w:t>2015, and of American Electric Power Co. Inc. since April 2019. She was director at Brighthouse Financial from November 2018 until June 2021. She also served on various advisory boards, councils and private-company boards. Ms. McCarthy holds a bachelor’s degree from Providence College and a master’s degree in public health, hospital administration from Yale University. Given her extensive experience managing large groups of employees, complex processes and enterprise-critical technology, Ms. McCarthy brings to the board valuable insights into areas of critical import to our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Vote Required and Recommendation of the Board of Directors</w:t>
      </w:r>
    </w:p>
    <w:p>
      <w:pPr>
        <w:spacing w:after="0" w:line="210" w:lineRule="exact"/>
        <w:rPr>
          <w:sz w:val="20"/>
          <w:szCs w:val="20"/>
          <w:color w:val="auto"/>
        </w:rPr>
      </w:pPr>
    </w:p>
    <w:p>
      <w:pPr>
        <w:ind w:right="120" w:firstLine="440"/>
        <w:spacing w:after="0" w:line="266" w:lineRule="auto"/>
        <w:rPr>
          <w:sz w:val="20"/>
          <w:szCs w:val="20"/>
          <w:color w:val="auto"/>
        </w:rPr>
      </w:pPr>
      <w:r>
        <w:rPr>
          <w:rFonts w:ascii="Arial" w:cs="Arial" w:eastAsia="Arial" w:hAnsi="Arial"/>
          <w:sz w:val="17"/>
          <w:szCs w:val="17"/>
          <w:color w:val="auto"/>
        </w:rPr>
        <w:t>A plurality of the votes cast by the shares of common stock present in person or represented by proxy at the Annual Meeting and entitled to vote thereon is required to elect each nominee named herein. This means that the four nominees receiving the highest number of votes at the Annual Meeting will be elected, even if those votes do not constitute a majority of the votes cast. Shares not present at the Annual Meeting and broker non-votes have no effect on the election of directors. Abstentions are not applicable to this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7003415" cy="4368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436880"/>
                    </a:xfrm>
                    <a:prstGeom prst="rect">
                      <a:avLst/>
                    </a:prstGeom>
                    <a:noFill/>
                  </pic:spPr>
                </pic:pic>
              </a:graphicData>
            </a:graphic>
          </wp:anchor>
        </w:drawing>
      </w:r>
    </w:p>
    <w:p>
      <w:pPr>
        <w:spacing w:after="0" w:line="301" w:lineRule="exact"/>
        <w:rPr>
          <w:sz w:val="20"/>
          <w:szCs w:val="20"/>
          <w:color w:val="auto"/>
        </w:rPr>
      </w:pPr>
    </w:p>
    <w:p>
      <w:pPr>
        <w:ind w:left="2860"/>
        <w:spacing w:after="0"/>
        <w:rPr>
          <w:sz w:val="20"/>
          <w:szCs w:val="20"/>
          <w:color w:val="auto"/>
        </w:rPr>
      </w:pPr>
      <w:r>
        <w:rPr>
          <w:rFonts w:ascii="Arial" w:cs="Arial" w:eastAsia="Arial" w:hAnsi="Arial"/>
          <w:sz w:val="18"/>
          <w:szCs w:val="18"/>
          <w:b w:val="1"/>
          <w:bCs w:val="1"/>
          <w:color w:val="auto"/>
        </w:rPr>
        <w:t>THE BOARD OF DIRECTORS RECOMMENDS THAT YOU VOTE</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“FOR” EACH OF THE ABOVE DIRECTOR NOMINEES.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20"/>
          </w:cols>
          <w:pgMar w:left="440" w:top="296" w:right="4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Continuing Directors</w:t>
      </w:r>
    </w:p>
    <w:p>
      <w:pPr>
        <w:spacing w:after="0" w:line="212" w:lineRule="exact"/>
        <w:rPr>
          <w:sz w:val="20"/>
          <w:szCs w:val="20"/>
          <w:color w:val="auto"/>
        </w:rPr>
      </w:pPr>
    </w:p>
    <w:p>
      <w:pPr>
        <w:ind w:right="560" w:firstLine="440"/>
        <w:spacing w:after="0" w:line="271" w:lineRule="auto"/>
        <w:rPr>
          <w:sz w:val="20"/>
          <w:szCs w:val="20"/>
          <w:color w:val="auto"/>
        </w:rPr>
      </w:pPr>
      <w:r>
        <w:rPr>
          <w:rFonts w:ascii="Arial" w:cs="Arial" w:eastAsia="Arial" w:hAnsi="Arial"/>
          <w:sz w:val="18"/>
          <w:szCs w:val="18"/>
          <w:color w:val="auto"/>
        </w:rPr>
        <w:t>The following table summarizes key facts regarding the members of our Board whose terms are continuing beyond the Annual Meeting:</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Director</w:t>
            </w:r>
          </w:p>
        </w:tc>
        <w:tc>
          <w:tcPr>
            <w:tcW w:w="960" w:type="dxa"/>
            <w:vAlign w:val="bottom"/>
          </w:tcPr>
          <w:p>
            <w:pPr>
              <w:ind w:left="100"/>
              <w:spacing w:after="0"/>
              <w:rPr>
                <w:sz w:val="20"/>
                <w:szCs w:val="20"/>
                <w:color w:val="auto"/>
              </w:rPr>
            </w:pPr>
            <w:r>
              <w:rPr>
                <w:rFonts w:ascii="Arial" w:cs="Arial" w:eastAsia="Arial" w:hAnsi="Arial"/>
                <w:sz w:val="16"/>
                <w:szCs w:val="16"/>
                <w:b w:val="1"/>
                <w:bCs w:val="1"/>
                <w:color w:val="auto"/>
              </w:rPr>
              <w:t>Term</w:t>
            </w:r>
          </w:p>
        </w:tc>
        <w:tc>
          <w:tcPr>
            <w:tcW w:w="14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960" w:type="dxa"/>
            <w:vAlign w:val="bottom"/>
          </w:tcPr>
          <w:p>
            <w:pPr>
              <w:ind w:left="100"/>
              <w:spacing w:after="0"/>
              <w:rPr>
                <w:sz w:val="20"/>
                <w:szCs w:val="20"/>
                <w:color w:val="auto"/>
              </w:rPr>
            </w:pPr>
            <w:r>
              <w:rPr>
                <w:rFonts w:ascii="Arial" w:cs="Arial" w:eastAsia="Arial" w:hAnsi="Arial"/>
                <w:sz w:val="16"/>
                <w:szCs w:val="16"/>
                <w:b w:val="1"/>
                <w:bCs w:val="1"/>
                <w:color w:val="auto"/>
              </w:rPr>
              <w:t>Other Public</w:t>
            </w:r>
          </w:p>
        </w:tc>
        <w:tc>
          <w:tcPr>
            <w:tcW w:w="0" w:type="dxa"/>
            <w:vAlign w:val="bottom"/>
          </w:tcPr>
          <w:p>
            <w:pPr>
              <w:spacing w:after="0"/>
              <w:rPr>
                <w:sz w:val="1"/>
                <w:szCs w:val="1"/>
                <w:color w:val="auto"/>
              </w:rPr>
            </w:pPr>
          </w:p>
        </w:tc>
      </w:tr>
      <w:tr>
        <w:trPr>
          <w:trHeight w:val="203"/>
        </w:trPr>
        <w:tc>
          <w:tcPr>
            <w:tcW w:w="1580" w:type="dxa"/>
            <w:vAlign w:val="bottom"/>
            <w:tcBorders>
              <w:bottom w:val="single" w:sz="8" w:color="95B3D7"/>
            </w:tcBorders>
          </w:tcPr>
          <w:p>
            <w:pPr>
              <w:spacing w:after="0"/>
              <w:rPr>
                <w:sz w:val="20"/>
                <w:szCs w:val="20"/>
                <w:color w:val="auto"/>
              </w:rPr>
            </w:pPr>
            <w:r>
              <w:rPr>
                <w:rFonts w:ascii="Arial" w:cs="Arial" w:eastAsia="Arial" w:hAnsi="Arial"/>
                <w:sz w:val="16"/>
                <w:szCs w:val="16"/>
                <w:b w:val="1"/>
                <w:bCs w:val="1"/>
                <w:color w:val="auto"/>
              </w:rPr>
              <w:t>    Name</w:t>
            </w:r>
          </w:p>
        </w:tc>
        <w:tc>
          <w:tcPr>
            <w:tcW w:w="960" w:type="dxa"/>
            <w:vAlign w:val="bottom"/>
            <w:tcBorders>
              <w:bottom w:val="single" w:sz="8" w:color="95B3D7"/>
            </w:tcBorders>
          </w:tcPr>
          <w:p>
            <w:pPr>
              <w:ind w:left="100"/>
              <w:spacing w:after="0"/>
              <w:rPr>
                <w:sz w:val="20"/>
                <w:szCs w:val="20"/>
                <w:color w:val="auto"/>
              </w:rPr>
            </w:pPr>
            <w:r>
              <w:rPr>
                <w:rFonts w:ascii="Arial" w:cs="Arial" w:eastAsia="Arial" w:hAnsi="Arial"/>
                <w:sz w:val="16"/>
                <w:szCs w:val="16"/>
                <w:b w:val="1"/>
                <w:bCs w:val="1"/>
                <w:color w:val="auto"/>
              </w:rPr>
              <w:t>   Class</w:t>
            </w:r>
          </w:p>
        </w:tc>
        <w:tc>
          <w:tcPr>
            <w:tcW w:w="96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rPr>
              <w:t>Age</w:t>
            </w:r>
          </w:p>
        </w:tc>
        <w:tc>
          <w:tcPr>
            <w:tcW w:w="1200" w:type="dxa"/>
            <w:vAlign w:val="bottom"/>
            <w:tcBorders>
              <w:bottom w:val="single" w:sz="8" w:color="95B3D7"/>
            </w:tcBorders>
          </w:tcPr>
          <w:p>
            <w:pPr>
              <w:jc w:val="right"/>
              <w:ind w:right="579"/>
              <w:spacing w:after="0"/>
              <w:rPr>
                <w:sz w:val="20"/>
                <w:szCs w:val="20"/>
                <w:color w:val="auto"/>
              </w:rPr>
            </w:pPr>
            <w:r>
              <w:rPr>
                <w:rFonts w:ascii="Arial" w:cs="Arial" w:eastAsia="Arial" w:hAnsi="Arial"/>
                <w:sz w:val="16"/>
                <w:szCs w:val="16"/>
                <w:b w:val="1"/>
                <w:bCs w:val="1"/>
                <w:color w:val="auto"/>
              </w:rPr>
              <w:t>Since</w:t>
            </w:r>
          </w:p>
        </w:tc>
        <w:tc>
          <w:tcPr>
            <w:tcW w:w="960" w:type="dxa"/>
            <w:vAlign w:val="bottom"/>
            <w:tcBorders>
              <w:bottom w:val="single" w:sz="8" w:color="95B3D7"/>
            </w:tcBorders>
          </w:tcPr>
          <w:p>
            <w:pPr>
              <w:ind w:left="100"/>
              <w:spacing w:after="0"/>
              <w:rPr>
                <w:sz w:val="20"/>
                <w:szCs w:val="20"/>
                <w:color w:val="auto"/>
              </w:rPr>
            </w:pPr>
            <w:r>
              <w:rPr>
                <w:rFonts w:ascii="Arial" w:cs="Arial" w:eastAsia="Arial" w:hAnsi="Arial"/>
                <w:sz w:val="16"/>
                <w:szCs w:val="16"/>
                <w:b w:val="1"/>
                <w:bCs w:val="1"/>
                <w:color w:val="auto"/>
              </w:rPr>
              <w:t>Expires</w:t>
            </w:r>
          </w:p>
        </w:tc>
        <w:tc>
          <w:tcPr>
            <w:tcW w:w="1440" w:type="dxa"/>
            <w:vAlign w:val="bottom"/>
            <w:tcBorders>
              <w:bottom w:val="single" w:sz="8" w:color="95B3D7"/>
            </w:tcBorders>
          </w:tcPr>
          <w:p>
            <w:pPr>
              <w:ind w:left="100"/>
              <w:spacing w:after="0"/>
              <w:rPr>
                <w:sz w:val="20"/>
                <w:szCs w:val="20"/>
                <w:color w:val="auto"/>
              </w:rPr>
            </w:pPr>
            <w:r>
              <w:rPr>
                <w:rFonts w:ascii="Arial" w:cs="Arial" w:eastAsia="Arial" w:hAnsi="Arial"/>
                <w:sz w:val="16"/>
                <w:szCs w:val="16"/>
                <w:b w:val="1"/>
                <w:bCs w:val="1"/>
                <w:color w:val="auto"/>
              </w:rPr>
              <w:t>Independent</w:t>
            </w:r>
          </w:p>
        </w:tc>
        <w:tc>
          <w:tcPr>
            <w:tcW w:w="1960" w:type="dxa"/>
            <w:vAlign w:val="bottom"/>
            <w:tcBorders>
              <w:bottom w:val="single" w:sz="8" w:color="95B3D7"/>
            </w:tcBorders>
          </w:tcPr>
          <w:p>
            <w:pPr>
              <w:ind w:left="100"/>
              <w:spacing w:after="0"/>
              <w:rPr>
                <w:sz w:val="20"/>
                <w:szCs w:val="20"/>
                <w:color w:val="auto"/>
              </w:rPr>
            </w:pPr>
            <w:r>
              <w:rPr>
                <w:rFonts w:ascii="Arial" w:cs="Arial" w:eastAsia="Arial" w:hAnsi="Arial"/>
                <w:sz w:val="16"/>
                <w:szCs w:val="16"/>
                <w:b w:val="1"/>
                <w:bCs w:val="1"/>
                <w:color w:val="auto"/>
              </w:rPr>
              <w:t>Committees</w:t>
            </w:r>
          </w:p>
        </w:tc>
        <w:tc>
          <w:tcPr>
            <w:tcW w:w="1960" w:type="dxa"/>
            <w:vAlign w:val="bottom"/>
            <w:tcBorders>
              <w:bottom w:val="single" w:sz="8" w:color="95B3D7"/>
            </w:tcBorders>
          </w:tcPr>
          <w:p>
            <w:pPr>
              <w:ind w:left="100"/>
              <w:spacing w:after="0"/>
              <w:rPr>
                <w:sz w:val="20"/>
                <w:szCs w:val="20"/>
                <w:color w:val="auto"/>
              </w:rPr>
            </w:pPr>
            <w:r>
              <w:rPr>
                <w:rFonts w:ascii="Arial" w:cs="Arial" w:eastAsia="Arial" w:hAnsi="Arial"/>
                <w:sz w:val="16"/>
                <w:szCs w:val="16"/>
                <w:b w:val="1"/>
                <w:bCs w:val="1"/>
                <w:color w:val="auto"/>
              </w:rPr>
              <w:t>Company Boards</w:t>
            </w:r>
          </w:p>
        </w:tc>
        <w:tc>
          <w:tcPr>
            <w:tcW w:w="0" w:type="dxa"/>
            <w:vAlign w:val="bottom"/>
          </w:tcPr>
          <w:p>
            <w:pPr>
              <w:spacing w:after="0"/>
              <w:rPr>
                <w:sz w:val="1"/>
                <w:szCs w:val="1"/>
                <w:color w:val="auto"/>
              </w:rPr>
            </w:pPr>
          </w:p>
        </w:tc>
      </w:tr>
      <w:tr>
        <w:trPr>
          <w:trHeight w:val="263"/>
        </w:trPr>
        <w:tc>
          <w:tcPr>
            <w:tcW w:w="15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Thomas</w:t>
            </w:r>
          </w:p>
        </w:tc>
        <w:tc>
          <w:tcPr>
            <w:tcW w:w="960" w:type="dxa"/>
            <w:vAlign w:val="bottom"/>
            <w:tcBorders>
              <w:right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I</w:t>
            </w:r>
          </w:p>
        </w:tc>
        <w:tc>
          <w:tcPr>
            <w:tcW w:w="960" w:type="dxa"/>
            <w:vAlign w:val="bottom"/>
            <w:tcBorders>
              <w:right w:val="single" w:sz="8" w:color="95B3D7"/>
            </w:tcBorders>
            <w:shd w:val="clear" w:color="auto" w:fill="DBE5F1"/>
          </w:tcPr>
          <w:p>
            <w:pPr>
              <w:jc w:val="center"/>
              <w:ind w:left="19"/>
              <w:spacing w:after="0"/>
              <w:rPr>
                <w:sz w:val="20"/>
                <w:szCs w:val="20"/>
                <w:color w:val="auto"/>
              </w:rPr>
            </w:pPr>
            <w:r>
              <w:rPr>
                <w:rFonts w:ascii="Arial" w:cs="Arial" w:eastAsia="Arial" w:hAnsi="Arial"/>
                <w:sz w:val="16"/>
                <w:szCs w:val="16"/>
                <w:color w:val="auto"/>
              </w:rPr>
              <w:t>49</w:t>
            </w:r>
          </w:p>
        </w:tc>
        <w:tc>
          <w:tcPr>
            <w:tcW w:w="1200" w:type="dxa"/>
            <w:vAlign w:val="bottom"/>
            <w:tcBorders>
              <w:right w:val="single" w:sz="8" w:color="95B3D7"/>
            </w:tcBorders>
            <w:shd w:val="clear" w:color="auto" w:fill="DBE5F1"/>
          </w:tcPr>
          <w:p>
            <w:pPr>
              <w:jc w:val="right"/>
              <w:ind w:right="299"/>
              <w:spacing w:after="0"/>
              <w:rPr>
                <w:sz w:val="20"/>
                <w:szCs w:val="20"/>
                <w:color w:val="auto"/>
              </w:rPr>
            </w:pPr>
            <w:r>
              <w:rPr>
                <w:rFonts w:ascii="Arial" w:cs="Arial" w:eastAsia="Arial" w:hAnsi="Arial"/>
                <w:sz w:val="16"/>
                <w:szCs w:val="16"/>
                <w:color w:val="auto"/>
              </w:rPr>
              <w:t>2017</w:t>
            </w:r>
          </w:p>
        </w:tc>
        <w:tc>
          <w:tcPr>
            <w:tcW w:w="960" w:type="dxa"/>
            <w:vAlign w:val="bottom"/>
            <w:tcBorders>
              <w:right w:val="single" w:sz="8" w:color="95B3D7"/>
            </w:tcBorders>
            <w:shd w:val="clear" w:color="auto" w:fill="DBE5F1"/>
          </w:tcPr>
          <w:p>
            <w:pPr>
              <w:jc w:val="right"/>
              <w:ind w:right="179"/>
              <w:spacing w:after="0"/>
              <w:rPr>
                <w:sz w:val="20"/>
                <w:szCs w:val="20"/>
                <w:color w:val="auto"/>
              </w:rPr>
            </w:pPr>
            <w:r>
              <w:rPr>
                <w:rFonts w:ascii="Arial" w:cs="Arial" w:eastAsia="Arial" w:hAnsi="Arial"/>
                <w:sz w:val="16"/>
                <w:szCs w:val="16"/>
                <w:color w:val="auto"/>
              </w:rPr>
              <w:t>2025</w:t>
            </w:r>
          </w:p>
        </w:tc>
        <w:tc>
          <w:tcPr>
            <w:tcW w:w="144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6"/>
                <w:szCs w:val="16"/>
                <w:color w:val="auto"/>
              </w:rPr>
              <w:t>Yes</w:t>
            </w:r>
          </w:p>
        </w:tc>
        <w:tc>
          <w:tcPr>
            <w:tcW w:w="1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Compensation</w:t>
            </w:r>
          </w:p>
        </w:tc>
        <w:tc>
          <w:tcPr>
            <w:tcW w:w="1960" w:type="dxa"/>
            <w:vAlign w:val="bottom"/>
            <w:shd w:val="clear" w:color="auto" w:fill="DBE5F1"/>
          </w:tcPr>
          <w:p>
            <w:pPr>
              <w:ind w:lef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580" w:type="dxa"/>
            <w:vAlign w:val="bottom"/>
            <w:tcBorders>
              <w:bottom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Carella</w:t>
            </w:r>
          </w:p>
        </w:tc>
        <w:tc>
          <w:tcPr>
            <w:tcW w:w="960" w:type="dxa"/>
            <w:vAlign w:val="bottom"/>
            <w:tcBorders>
              <w:bottom w:val="single" w:sz="8" w:color="95B3D7"/>
              <w:right w:val="single" w:sz="8" w:color="95B3D7"/>
            </w:tcBorders>
            <w:shd w:val="clear" w:color="auto" w:fill="DBE5F1"/>
          </w:tcPr>
          <w:p>
            <w:pPr>
              <w:spacing w:after="0"/>
              <w:rPr>
                <w:sz w:val="18"/>
                <w:szCs w:val="18"/>
                <w:color w:val="auto"/>
              </w:rPr>
            </w:pPr>
          </w:p>
        </w:tc>
        <w:tc>
          <w:tcPr>
            <w:tcW w:w="960" w:type="dxa"/>
            <w:vAlign w:val="bottom"/>
            <w:tcBorders>
              <w:bottom w:val="single" w:sz="8" w:color="95B3D7"/>
              <w:right w:val="single" w:sz="8" w:color="95B3D7"/>
            </w:tcBorders>
            <w:shd w:val="clear" w:color="auto" w:fill="DBE5F1"/>
          </w:tcPr>
          <w:p>
            <w:pPr>
              <w:spacing w:after="0"/>
              <w:rPr>
                <w:sz w:val="18"/>
                <w:szCs w:val="18"/>
                <w:color w:val="auto"/>
              </w:rPr>
            </w:pPr>
          </w:p>
        </w:tc>
        <w:tc>
          <w:tcPr>
            <w:tcW w:w="1200" w:type="dxa"/>
            <w:vAlign w:val="bottom"/>
            <w:tcBorders>
              <w:bottom w:val="single" w:sz="8" w:color="95B3D7"/>
              <w:right w:val="single" w:sz="8" w:color="95B3D7"/>
            </w:tcBorders>
            <w:shd w:val="clear" w:color="auto" w:fill="DBE5F1"/>
          </w:tcPr>
          <w:p>
            <w:pPr>
              <w:spacing w:after="0"/>
              <w:rPr>
                <w:sz w:val="18"/>
                <w:szCs w:val="18"/>
                <w:color w:val="auto"/>
              </w:rPr>
            </w:pPr>
          </w:p>
        </w:tc>
        <w:tc>
          <w:tcPr>
            <w:tcW w:w="960" w:type="dxa"/>
            <w:vAlign w:val="bottom"/>
            <w:tcBorders>
              <w:bottom w:val="single" w:sz="8" w:color="95B3D7"/>
              <w:right w:val="single" w:sz="8" w:color="95B3D7"/>
            </w:tcBorders>
            <w:shd w:val="clear" w:color="auto" w:fill="DBE5F1"/>
          </w:tcPr>
          <w:p>
            <w:pPr>
              <w:spacing w:after="0"/>
              <w:rPr>
                <w:sz w:val="18"/>
                <w:szCs w:val="18"/>
                <w:color w:val="auto"/>
              </w:rPr>
            </w:pPr>
          </w:p>
        </w:tc>
        <w:tc>
          <w:tcPr>
            <w:tcW w:w="1440" w:type="dxa"/>
            <w:vAlign w:val="bottom"/>
            <w:tcBorders>
              <w:bottom w:val="single" w:sz="8" w:color="95B3D7"/>
              <w:right w:val="single" w:sz="8" w:color="95B3D7"/>
            </w:tcBorders>
            <w:shd w:val="clear" w:color="auto" w:fill="DBE5F1"/>
          </w:tcPr>
          <w:p>
            <w:pPr>
              <w:spacing w:after="0"/>
              <w:rPr>
                <w:sz w:val="18"/>
                <w:szCs w:val="18"/>
                <w:color w:val="auto"/>
              </w:rPr>
            </w:pPr>
          </w:p>
        </w:tc>
        <w:tc>
          <w:tcPr>
            <w:tcW w:w="1960" w:type="dxa"/>
            <w:vAlign w:val="bottom"/>
            <w:tcBorders>
              <w:bottom w:val="single" w:sz="8" w:color="95B3D7"/>
              <w:right w:val="single" w:sz="8" w:color="95B3D7"/>
            </w:tcBorders>
            <w:shd w:val="clear" w:color="auto" w:fill="DBE5F1"/>
          </w:tcPr>
          <w:p>
            <w:pPr>
              <w:spacing w:after="0"/>
              <w:rPr>
                <w:sz w:val="18"/>
                <w:szCs w:val="18"/>
                <w:color w:val="auto"/>
              </w:rPr>
            </w:pPr>
          </w:p>
        </w:tc>
        <w:tc>
          <w:tcPr>
            <w:tcW w:w="1960" w:type="dxa"/>
            <w:vAlign w:val="bottom"/>
            <w:tcBorders>
              <w:bottom w:val="single" w:sz="8" w:color="95B3D7"/>
            </w:tcBorders>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1580" w:type="dxa"/>
            <w:vAlign w:val="bottom"/>
            <w:tcBorders>
              <w:right w:val="single" w:sz="8" w:color="95B3D7"/>
            </w:tcBorders>
          </w:tcPr>
          <w:p>
            <w:pPr>
              <w:ind w:left="140"/>
              <w:spacing w:after="0"/>
              <w:rPr>
                <w:sz w:val="20"/>
                <w:szCs w:val="20"/>
                <w:color w:val="auto"/>
              </w:rPr>
            </w:pPr>
            <w:r>
              <w:rPr>
                <w:rFonts w:ascii="Arial" w:cs="Arial" w:eastAsia="Arial" w:hAnsi="Arial"/>
                <w:sz w:val="16"/>
                <w:szCs w:val="16"/>
                <w:color w:val="auto"/>
              </w:rPr>
              <w:t>Mark</w:t>
            </w:r>
          </w:p>
        </w:tc>
        <w:tc>
          <w:tcPr>
            <w:tcW w:w="960" w:type="dxa"/>
            <w:vAlign w:val="bottom"/>
            <w:tcBorders>
              <w:right w:val="single" w:sz="8" w:color="95B3D7"/>
            </w:tcBorders>
          </w:tcPr>
          <w:p>
            <w:pPr>
              <w:ind w:left="420"/>
              <w:spacing w:after="0"/>
              <w:rPr>
                <w:sz w:val="20"/>
                <w:szCs w:val="20"/>
                <w:color w:val="auto"/>
              </w:rPr>
            </w:pPr>
            <w:r>
              <w:rPr>
                <w:rFonts w:ascii="Arial" w:cs="Arial" w:eastAsia="Arial" w:hAnsi="Arial"/>
                <w:sz w:val="16"/>
                <w:szCs w:val="16"/>
                <w:color w:val="auto"/>
              </w:rPr>
              <w:t>I</w:t>
            </w:r>
          </w:p>
        </w:tc>
        <w:tc>
          <w:tcPr>
            <w:tcW w:w="960" w:type="dxa"/>
            <w:vAlign w:val="bottom"/>
            <w:tcBorders>
              <w:right w:val="single" w:sz="8" w:color="95B3D7"/>
            </w:tcBorders>
          </w:tcPr>
          <w:p>
            <w:pPr>
              <w:jc w:val="center"/>
              <w:ind w:left="19"/>
              <w:spacing w:after="0"/>
              <w:rPr>
                <w:sz w:val="20"/>
                <w:szCs w:val="20"/>
                <w:color w:val="auto"/>
              </w:rPr>
            </w:pPr>
            <w:r>
              <w:rPr>
                <w:rFonts w:ascii="Arial" w:cs="Arial" w:eastAsia="Arial" w:hAnsi="Arial"/>
                <w:sz w:val="16"/>
                <w:szCs w:val="16"/>
                <w:color w:val="auto"/>
              </w:rPr>
              <w:t>60</w:t>
            </w:r>
          </w:p>
        </w:tc>
        <w:tc>
          <w:tcPr>
            <w:tcW w:w="1200" w:type="dxa"/>
            <w:vAlign w:val="bottom"/>
            <w:tcBorders>
              <w:right w:val="single" w:sz="8" w:color="95B3D7"/>
            </w:tcBorders>
          </w:tcPr>
          <w:p>
            <w:pPr>
              <w:jc w:val="right"/>
              <w:ind w:right="299"/>
              <w:spacing w:after="0"/>
              <w:rPr>
                <w:sz w:val="20"/>
                <w:szCs w:val="20"/>
                <w:color w:val="auto"/>
              </w:rPr>
            </w:pPr>
            <w:r>
              <w:rPr>
                <w:rFonts w:ascii="Arial" w:cs="Arial" w:eastAsia="Arial" w:hAnsi="Arial"/>
                <w:sz w:val="16"/>
                <w:szCs w:val="16"/>
                <w:color w:val="auto"/>
              </w:rPr>
              <w:t>2014</w:t>
            </w:r>
          </w:p>
        </w:tc>
        <w:tc>
          <w:tcPr>
            <w:tcW w:w="960" w:type="dxa"/>
            <w:vAlign w:val="bottom"/>
            <w:tcBorders>
              <w:right w:val="single" w:sz="8" w:color="95B3D7"/>
            </w:tcBorders>
          </w:tcPr>
          <w:p>
            <w:pPr>
              <w:jc w:val="right"/>
              <w:ind w:right="179"/>
              <w:spacing w:after="0"/>
              <w:rPr>
                <w:sz w:val="20"/>
                <w:szCs w:val="20"/>
                <w:color w:val="auto"/>
              </w:rPr>
            </w:pPr>
            <w:r>
              <w:rPr>
                <w:rFonts w:ascii="Arial" w:cs="Arial" w:eastAsia="Arial" w:hAnsi="Arial"/>
                <w:sz w:val="16"/>
                <w:szCs w:val="16"/>
                <w:color w:val="auto"/>
              </w:rPr>
              <w:t>2025</w:t>
            </w:r>
          </w:p>
        </w:tc>
        <w:tc>
          <w:tcPr>
            <w:tcW w:w="1440" w:type="dxa"/>
            <w:vAlign w:val="bottom"/>
            <w:tcBorders>
              <w:right w:val="single" w:sz="8" w:color="95B3D7"/>
            </w:tcBorders>
          </w:tcPr>
          <w:p>
            <w:pPr>
              <w:ind w:left="640"/>
              <w:spacing w:after="0"/>
              <w:rPr>
                <w:sz w:val="20"/>
                <w:szCs w:val="20"/>
                <w:color w:val="auto"/>
              </w:rPr>
            </w:pPr>
            <w:r>
              <w:rPr>
                <w:rFonts w:ascii="Arial" w:cs="Arial" w:eastAsia="Arial" w:hAnsi="Arial"/>
                <w:sz w:val="16"/>
                <w:szCs w:val="16"/>
                <w:color w:val="auto"/>
              </w:rPr>
              <w:t>Yes</w:t>
            </w:r>
          </w:p>
        </w:tc>
        <w:tc>
          <w:tcPr>
            <w:tcW w:w="19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w:t>
            </w: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 Cigna Corporation</w:t>
            </w:r>
          </w:p>
        </w:tc>
        <w:tc>
          <w:tcPr>
            <w:tcW w:w="0" w:type="dxa"/>
            <w:vAlign w:val="bottom"/>
          </w:tcPr>
          <w:p>
            <w:pPr>
              <w:spacing w:after="0"/>
              <w:rPr>
                <w:sz w:val="1"/>
                <w:szCs w:val="1"/>
                <w:color w:val="auto"/>
              </w:rPr>
            </w:pPr>
          </w:p>
        </w:tc>
      </w:tr>
      <w:tr>
        <w:trPr>
          <w:trHeight w:val="215"/>
        </w:trPr>
        <w:tc>
          <w:tcPr>
            <w:tcW w:w="1580" w:type="dxa"/>
            <w:vAlign w:val="bottom"/>
            <w:tcBorders>
              <w:right w:val="single" w:sz="8" w:color="95B3D7"/>
            </w:tcBorders>
          </w:tcPr>
          <w:p>
            <w:pPr>
              <w:ind w:left="140"/>
              <w:spacing w:after="0"/>
              <w:rPr>
                <w:sz w:val="20"/>
                <w:szCs w:val="20"/>
                <w:color w:val="auto"/>
              </w:rPr>
            </w:pPr>
            <w:r>
              <w:rPr>
                <w:rFonts w:ascii="Arial" w:cs="Arial" w:eastAsia="Arial" w:hAnsi="Arial"/>
                <w:sz w:val="16"/>
                <w:szCs w:val="16"/>
                <w:color w:val="auto"/>
              </w:rPr>
              <w:t>McClellan</w:t>
            </w:r>
          </w:p>
        </w:tc>
        <w:tc>
          <w:tcPr>
            <w:tcW w:w="960" w:type="dxa"/>
            <w:vAlign w:val="bottom"/>
            <w:tcBorders>
              <w:right w:val="single" w:sz="8" w:color="95B3D7"/>
            </w:tcBorders>
          </w:tcPr>
          <w:p>
            <w:pPr>
              <w:spacing w:after="0"/>
              <w:rPr>
                <w:sz w:val="18"/>
                <w:szCs w:val="18"/>
                <w:color w:val="auto"/>
              </w:rPr>
            </w:pPr>
          </w:p>
        </w:tc>
        <w:tc>
          <w:tcPr>
            <w:tcW w:w="960" w:type="dxa"/>
            <w:vAlign w:val="bottom"/>
            <w:tcBorders>
              <w:right w:val="single" w:sz="8" w:color="95B3D7"/>
            </w:tcBorders>
          </w:tcPr>
          <w:p>
            <w:pPr>
              <w:spacing w:after="0"/>
              <w:rPr>
                <w:sz w:val="18"/>
                <w:szCs w:val="18"/>
                <w:color w:val="auto"/>
              </w:rPr>
            </w:pPr>
          </w:p>
        </w:tc>
        <w:tc>
          <w:tcPr>
            <w:tcW w:w="1200" w:type="dxa"/>
            <w:vAlign w:val="bottom"/>
            <w:tcBorders>
              <w:right w:val="single" w:sz="8" w:color="95B3D7"/>
            </w:tcBorders>
          </w:tcPr>
          <w:p>
            <w:pPr>
              <w:spacing w:after="0"/>
              <w:rPr>
                <w:sz w:val="18"/>
                <w:szCs w:val="18"/>
                <w:color w:val="auto"/>
              </w:rPr>
            </w:pPr>
          </w:p>
        </w:tc>
        <w:tc>
          <w:tcPr>
            <w:tcW w:w="960" w:type="dxa"/>
            <w:vAlign w:val="bottom"/>
            <w:tcBorders>
              <w:right w:val="single" w:sz="8" w:color="95B3D7"/>
            </w:tcBorders>
          </w:tcPr>
          <w:p>
            <w:pPr>
              <w:spacing w:after="0"/>
              <w:rPr>
                <w:sz w:val="18"/>
                <w:szCs w:val="18"/>
                <w:color w:val="auto"/>
              </w:rPr>
            </w:pPr>
          </w:p>
        </w:tc>
        <w:tc>
          <w:tcPr>
            <w:tcW w:w="1440" w:type="dxa"/>
            <w:vAlign w:val="bottom"/>
            <w:tcBorders>
              <w:right w:val="single" w:sz="8" w:color="95B3D7"/>
            </w:tcBorders>
          </w:tcPr>
          <w:p>
            <w:pPr>
              <w:spacing w:after="0"/>
              <w:rPr>
                <w:sz w:val="18"/>
                <w:szCs w:val="18"/>
                <w:color w:val="auto"/>
              </w:rPr>
            </w:pPr>
          </w:p>
        </w:tc>
        <w:tc>
          <w:tcPr>
            <w:tcW w:w="1960" w:type="dxa"/>
            <w:vAlign w:val="bottom"/>
            <w:tcBorders>
              <w:right w:val="single" w:sz="8" w:color="95B3D7"/>
            </w:tcBorders>
          </w:tcPr>
          <w:p>
            <w:pPr>
              <w:spacing w:after="0"/>
              <w:rPr>
                <w:sz w:val="18"/>
                <w:szCs w:val="18"/>
                <w:color w:val="auto"/>
              </w:rPr>
            </w:pPr>
          </w:p>
        </w:tc>
        <w:tc>
          <w:tcPr>
            <w:tcW w:w="19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 Johnson &amp; Johnson</w:t>
            </w:r>
          </w:p>
        </w:tc>
        <w:tc>
          <w:tcPr>
            <w:tcW w:w="0" w:type="dxa"/>
            <w:vAlign w:val="bottom"/>
          </w:tcPr>
          <w:p>
            <w:pPr>
              <w:spacing w:after="0"/>
              <w:rPr>
                <w:sz w:val="1"/>
                <w:szCs w:val="1"/>
                <w:color w:val="auto"/>
              </w:rPr>
            </w:pPr>
          </w:p>
        </w:tc>
      </w:tr>
      <w:tr>
        <w:trPr>
          <w:trHeight w:val="168"/>
        </w:trPr>
        <w:tc>
          <w:tcPr>
            <w:tcW w:w="1580" w:type="dxa"/>
            <w:vAlign w:val="bottom"/>
            <w:tcBorders>
              <w:right w:val="single" w:sz="8" w:color="95B3D7"/>
            </w:tcBorders>
          </w:tcPr>
          <w:p>
            <w:pPr>
              <w:spacing w:after="0"/>
              <w:rPr>
                <w:sz w:val="14"/>
                <w:szCs w:val="14"/>
                <w:color w:val="auto"/>
              </w:rPr>
            </w:pPr>
          </w:p>
        </w:tc>
        <w:tc>
          <w:tcPr>
            <w:tcW w:w="960" w:type="dxa"/>
            <w:vAlign w:val="bottom"/>
            <w:tcBorders>
              <w:right w:val="single" w:sz="8" w:color="95B3D7"/>
            </w:tcBorders>
          </w:tcPr>
          <w:p>
            <w:pPr>
              <w:spacing w:after="0"/>
              <w:rPr>
                <w:sz w:val="14"/>
                <w:szCs w:val="14"/>
                <w:color w:val="auto"/>
              </w:rPr>
            </w:pPr>
          </w:p>
        </w:tc>
        <w:tc>
          <w:tcPr>
            <w:tcW w:w="960" w:type="dxa"/>
            <w:vAlign w:val="bottom"/>
            <w:tcBorders>
              <w:right w:val="single" w:sz="8" w:color="95B3D7"/>
            </w:tcBorders>
          </w:tcPr>
          <w:p>
            <w:pPr>
              <w:spacing w:after="0"/>
              <w:rPr>
                <w:sz w:val="14"/>
                <w:szCs w:val="14"/>
                <w:color w:val="auto"/>
              </w:rPr>
            </w:pPr>
          </w:p>
        </w:tc>
        <w:tc>
          <w:tcPr>
            <w:tcW w:w="1200" w:type="dxa"/>
            <w:vAlign w:val="bottom"/>
            <w:tcBorders>
              <w:right w:val="single" w:sz="8" w:color="95B3D7"/>
            </w:tcBorders>
          </w:tcPr>
          <w:p>
            <w:pPr>
              <w:spacing w:after="0"/>
              <w:rPr>
                <w:sz w:val="14"/>
                <w:szCs w:val="14"/>
                <w:color w:val="auto"/>
              </w:rPr>
            </w:pPr>
          </w:p>
        </w:tc>
        <w:tc>
          <w:tcPr>
            <w:tcW w:w="960" w:type="dxa"/>
            <w:vAlign w:val="bottom"/>
            <w:tcBorders>
              <w:right w:val="single" w:sz="8" w:color="95B3D7"/>
            </w:tcBorders>
          </w:tcPr>
          <w:p>
            <w:pPr>
              <w:spacing w:after="0"/>
              <w:rPr>
                <w:sz w:val="14"/>
                <w:szCs w:val="14"/>
                <w:color w:val="auto"/>
              </w:rPr>
            </w:pPr>
          </w:p>
        </w:tc>
        <w:tc>
          <w:tcPr>
            <w:tcW w:w="1440" w:type="dxa"/>
            <w:vAlign w:val="bottom"/>
            <w:tcBorders>
              <w:right w:val="single" w:sz="8" w:color="95B3D7"/>
            </w:tcBorders>
          </w:tcPr>
          <w:p>
            <w:pPr>
              <w:spacing w:after="0"/>
              <w:rPr>
                <w:sz w:val="14"/>
                <w:szCs w:val="14"/>
                <w:color w:val="auto"/>
              </w:rPr>
            </w:pPr>
          </w:p>
        </w:tc>
        <w:tc>
          <w:tcPr>
            <w:tcW w:w="1960" w:type="dxa"/>
            <w:vAlign w:val="bottom"/>
            <w:tcBorders>
              <w:right w:val="single" w:sz="8" w:color="95B3D7"/>
            </w:tcBorders>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580" w:type="dxa"/>
            <w:vAlign w:val="bottom"/>
            <w:tcBorders>
              <w:bottom w:val="single" w:sz="8" w:color="95B3D7"/>
              <w:right w:val="single" w:sz="8" w:color="95B3D7"/>
            </w:tcBorders>
          </w:tcPr>
          <w:p>
            <w:pPr>
              <w:spacing w:after="0"/>
              <w:rPr>
                <w:sz w:val="11"/>
                <w:szCs w:val="11"/>
                <w:color w:val="auto"/>
              </w:rPr>
            </w:pPr>
          </w:p>
        </w:tc>
        <w:tc>
          <w:tcPr>
            <w:tcW w:w="960" w:type="dxa"/>
            <w:vAlign w:val="bottom"/>
            <w:tcBorders>
              <w:bottom w:val="single" w:sz="8" w:color="95B3D7"/>
              <w:right w:val="single" w:sz="8" w:color="95B3D7"/>
            </w:tcBorders>
          </w:tcPr>
          <w:p>
            <w:pPr>
              <w:spacing w:after="0"/>
              <w:rPr>
                <w:sz w:val="11"/>
                <w:szCs w:val="11"/>
                <w:color w:val="auto"/>
              </w:rPr>
            </w:pPr>
          </w:p>
        </w:tc>
        <w:tc>
          <w:tcPr>
            <w:tcW w:w="960" w:type="dxa"/>
            <w:vAlign w:val="bottom"/>
            <w:tcBorders>
              <w:bottom w:val="single" w:sz="8" w:color="95B3D7"/>
              <w:right w:val="single" w:sz="8" w:color="95B3D7"/>
            </w:tcBorders>
          </w:tcPr>
          <w:p>
            <w:pPr>
              <w:spacing w:after="0"/>
              <w:rPr>
                <w:sz w:val="11"/>
                <w:szCs w:val="11"/>
                <w:color w:val="auto"/>
              </w:rPr>
            </w:pPr>
          </w:p>
        </w:tc>
        <w:tc>
          <w:tcPr>
            <w:tcW w:w="1200" w:type="dxa"/>
            <w:vAlign w:val="bottom"/>
            <w:tcBorders>
              <w:bottom w:val="single" w:sz="8" w:color="95B3D7"/>
              <w:right w:val="single" w:sz="8" w:color="95B3D7"/>
            </w:tcBorders>
          </w:tcPr>
          <w:p>
            <w:pPr>
              <w:spacing w:after="0"/>
              <w:rPr>
                <w:sz w:val="11"/>
                <w:szCs w:val="11"/>
                <w:color w:val="auto"/>
              </w:rPr>
            </w:pPr>
          </w:p>
        </w:tc>
        <w:tc>
          <w:tcPr>
            <w:tcW w:w="960" w:type="dxa"/>
            <w:vAlign w:val="bottom"/>
            <w:tcBorders>
              <w:bottom w:val="single" w:sz="8" w:color="95B3D7"/>
              <w:right w:val="single" w:sz="8" w:color="95B3D7"/>
            </w:tcBorders>
          </w:tcPr>
          <w:p>
            <w:pPr>
              <w:spacing w:after="0"/>
              <w:rPr>
                <w:sz w:val="11"/>
                <w:szCs w:val="11"/>
                <w:color w:val="auto"/>
              </w:rPr>
            </w:pPr>
          </w:p>
        </w:tc>
        <w:tc>
          <w:tcPr>
            <w:tcW w:w="1440" w:type="dxa"/>
            <w:vAlign w:val="bottom"/>
            <w:tcBorders>
              <w:bottom w:val="single" w:sz="8" w:color="95B3D7"/>
              <w:right w:val="single" w:sz="8" w:color="95B3D7"/>
            </w:tcBorders>
          </w:tcPr>
          <w:p>
            <w:pPr>
              <w:spacing w:after="0"/>
              <w:rPr>
                <w:sz w:val="11"/>
                <w:szCs w:val="11"/>
                <w:color w:val="auto"/>
              </w:rPr>
            </w:pPr>
          </w:p>
        </w:tc>
        <w:tc>
          <w:tcPr>
            <w:tcW w:w="1960" w:type="dxa"/>
            <w:vAlign w:val="bottom"/>
            <w:tcBorders>
              <w:bottom w:val="single" w:sz="8" w:color="95B3D7"/>
              <w:right w:val="single" w:sz="8" w:color="95B3D7"/>
            </w:tcBorders>
          </w:tcPr>
          <w:p>
            <w:pPr>
              <w:spacing w:after="0"/>
              <w:rPr>
                <w:sz w:val="11"/>
                <w:szCs w:val="11"/>
                <w:color w:val="auto"/>
              </w:rPr>
            </w:pPr>
          </w:p>
        </w:tc>
        <w:tc>
          <w:tcPr>
            <w:tcW w:w="1960" w:type="dxa"/>
            <w:vAlign w:val="bottom"/>
            <w:tcBorders>
              <w:bottom w:val="single" w:sz="8" w:color="95B3D7"/>
            </w:tcBorders>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15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Robbert</w:t>
            </w:r>
          </w:p>
        </w:tc>
        <w:tc>
          <w:tcPr>
            <w:tcW w:w="960" w:type="dxa"/>
            <w:vAlign w:val="bottom"/>
            <w:tcBorders>
              <w:right w:val="single" w:sz="8" w:color="95B3D7"/>
            </w:tcBorders>
            <w:shd w:val="clear" w:color="auto" w:fill="DBE5F1"/>
          </w:tcPr>
          <w:p>
            <w:pPr>
              <w:ind w:left="420"/>
              <w:spacing w:after="0"/>
              <w:rPr>
                <w:sz w:val="20"/>
                <w:szCs w:val="20"/>
                <w:color w:val="auto"/>
              </w:rPr>
            </w:pPr>
            <w:r>
              <w:rPr>
                <w:rFonts w:ascii="Arial" w:cs="Arial" w:eastAsia="Arial" w:hAnsi="Arial"/>
                <w:sz w:val="16"/>
                <w:szCs w:val="16"/>
                <w:color w:val="auto"/>
              </w:rPr>
              <w:t>I</w:t>
            </w:r>
          </w:p>
        </w:tc>
        <w:tc>
          <w:tcPr>
            <w:tcW w:w="960" w:type="dxa"/>
            <w:vAlign w:val="bottom"/>
            <w:tcBorders>
              <w:right w:val="single" w:sz="8" w:color="95B3D7"/>
            </w:tcBorders>
            <w:shd w:val="clear" w:color="auto" w:fill="DBE5F1"/>
          </w:tcPr>
          <w:p>
            <w:pPr>
              <w:jc w:val="center"/>
              <w:ind w:left="19"/>
              <w:spacing w:after="0"/>
              <w:rPr>
                <w:sz w:val="20"/>
                <w:szCs w:val="20"/>
                <w:color w:val="auto"/>
              </w:rPr>
            </w:pPr>
            <w:r>
              <w:rPr>
                <w:rFonts w:ascii="Arial" w:cs="Arial" w:eastAsia="Arial" w:hAnsi="Arial"/>
                <w:sz w:val="16"/>
                <w:szCs w:val="16"/>
                <w:color w:val="auto"/>
              </w:rPr>
              <w:t>45</w:t>
            </w:r>
          </w:p>
        </w:tc>
        <w:tc>
          <w:tcPr>
            <w:tcW w:w="1200" w:type="dxa"/>
            <w:vAlign w:val="bottom"/>
            <w:tcBorders>
              <w:right w:val="single" w:sz="8" w:color="95B3D7"/>
            </w:tcBorders>
            <w:shd w:val="clear" w:color="auto" w:fill="DBE5F1"/>
          </w:tcPr>
          <w:p>
            <w:pPr>
              <w:jc w:val="right"/>
              <w:ind w:right="299"/>
              <w:spacing w:after="0"/>
              <w:rPr>
                <w:sz w:val="20"/>
                <w:szCs w:val="20"/>
                <w:color w:val="auto"/>
              </w:rPr>
            </w:pPr>
            <w:r>
              <w:rPr>
                <w:rFonts w:ascii="Arial" w:cs="Arial" w:eastAsia="Arial" w:hAnsi="Arial"/>
                <w:sz w:val="16"/>
                <w:szCs w:val="16"/>
                <w:color w:val="auto"/>
              </w:rPr>
              <w:t>2014</w:t>
            </w:r>
          </w:p>
        </w:tc>
        <w:tc>
          <w:tcPr>
            <w:tcW w:w="960" w:type="dxa"/>
            <w:vAlign w:val="bottom"/>
            <w:tcBorders>
              <w:right w:val="single" w:sz="8" w:color="95B3D7"/>
            </w:tcBorders>
            <w:shd w:val="clear" w:color="auto" w:fill="DBE5F1"/>
          </w:tcPr>
          <w:p>
            <w:pPr>
              <w:jc w:val="right"/>
              <w:ind w:right="179"/>
              <w:spacing w:after="0"/>
              <w:rPr>
                <w:sz w:val="20"/>
                <w:szCs w:val="20"/>
                <w:color w:val="auto"/>
              </w:rPr>
            </w:pPr>
            <w:r>
              <w:rPr>
                <w:rFonts w:ascii="Arial" w:cs="Arial" w:eastAsia="Arial" w:hAnsi="Arial"/>
                <w:sz w:val="16"/>
                <w:szCs w:val="16"/>
                <w:color w:val="auto"/>
              </w:rPr>
              <w:t>2025</w:t>
            </w:r>
          </w:p>
        </w:tc>
        <w:tc>
          <w:tcPr>
            <w:tcW w:w="144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6"/>
                <w:szCs w:val="16"/>
                <w:color w:val="auto"/>
              </w:rPr>
              <w:t>Yes</w:t>
            </w:r>
          </w:p>
        </w:tc>
        <w:tc>
          <w:tcPr>
            <w:tcW w:w="1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Compensation</w:t>
            </w:r>
          </w:p>
        </w:tc>
        <w:tc>
          <w:tcPr>
            <w:tcW w:w="196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 Oak Street Health,</w:t>
            </w:r>
          </w:p>
        </w:tc>
        <w:tc>
          <w:tcPr>
            <w:tcW w:w="0" w:type="dxa"/>
            <w:vAlign w:val="bottom"/>
          </w:tcPr>
          <w:p>
            <w:pPr>
              <w:spacing w:after="0"/>
              <w:rPr>
                <w:sz w:val="1"/>
                <w:szCs w:val="1"/>
                <w:color w:val="auto"/>
              </w:rPr>
            </w:pPr>
          </w:p>
        </w:tc>
      </w:tr>
      <w:tr>
        <w:trPr>
          <w:trHeight w:val="244"/>
        </w:trPr>
        <w:tc>
          <w:tcPr>
            <w:tcW w:w="1580" w:type="dxa"/>
            <w:vAlign w:val="bottom"/>
            <w:tcBorders>
              <w:bottom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Vorhoff</w:t>
            </w:r>
          </w:p>
        </w:tc>
        <w:tc>
          <w:tcPr>
            <w:tcW w:w="960" w:type="dxa"/>
            <w:vAlign w:val="bottom"/>
            <w:tcBorders>
              <w:bottom w:val="single" w:sz="8" w:color="95B3D7"/>
              <w:right w:val="single" w:sz="8" w:color="95B3D7"/>
            </w:tcBorders>
            <w:shd w:val="clear" w:color="auto" w:fill="DBE5F1"/>
          </w:tcPr>
          <w:p>
            <w:pPr>
              <w:spacing w:after="0"/>
              <w:rPr>
                <w:sz w:val="21"/>
                <w:szCs w:val="21"/>
                <w:color w:val="auto"/>
              </w:rPr>
            </w:pPr>
          </w:p>
        </w:tc>
        <w:tc>
          <w:tcPr>
            <w:tcW w:w="960" w:type="dxa"/>
            <w:vAlign w:val="bottom"/>
            <w:tcBorders>
              <w:bottom w:val="single" w:sz="8" w:color="95B3D7"/>
              <w:right w:val="single" w:sz="8" w:color="95B3D7"/>
            </w:tcBorders>
            <w:shd w:val="clear" w:color="auto" w:fill="DBE5F1"/>
          </w:tcPr>
          <w:p>
            <w:pPr>
              <w:spacing w:after="0"/>
              <w:rPr>
                <w:sz w:val="21"/>
                <w:szCs w:val="21"/>
                <w:color w:val="auto"/>
              </w:rPr>
            </w:pPr>
          </w:p>
        </w:tc>
        <w:tc>
          <w:tcPr>
            <w:tcW w:w="1200" w:type="dxa"/>
            <w:vAlign w:val="bottom"/>
            <w:tcBorders>
              <w:bottom w:val="single" w:sz="8" w:color="95B3D7"/>
              <w:right w:val="single" w:sz="8" w:color="95B3D7"/>
            </w:tcBorders>
            <w:shd w:val="clear" w:color="auto" w:fill="DBE5F1"/>
          </w:tcPr>
          <w:p>
            <w:pPr>
              <w:spacing w:after="0"/>
              <w:rPr>
                <w:sz w:val="21"/>
                <w:szCs w:val="21"/>
                <w:color w:val="auto"/>
              </w:rPr>
            </w:pPr>
          </w:p>
        </w:tc>
        <w:tc>
          <w:tcPr>
            <w:tcW w:w="960" w:type="dxa"/>
            <w:vAlign w:val="bottom"/>
            <w:tcBorders>
              <w:bottom w:val="single" w:sz="8" w:color="95B3D7"/>
              <w:right w:val="single" w:sz="8" w:color="95B3D7"/>
            </w:tcBorders>
            <w:shd w:val="clear" w:color="auto" w:fill="DBE5F1"/>
          </w:tcPr>
          <w:p>
            <w:pPr>
              <w:spacing w:after="0"/>
              <w:rPr>
                <w:sz w:val="21"/>
                <w:szCs w:val="21"/>
                <w:color w:val="auto"/>
              </w:rPr>
            </w:pPr>
          </w:p>
        </w:tc>
        <w:tc>
          <w:tcPr>
            <w:tcW w:w="1440" w:type="dxa"/>
            <w:vAlign w:val="bottom"/>
            <w:tcBorders>
              <w:bottom w:val="single" w:sz="8" w:color="95B3D7"/>
              <w:right w:val="single" w:sz="8" w:color="95B3D7"/>
            </w:tcBorders>
            <w:shd w:val="clear" w:color="auto" w:fill="DBE5F1"/>
          </w:tcPr>
          <w:p>
            <w:pPr>
              <w:spacing w:after="0"/>
              <w:rPr>
                <w:sz w:val="21"/>
                <w:szCs w:val="21"/>
                <w:color w:val="auto"/>
              </w:rPr>
            </w:pPr>
          </w:p>
        </w:tc>
        <w:tc>
          <w:tcPr>
            <w:tcW w:w="196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(Chair)</w:t>
            </w:r>
          </w:p>
        </w:tc>
        <w:tc>
          <w:tcPr>
            <w:tcW w:w="1960" w:type="dxa"/>
            <w:vAlign w:val="bottom"/>
            <w:tcBorders>
              <w:bottom w:val="single" w:sz="8" w:color="95B3D7"/>
            </w:tcBorders>
            <w:shd w:val="clear" w:color="auto" w:fill="DBE5F1"/>
          </w:tcPr>
          <w:p>
            <w:pPr>
              <w:ind w:left="28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285"/>
        </w:trPr>
        <w:tc>
          <w:tcPr>
            <w:tcW w:w="1580" w:type="dxa"/>
            <w:vAlign w:val="bottom"/>
            <w:tcBorders>
              <w:right w:val="single" w:sz="8" w:color="95B3D7"/>
            </w:tcBorders>
          </w:tcPr>
          <w:p>
            <w:pPr>
              <w:ind w:left="140"/>
              <w:spacing w:after="0"/>
              <w:rPr>
                <w:sz w:val="20"/>
                <w:szCs w:val="20"/>
                <w:color w:val="auto"/>
              </w:rPr>
            </w:pPr>
            <w:r>
              <w:rPr>
                <w:rFonts w:ascii="Arial" w:cs="Arial" w:eastAsia="Arial" w:hAnsi="Arial"/>
                <w:sz w:val="16"/>
                <w:szCs w:val="16"/>
                <w:color w:val="auto"/>
              </w:rPr>
              <w:t>Jody Bilney</w:t>
            </w:r>
          </w:p>
        </w:tc>
        <w:tc>
          <w:tcPr>
            <w:tcW w:w="960" w:type="dxa"/>
            <w:vAlign w:val="bottom"/>
            <w:tcBorders>
              <w:right w:val="single" w:sz="8" w:color="95B3D7"/>
            </w:tcBorders>
          </w:tcPr>
          <w:p>
            <w:pPr>
              <w:ind w:left="400"/>
              <w:spacing w:after="0"/>
              <w:rPr>
                <w:sz w:val="20"/>
                <w:szCs w:val="20"/>
                <w:color w:val="auto"/>
              </w:rPr>
            </w:pPr>
            <w:r>
              <w:rPr>
                <w:rFonts w:ascii="Arial" w:cs="Arial" w:eastAsia="Arial" w:hAnsi="Arial"/>
                <w:sz w:val="16"/>
                <w:szCs w:val="16"/>
                <w:color w:val="auto"/>
              </w:rPr>
              <w:t>II</w:t>
            </w:r>
          </w:p>
        </w:tc>
        <w:tc>
          <w:tcPr>
            <w:tcW w:w="960" w:type="dxa"/>
            <w:vAlign w:val="bottom"/>
            <w:tcBorders>
              <w:right w:val="single" w:sz="8" w:color="95B3D7"/>
            </w:tcBorders>
          </w:tcPr>
          <w:p>
            <w:pPr>
              <w:jc w:val="center"/>
              <w:ind w:left="19"/>
              <w:spacing w:after="0"/>
              <w:rPr>
                <w:sz w:val="20"/>
                <w:szCs w:val="20"/>
                <w:color w:val="auto"/>
              </w:rPr>
            </w:pPr>
            <w:r>
              <w:rPr>
                <w:rFonts w:ascii="Arial" w:cs="Arial" w:eastAsia="Arial" w:hAnsi="Arial"/>
                <w:sz w:val="16"/>
                <w:szCs w:val="16"/>
                <w:color w:val="auto"/>
              </w:rPr>
              <w:t>62</w:t>
            </w:r>
          </w:p>
        </w:tc>
        <w:tc>
          <w:tcPr>
            <w:tcW w:w="1200" w:type="dxa"/>
            <w:vAlign w:val="bottom"/>
            <w:tcBorders>
              <w:right w:val="single" w:sz="8" w:color="95B3D7"/>
            </w:tcBorders>
          </w:tcPr>
          <w:p>
            <w:pPr>
              <w:jc w:val="right"/>
              <w:ind w:right="299"/>
              <w:spacing w:after="0"/>
              <w:rPr>
                <w:sz w:val="20"/>
                <w:szCs w:val="20"/>
                <w:color w:val="auto"/>
              </w:rPr>
            </w:pPr>
            <w:r>
              <w:rPr>
                <w:rFonts w:ascii="Arial" w:cs="Arial" w:eastAsia="Arial" w:hAnsi="Arial"/>
                <w:sz w:val="16"/>
                <w:szCs w:val="16"/>
                <w:color w:val="auto"/>
              </w:rPr>
              <w:t>2022</w:t>
            </w:r>
          </w:p>
        </w:tc>
        <w:tc>
          <w:tcPr>
            <w:tcW w:w="960" w:type="dxa"/>
            <w:vAlign w:val="bottom"/>
            <w:tcBorders>
              <w:right w:val="single" w:sz="8" w:color="95B3D7"/>
            </w:tcBorders>
          </w:tcPr>
          <w:p>
            <w:pPr>
              <w:jc w:val="right"/>
              <w:ind w:right="179"/>
              <w:spacing w:after="0"/>
              <w:rPr>
                <w:sz w:val="20"/>
                <w:szCs w:val="20"/>
                <w:color w:val="auto"/>
              </w:rPr>
            </w:pPr>
            <w:r>
              <w:rPr>
                <w:rFonts w:ascii="Arial" w:cs="Arial" w:eastAsia="Arial" w:hAnsi="Arial"/>
                <w:sz w:val="16"/>
                <w:szCs w:val="16"/>
                <w:color w:val="auto"/>
              </w:rPr>
              <w:t>2026</w:t>
            </w:r>
          </w:p>
        </w:tc>
        <w:tc>
          <w:tcPr>
            <w:tcW w:w="1440" w:type="dxa"/>
            <w:vAlign w:val="bottom"/>
            <w:tcBorders>
              <w:right w:val="single" w:sz="8" w:color="95B3D7"/>
            </w:tcBorders>
          </w:tcPr>
          <w:p>
            <w:pPr>
              <w:ind w:left="640"/>
              <w:spacing w:after="0"/>
              <w:rPr>
                <w:sz w:val="20"/>
                <w:szCs w:val="20"/>
                <w:color w:val="auto"/>
              </w:rPr>
            </w:pPr>
            <w:r>
              <w:rPr>
                <w:rFonts w:ascii="Arial" w:cs="Arial" w:eastAsia="Arial" w:hAnsi="Arial"/>
                <w:sz w:val="16"/>
                <w:szCs w:val="16"/>
                <w:color w:val="auto"/>
              </w:rPr>
              <w:t>Yes</w:t>
            </w:r>
          </w:p>
        </w:tc>
        <w:tc>
          <w:tcPr>
            <w:tcW w:w="19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NCGCC</w:t>
            </w: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 Chuy’s Holdings,</w:t>
            </w:r>
          </w:p>
        </w:tc>
        <w:tc>
          <w:tcPr>
            <w:tcW w:w="0" w:type="dxa"/>
            <w:vAlign w:val="bottom"/>
          </w:tcPr>
          <w:p>
            <w:pPr>
              <w:spacing w:after="0"/>
              <w:rPr>
                <w:sz w:val="1"/>
                <w:szCs w:val="1"/>
                <w:color w:val="auto"/>
              </w:rPr>
            </w:pPr>
          </w:p>
        </w:tc>
      </w:tr>
      <w:tr>
        <w:trPr>
          <w:trHeight w:val="239"/>
        </w:trPr>
        <w:tc>
          <w:tcPr>
            <w:tcW w:w="1580" w:type="dxa"/>
            <w:vAlign w:val="bottom"/>
            <w:tcBorders>
              <w:right w:val="single" w:sz="8" w:color="95B3D7"/>
            </w:tcBorders>
          </w:tcPr>
          <w:p>
            <w:pPr>
              <w:spacing w:after="0"/>
              <w:rPr>
                <w:sz w:val="20"/>
                <w:szCs w:val="20"/>
                <w:color w:val="auto"/>
              </w:rPr>
            </w:pPr>
          </w:p>
        </w:tc>
        <w:tc>
          <w:tcPr>
            <w:tcW w:w="960" w:type="dxa"/>
            <w:vAlign w:val="bottom"/>
            <w:tcBorders>
              <w:right w:val="single" w:sz="8" w:color="95B3D7"/>
            </w:tcBorders>
          </w:tcPr>
          <w:p>
            <w:pPr>
              <w:spacing w:after="0"/>
              <w:rPr>
                <w:sz w:val="20"/>
                <w:szCs w:val="20"/>
                <w:color w:val="auto"/>
              </w:rPr>
            </w:pPr>
          </w:p>
        </w:tc>
        <w:tc>
          <w:tcPr>
            <w:tcW w:w="960" w:type="dxa"/>
            <w:vAlign w:val="bottom"/>
            <w:tcBorders>
              <w:right w:val="single" w:sz="8" w:color="95B3D7"/>
            </w:tcBorders>
          </w:tcPr>
          <w:p>
            <w:pPr>
              <w:spacing w:after="0"/>
              <w:rPr>
                <w:sz w:val="20"/>
                <w:szCs w:val="20"/>
                <w:color w:val="auto"/>
              </w:rPr>
            </w:pPr>
          </w:p>
        </w:tc>
        <w:tc>
          <w:tcPr>
            <w:tcW w:w="1200" w:type="dxa"/>
            <w:vAlign w:val="bottom"/>
            <w:tcBorders>
              <w:right w:val="single" w:sz="8" w:color="95B3D7"/>
            </w:tcBorders>
          </w:tcPr>
          <w:p>
            <w:pPr>
              <w:spacing w:after="0"/>
              <w:rPr>
                <w:sz w:val="20"/>
                <w:szCs w:val="20"/>
                <w:color w:val="auto"/>
              </w:rPr>
            </w:pPr>
          </w:p>
        </w:tc>
        <w:tc>
          <w:tcPr>
            <w:tcW w:w="960" w:type="dxa"/>
            <w:vAlign w:val="bottom"/>
            <w:tcBorders>
              <w:right w:val="single" w:sz="8" w:color="95B3D7"/>
            </w:tcBorders>
          </w:tcPr>
          <w:p>
            <w:pPr>
              <w:spacing w:after="0"/>
              <w:rPr>
                <w:sz w:val="20"/>
                <w:szCs w:val="20"/>
                <w:color w:val="auto"/>
              </w:rPr>
            </w:pPr>
          </w:p>
        </w:tc>
        <w:tc>
          <w:tcPr>
            <w:tcW w:w="1440" w:type="dxa"/>
            <w:vAlign w:val="bottom"/>
            <w:tcBorders>
              <w:right w:val="single" w:sz="8" w:color="95B3D7"/>
            </w:tcBorders>
          </w:tcPr>
          <w:p>
            <w:pPr>
              <w:spacing w:after="0"/>
              <w:rPr>
                <w:sz w:val="20"/>
                <w:szCs w:val="20"/>
                <w:color w:val="auto"/>
              </w:rPr>
            </w:pPr>
          </w:p>
        </w:tc>
        <w:tc>
          <w:tcPr>
            <w:tcW w:w="1960" w:type="dxa"/>
            <w:vAlign w:val="bottom"/>
            <w:tcBorders>
              <w:right w:val="single" w:sz="8" w:color="95B3D7"/>
            </w:tcBorders>
          </w:tcPr>
          <w:p>
            <w:pPr>
              <w:spacing w:after="0"/>
              <w:rPr>
                <w:sz w:val="20"/>
                <w:szCs w:val="20"/>
                <w:color w:val="auto"/>
              </w:rPr>
            </w:pPr>
          </w:p>
        </w:tc>
        <w:tc>
          <w:tcPr>
            <w:tcW w:w="1960" w:type="dxa"/>
            <w:vAlign w:val="bottom"/>
          </w:tcPr>
          <w:p>
            <w:pPr>
              <w:ind w:left="280"/>
              <w:spacing w:after="0"/>
              <w:rPr>
                <w:sz w:val="20"/>
                <w:szCs w:val="20"/>
                <w:color w:val="auto"/>
              </w:rPr>
            </w:pPr>
            <w:r>
              <w:rPr>
                <w:rFonts w:ascii="Arial" w:cs="Arial" w:eastAsia="Arial" w:hAnsi="Arial"/>
                <w:sz w:val="18"/>
                <w:szCs w:val="18"/>
                <w:color w:val="auto"/>
              </w:rPr>
              <w:t>Inc.</w:t>
            </w:r>
          </w:p>
        </w:tc>
        <w:tc>
          <w:tcPr>
            <w:tcW w:w="0" w:type="dxa"/>
            <w:vAlign w:val="bottom"/>
          </w:tcPr>
          <w:p>
            <w:pPr>
              <w:spacing w:after="0"/>
              <w:rPr>
                <w:sz w:val="1"/>
                <w:szCs w:val="1"/>
                <w:color w:val="auto"/>
              </w:rPr>
            </w:pPr>
          </w:p>
        </w:tc>
      </w:tr>
      <w:tr>
        <w:trPr>
          <w:trHeight w:val="301"/>
        </w:trPr>
        <w:tc>
          <w:tcPr>
            <w:tcW w:w="1580" w:type="dxa"/>
            <w:vAlign w:val="bottom"/>
            <w:tcBorders>
              <w:right w:val="single" w:sz="8" w:color="95B3D7"/>
            </w:tcBorders>
          </w:tcPr>
          <w:p>
            <w:pPr>
              <w:spacing w:after="0"/>
              <w:rPr>
                <w:sz w:val="24"/>
                <w:szCs w:val="24"/>
                <w:color w:val="auto"/>
              </w:rPr>
            </w:pPr>
          </w:p>
        </w:tc>
        <w:tc>
          <w:tcPr>
            <w:tcW w:w="960" w:type="dxa"/>
            <w:vAlign w:val="bottom"/>
            <w:tcBorders>
              <w:right w:val="single" w:sz="8" w:color="95B3D7"/>
            </w:tcBorders>
          </w:tcPr>
          <w:p>
            <w:pPr>
              <w:spacing w:after="0"/>
              <w:rPr>
                <w:sz w:val="24"/>
                <w:szCs w:val="24"/>
                <w:color w:val="auto"/>
              </w:rPr>
            </w:pPr>
          </w:p>
        </w:tc>
        <w:tc>
          <w:tcPr>
            <w:tcW w:w="960" w:type="dxa"/>
            <w:vAlign w:val="bottom"/>
            <w:tcBorders>
              <w:right w:val="single" w:sz="8" w:color="95B3D7"/>
            </w:tcBorders>
          </w:tcPr>
          <w:p>
            <w:pPr>
              <w:spacing w:after="0"/>
              <w:rPr>
                <w:sz w:val="24"/>
                <w:szCs w:val="24"/>
                <w:color w:val="auto"/>
              </w:rPr>
            </w:pPr>
          </w:p>
        </w:tc>
        <w:tc>
          <w:tcPr>
            <w:tcW w:w="1200" w:type="dxa"/>
            <w:vAlign w:val="bottom"/>
            <w:tcBorders>
              <w:right w:val="single" w:sz="8" w:color="95B3D7"/>
            </w:tcBorders>
          </w:tcPr>
          <w:p>
            <w:pPr>
              <w:spacing w:after="0"/>
              <w:rPr>
                <w:sz w:val="24"/>
                <w:szCs w:val="24"/>
                <w:color w:val="auto"/>
              </w:rPr>
            </w:pPr>
          </w:p>
        </w:tc>
        <w:tc>
          <w:tcPr>
            <w:tcW w:w="960" w:type="dxa"/>
            <w:vAlign w:val="bottom"/>
            <w:tcBorders>
              <w:right w:val="single" w:sz="8" w:color="95B3D7"/>
            </w:tcBorders>
          </w:tcPr>
          <w:p>
            <w:pPr>
              <w:spacing w:after="0"/>
              <w:rPr>
                <w:sz w:val="24"/>
                <w:szCs w:val="24"/>
                <w:color w:val="auto"/>
              </w:rPr>
            </w:pPr>
          </w:p>
        </w:tc>
        <w:tc>
          <w:tcPr>
            <w:tcW w:w="1440" w:type="dxa"/>
            <w:vAlign w:val="bottom"/>
            <w:tcBorders>
              <w:right w:val="single" w:sz="8" w:color="95B3D7"/>
            </w:tcBorders>
          </w:tcPr>
          <w:p>
            <w:pPr>
              <w:spacing w:after="0"/>
              <w:rPr>
                <w:sz w:val="24"/>
                <w:szCs w:val="24"/>
                <w:color w:val="auto"/>
              </w:rPr>
            </w:pPr>
          </w:p>
        </w:tc>
        <w:tc>
          <w:tcPr>
            <w:tcW w:w="1960" w:type="dxa"/>
            <w:vAlign w:val="bottom"/>
            <w:tcBorders>
              <w:right w:val="single" w:sz="8" w:color="95B3D7"/>
            </w:tcBorders>
          </w:tcPr>
          <w:p>
            <w:pPr>
              <w:spacing w:after="0"/>
              <w:rPr>
                <w:sz w:val="24"/>
                <w:szCs w:val="24"/>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 Masonite</w:t>
            </w:r>
          </w:p>
        </w:tc>
        <w:tc>
          <w:tcPr>
            <w:tcW w:w="0" w:type="dxa"/>
            <w:vAlign w:val="bottom"/>
          </w:tcPr>
          <w:p>
            <w:pPr>
              <w:spacing w:after="0"/>
              <w:rPr>
                <w:sz w:val="1"/>
                <w:szCs w:val="1"/>
                <w:color w:val="auto"/>
              </w:rPr>
            </w:pPr>
          </w:p>
        </w:tc>
      </w:tr>
      <w:tr>
        <w:trPr>
          <w:trHeight w:val="239"/>
        </w:trPr>
        <w:tc>
          <w:tcPr>
            <w:tcW w:w="1580" w:type="dxa"/>
            <w:vAlign w:val="bottom"/>
            <w:tcBorders>
              <w:right w:val="single" w:sz="8" w:color="95B3D7"/>
            </w:tcBorders>
          </w:tcPr>
          <w:p>
            <w:pPr>
              <w:spacing w:after="0"/>
              <w:rPr>
                <w:sz w:val="20"/>
                <w:szCs w:val="20"/>
                <w:color w:val="auto"/>
              </w:rPr>
            </w:pPr>
          </w:p>
        </w:tc>
        <w:tc>
          <w:tcPr>
            <w:tcW w:w="960" w:type="dxa"/>
            <w:vAlign w:val="bottom"/>
            <w:tcBorders>
              <w:right w:val="single" w:sz="8" w:color="95B3D7"/>
            </w:tcBorders>
          </w:tcPr>
          <w:p>
            <w:pPr>
              <w:spacing w:after="0"/>
              <w:rPr>
                <w:sz w:val="20"/>
                <w:szCs w:val="20"/>
                <w:color w:val="auto"/>
              </w:rPr>
            </w:pPr>
          </w:p>
        </w:tc>
        <w:tc>
          <w:tcPr>
            <w:tcW w:w="960" w:type="dxa"/>
            <w:vAlign w:val="bottom"/>
            <w:tcBorders>
              <w:right w:val="single" w:sz="8" w:color="95B3D7"/>
            </w:tcBorders>
          </w:tcPr>
          <w:p>
            <w:pPr>
              <w:spacing w:after="0"/>
              <w:rPr>
                <w:sz w:val="20"/>
                <w:szCs w:val="20"/>
                <w:color w:val="auto"/>
              </w:rPr>
            </w:pPr>
          </w:p>
        </w:tc>
        <w:tc>
          <w:tcPr>
            <w:tcW w:w="1200" w:type="dxa"/>
            <w:vAlign w:val="bottom"/>
            <w:tcBorders>
              <w:right w:val="single" w:sz="8" w:color="95B3D7"/>
            </w:tcBorders>
          </w:tcPr>
          <w:p>
            <w:pPr>
              <w:spacing w:after="0"/>
              <w:rPr>
                <w:sz w:val="20"/>
                <w:szCs w:val="20"/>
                <w:color w:val="auto"/>
              </w:rPr>
            </w:pPr>
          </w:p>
        </w:tc>
        <w:tc>
          <w:tcPr>
            <w:tcW w:w="960" w:type="dxa"/>
            <w:vAlign w:val="bottom"/>
            <w:tcBorders>
              <w:right w:val="single" w:sz="8" w:color="95B3D7"/>
            </w:tcBorders>
          </w:tcPr>
          <w:p>
            <w:pPr>
              <w:spacing w:after="0"/>
              <w:rPr>
                <w:sz w:val="20"/>
                <w:szCs w:val="20"/>
                <w:color w:val="auto"/>
              </w:rPr>
            </w:pPr>
          </w:p>
        </w:tc>
        <w:tc>
          <w:tcPr>
            <w:tcW w:w="1440" w:type="dxa"/>
            <w:vAlign w:val="bottom"/>
            <w:tcBorders>
              <w:right w:val="single" w:sz="8" w:color="95B3D7"/>
            </w:tcBorders>
          </w:tcPr>
          <w:p>
            <w:pPr>
              <w:spacing w:after="0"/>
              <w:rPr>
                <w:sz w:val="20"/>
                <w:szCs w:val="20"/>
                <w:color w:val="auto"/>
              </w:rPr>
            </w:pPr>
          </w:p>
        </w:tc>
        <w:tc>
          <w:tcPr>
            <w:tcW w:w="1960" w:type="dxa"/>
            <w:vAlign w:val="bottom"/>
            <w:tcBorders>
              <w:right w:val="single" w:sz="8" w:color="95B3D7"/>
            </w:tcBorders>
          </w:tcPr>
          <w:p>
            <w:pPr>
              <w:spacing w:after="0"/>
              <w:rPr>
                <w:sz w:val="20"/>
                <w:szCs w:val="20"/>
                <w:color w:val="auto"/>
              </w:rPr>
            </w:pPr>
          </w:p>
        </w:tc>
        <w:tc>
          <w:tcPr>
            <w:tcW w:w="1960" w:type="dxa"/>
            <w:vAlign w:val="bottom"/>
          </w:tcPr>
          <w:p>
            <w:pPr>
              <w:ind w:left="280"/>
              <w:spacing w:after="0"/>
              <w:rPr>
                <w:sz w:val="20"/>
                <w:szCs w:val="20"/>
                <w:color w:val="auto"/>
              </w:rPr>
            </w:pPr>
            <w:r>
              <w:rPr>
                <w:rFonts w:ascii="Arial" w:cs="Arial" w:eastAsia="Arial" w:hAnsi="Arial"/>
                <w:sz w:val="18"/>
                <w:szCs w:val="18"/>
                <w:color w:val="auto"/>
              </w:rPr>
              <w:t>International Corp.</w:t>
            </w:r>
          </w:p>
        </w:tc>
        <w:tc>
          <w:tcPr>
            <w:tcW w:w="0" w:type="dxa"/>
            <w:vAlign w:val="bottom"/>
          </w:tcPr>
          <w:p>
            <w:pPr>
              <w:spacing w:after="0"/>
              <w:rPr>
                <w:sz w:val="1"/>
                <w:szCs w:val="1"/>
                <w:color w:val="auto"/>
              </w:rPr>
            </w:pPr>
          </w:p>
        </w:tc>
      </w:tr>
      <w:tr>
        <w:trPr>
          <w:trHeight w:val="301"/>
        </w:trPr>
        <w:tc>
          <w:tcPr>
            <w:tcW w:w="1580" w:type="dxa"/>
            <w:vAlign w:val="bottom"/>
            <w:tcBorders>
              <w:right w:val="single" w:sz="8" w:color="95B3D7"/>
            </w:tcBorders>
          </w:tcPr>
          <w:p>
            <w:pPr>
              <w:spacing w:after="0"/>
              <w:rPr>
                <w:sz w:val="24"/>
                <w:szCs w:val="24"/>
                <w:color w:val="auto"/>
              </w:rPr>
            </w:pPr>
          </w:p>
        </w:tc>
        <w:tc>
          <w:tcPr>
            <w:tcW w:w="960" w:type="dxa"/>
            <w:vAlign w:val="bottom"/>
            <w:tcBorders>
              <w:right w:val="single" w:sz="8" w:color="95B3D7"/>
            </w:tcBorders>
          </w:tcPr>
          <w:p>
            <w:pPr>
              <w:spacing w:after="0"/>
              <w:rPr>
                <w:sz w:val="24"/>
                <w:szCs w:val="24"/>
                <w:color w:val="auto"/>
              </w:rPr>
            </w:pPr>
          </w:p>
        </w:tc>
        <w:tc>
          <w:tcPr>
            <w:tcW w:w="960" w:type="dxa"/>
            <w:vAlign w:val="bottom"/>
            <w:tcBorders>
              <w:right w:val="single" w:sz="8" w:color="95B3D7"/>
            </w:tcBorders>
          </w:tcPr>
          <w:p>
            <w:pPr>
              <w:spacing w:after="0"/>
              <w:rPr>
                <w:sz w:val="24"/>
                <w:szCs w:val="24"/>
                <w:color w:val="auto"/>
              </w:rPr>
            </w:pPr>
          </w:p>
        </w:tc>
        <w:tc>
          <w:tcPr>
            <w:tcW w:w="1200" w:type="dxa"/>
            <w:vAlign w:val="bottom"/>
            <w:tcBorders>
              <w:right w:val="single" w:sz="8" w:color="95B3D7"/>
            </w:tcBorders>
          </w:tcPr>
          <w:p>
            <w:pPr>
              <w:spacing w:after="0"/>
              <w:rPr>
                <w:sz w:val="24"/>
                <w:szCs w:val="24"/>
                <w:color w:val="auto"/>
              </w:rPr>
            </w:pPr>
          </w:p>
        </w:tc>
        <w:tc>
          <w:tcPr>
            <w:tcW w:w="960" w:type="dxa"/>
            <w:vAlign w:val="bottom"/>
            <w:tcBorders>
              <w:right w:val="single" w:sz="8" w:color="95B3D7"/>
            </w:tcBorders>
          </w:tcPr>
          <w:p>
            <w:pPr>
              <w:spacing w:after="0"/>
              <w:rPr>
                <w:sz w:val="24"/>
                <w:szCs w:val="24"/>
                <w:color w:val="auto"/>
              </w:rPr>
            </w:pPr>
          </w:p>
        </w:tc>
        <w:tc>
          <w:tcPr>
            <w:tcW w:w="1440" w:type="dxa"/>
            <w:vAlign w:val="bottom"/>
            <w:tcBorders>
              <w:right w:val="single" w:sz="8" w:color="95B3D7"/>
            </w:tcBorders>
          </w:tcPr>
          <w:p>
            <w:pPr>
              <w:spacing w:after="0"/>
              <w:rPr>
                <w:sz w:val="24"/>
                <w:szCs w:val="24"/>
                <w:color w:val="auto"/>
              </w:rPr>
            </w:pPr>
          </w:p>
        </w:tc>
        <w:tc>
          <w:tcPr>
            <w:tcW w:w="1960" w:type="dxa"/>
            <w:vAlign w:val="bottom"/>
            <w:tcBorders>
              <w:right w:val="single" w:sz="8" w:color="95B3D7"/>
            </w:tcBorders>
          </w:tcPr>
          <w:p>
            <w:pPr>
              <w:spacing w:after="0"/>
              <w:rPr>
                <w:sz w:val="24"/>
                <w:szCs w:val="24"/>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 Cracker Barrel Old</w:t>
            </w:r>
          </w:p>
        </w:tc>
        <w:tc>
          <w:tcPr>
            <w:tcW w:w="0" w:type="dxa"/>
            <w:vAlign w:val="bottom"/>
          </w:tcPr>
          <w:p>
            <w:pPr>
              <w:spacing w:after="0"/>
              <w:rPr>
                <w:sz w:val="1"/>
                <w:szCs w:val="1"/>
                <w:color w:val="auto"/>
              </w:rPr>
            </w:pPr>
          </w:p>
        </w:tc>
      </w:tr>
      <w:tr>
        <w:trPr>
          <w:trHeight w:val="235"/>
        </w:trPr>
        <w:tc>
          <w:tcPr>
            <w:tcW w:w="1580" w:type="dxa"/>
            <w:vAlign w:val="bottom"/>
            <w:tcBorders>
              <w:bottom w:val="single" w:sz="8" w:color="95B3D7"/>
              <w:right w:val="single" w:sz="8" w:color="95B3D7"/>
            </w:tcBorders>
          </w:tcPr>
          <w:p>
            <w:pPr>
              <w:spacing w:after="0"/>
              <w:rPr>
                <w:sz w:val="20"/>
                <w:szCs w:val="20"/>
                <w:color w:val="auto"/>
              </w:rPr>
            </w:pPr>
          </w:p>
        </w:tc>
        <w:tc>
          <w:tcPr>
            <w:tcW w:w="960" w:type="dxa"/>
            <w:vAlign w:val="bottom"/>
            <w:tcBorders>
              <w:bottom w:val="single" w:sz="8" w:color="95B3D7"/>
              <w:right w:val="single" w:sz="8" w:color="95B3D7"/>
            </w:tcBorders>
          </w:tcPr>
          <w:p>
            <w:pPr>
              <w:spacing w:after="0"/>
              <w:rPr>
                <w:sz w:val="20"/>
                <w:szCs w:val="20"/>
                <w:color w:val="auto"/>
              </w:rPr>
            </w:pPr>
          </w:p>
        </w:tc>
        <w:tc>
          <w:tcPr>
            <w:tcW w:w="960" w:type="dxa"/>
            <w:vAlign w:val="bottom"/>
            <w:tcBorders>
              <w:bottom w:val="single" w:sz="8" w:color="95B3D7"/>
              <w:right w:val="single" w:sz="8" w:color="95B3D7"/>
            </w:tcBorders>
          </w:tcPr>
          <w:p>
            <w:pPr>
              <w:spacing w:after="0"/>
              <w:rPr>
                <w:sz w:val="20"/>
                <w:szCs w:val="20"/>
                <w:color w:val="auto"/>
              </w:rPr>
            </w:pPr>
          </w:p>
        </w:tc>
        <w:tc>
          <w:tcPr>
            <w:tcW w:w="1200" w:type="dxa"/>
            <w:vAlign w:val="bottom"/>
            <w:tcBorders>
              <w:bottom w:val="single" w:sz="8" w:color="95B3D7"/>
              <w:right w:val="single" w:sz="8" w:color="95B3D7"/>
            </w:tcBorders>
          </w:tcPr>
          <w:p>
            <w:pPr>
              <w:spacing w:after="0"/>
              <w:rPr>
                <w:sz w:val="20"/>
                <w:szCs w:val="20"/>
                <w:color w:val="auto"/>
              </w:rPr>
            </w:pPr>
          </w:p>
        </w:tc>
        <w:tc>
          <w:tcPr>
            <w:tcW w:w="960" w:type="dxa"/>
            <w:vAlign w:val="bottom"/>
            <w:tcBorders>
              <w:bottom w:val="single" w:sz="8" w:color="95B3D7"/>
              <w:right w:val="single" w:sz="8" w:color="95B3D7"/>
            </w:tcBorders>
          </w:tcPr>
          <w:p>
            <w:pPr>
              <w:spacing w:after="0"/>
              <w:rPr>
                <w:sz w:val="20"/>
                <w:szCs w:val="20"/>
                <w:color w:val="auto"/>
              </w:rPr>
            </w:pPr>
          </w:p>
        </w:tc>
        <w:tc>
          <w:tcPr>
            <w:tcW w:w="1440" w:type="dxa"/>
            <w:vAlign w:val="bottom"/>
            <w:tcBorders>
              <w:bottom w:val="single" w:sz="8" w:color="95B3D7"/>
              <w:right w:val="single" w:sz="8" w:color="95B3D7"/>
            </w:tcBorders>
          </w:tcPr>
          <w:p>
            <w:pPr>
              <w:spacing w:after="0"/>
              <w:rPr>
                <w:sz w:val="20"/>
                <w:szCs w:val="20"/>
                <w:color w:val="auto"/>
              </w:rPr>
            </w:pPr>
          </w:p>
        </w:tc>
        <w:tc>
          <w:tcPr>
            <w:tcW w:w="1960" w:type="dxa"/>
            <w:vAlign w:val="bottom"/>
            <w:tcBorders>
              <w:bottom w:val="single" w:sz="8" w:color="95B3D7"/>
              <w:right w:val="single" w:sz="8" w:color="95B3D7"/>
            </w:tcBorders>
          </w:tcPr>
          <w:p>
            <w:pPr>
              <w:spacing w:after="0"/>
              <w:rPr>
                <w:sz w:val="20"/>
                <w:szCs w:val="20"/>
                <w:color w:val="auto"/>
              </w:rPr>
            </w:pPr>
          </w:p>
        </w:tc>
        <w:tc>
          <w:tcPr>
            <w:tcW w:w="1960" w:type="dxa"/>
            <w:vAlign w:val="bottom"/>
            <w:tcBorders>
              <w:bottom w:val="single" w:sz="8" w:color="95B3D7"/>
            </w:tcBorders>
          </w:tcPr>
          <w:p>
            <w:pPr>
              <w:ind w:left="280"/>
              <w:spacing w:after="0"/>
              <w:rPr>
                <w:sz w:val="20"/>
                <w:szCs w:val="20"/>
                <w:color w:val="auto"/>
              </w:rPr>
            </w:pPr>
            <w:r>
              <w:rPr>
                <w:rFonts w:ascii="Arial" w:cs="Arial" w:eastAsia="Arial" w:hAnsi="Arial"/>
                <w:sz w:val="18"/>
                <w:szCs w:val="18"/>
                <w:color w:val="auto"/>
              </w:rPr>
              <w:t>Country Store, Inc.</w:t>
            </w:r>
          </w:p>
        </w:tc>
        <w:tc>
          <w:tcPr>
            <w:tcW w:w="0" w:type="dxa"/>
            <w:vAlign w:val="bottom"/>
          </w:tcPr>
          <w:p>
            <w:pPr>
              <w:spacing w:after="0"/>
              <w:rPr>
                <w:sz w:val="1"/>
                <w:szCs w:val="1"/>
                <w:color w:val="auto"/>
              </w:rPr>
            </w:pPr>
          </w:p>
        </w:tc>
      </w:tr>
      <w:tr>
        <w:trPr>
          <w:trHeight w:val="263"/>
        </w:trPr>
        <w:tc>
          <w:tcPr>
            <w:tcW w:w="15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David</w:t>
            </w:r>
          </w:p>
        </w:tc>
        <w:tc>
          <w:tcPr>
            <w:tcW w:w="960" w:type="dxa"/>
            <w:vAlign w:val="bottom"/>
            <w:tcBorders>
              <w:right w:val="single" w:sz="8" w:color="95B3D7"/>
            </w:tcBorders>
            <w:shd w:val="clear" w:color="auto" w:fill="DBE5F1"/>
          </w:tcPr>
          <w:p>
            <w:pPr>
              <w:ind w:left="400"/>
              <w:spacing w:after="0"/>
              <w:rPr>
                <w:sz w:val="20"/>
                <w:szCs w:val="20"/>
                <w:color w:val="auto"/>
              </w:rPr>
            </w:pPr>
            <w:r>
              <w:rPr>
                <w:rFonts w:ascii="Arial" w:cs="Arial" w:eastAsia="Arial" w:hAnsi="Arial"/>
                <w:sz w:val="16"/>
                <w:szCs w:val="16"/>
                <w:color w:val="auto"/>
              </w:rPr>
              <w:t>II</w:t>
            </w:r>
          </w:p>
        </w:tc>
        <w:tc>
          <w:tcPr>
            <w:tcW w:w="960" w:type="dxa"/>
            <w:vAlign w:val="bottom"/>
            <w:tcBorders>
              <w:right w:val="single" w:sz="8" w:color="95B3D7"/>
            </w:tcBorders>
            <w:shd w:val="clear" w:color="auto" w:fill="DBE5F1"/>
          </w:tcPr>
          <w:p>
            <w:pPr>
              <w:jc w:val="center"/>
              <w:ind w:left="19"/>
              <w:spacing w:after="0"/>
              <w:rPr>
                <w:sz w:val="20"/>
                <w:szCs w:val="20"/>
                <w:color w:val="auto"/>
              </w:rPr>
            </w:pPr>
            <w:r>
              <w:rPr>
                <w:rFonts w:ascii="Arial" w:cs="Arial" w:eastAsia="Arial" w:hAnsi="Arial"/>
                <w:sz w:val="16"/>
                <w:szCs w:val="16"/>
                <w:color w:val="auto"/>
              </w:rPr>
              <w:t>67</w:t>
            </w:r>
          </w:p>
        </w:tc>
        <w:tc>
          <w:tcPr>
            <w:tcW w:w="1200" w:type="dxa"/>
            <w:vAlign w:val="bottom"/>
            <w:tcBorders>
              <w:right w:val="single" w:sz="8" w:color="95B3D7"/>
            </w:tcBorders>
            <w:shd w:val="clear" w:color="auto" w:fill="DBE5F1"/>
          </w:tcPr>
          <w:p>
            <w:pPr>
              <w:jc w:val="right"/>
              <w:ind w:right="299"/>
              <w:spacing w:after="0"/>
              <w:rPr>
                <w:sz w:val="20"/>
                <w:szCs w:val="20"/>
                <w:color w:val="auto"/>
              </w:rPr>
            </w:pPr>
            <w:r>
              <w:rPr>
                <w:rFonts w:ascii="Arial" w:cs="Arial" w:eastAsia="Arial" w:hAnsi="Arial"/>
                <w:sz w:val="16"/>
                <w:szCs w:val="16"/>
                <w:color w:val="auto"/>
              </w:rPr>
              <w:t>2014</w:t>
            </w:r>
          </w:p>
        </w:tc>
        <w:tc>
          <w:tcPr>
            <w:tcW w:w="960" w:type="dxa"/>
            <w:vAlign w:val="bottom"/>
            <w:tcBorders>
              <w:right w:val="single" w:sz="8" w:color="95B3D7"/>
            </w:tcBorders>
            <w:shd w:val="clear" w:color="auto" w:fill="DBE5F1"/>
          </w:tcPr>
          <w:p>
            <w:pPr>
              <w:jc w:val="right"/>
              <w:ind w:right="179"/>
              <w:spacing w:after="0"/>
              <w:rPr>
                <w:sz w:val="20"/>
                <w:szCs w:val="20"/>
                <w:color w:val="auto"/>
              </w:rPr>
            </w:pPr>
            <w:r>
              <w:rPr>
                <w:rFonts w:ascii="Arial" w:cs="Arial" w:eastAsia="Arial" w:hAnsi="Arial"/>
                <w:sz w:val="16"/>
                <w:szCs w:val="16"/>
                <w:color w:val="auto"/>
              </w:rPr>
              <w:t>2026</w:t>
            </w:r>
          </w:p>
        </w:tc>
        <w:tc>
          <w:tcPr>
            <w:tcW w:w="144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6"/>
                <w:szCs w:val="16"/>
                <w:color w:val="auto"/>
              </w:rPr>
              <w:t>Yes</w:t>
            </w:r>
          </w:p>
        </w:tc>
        <w:tc>
          <w:tcPr>
            <w:tcW w:w="1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NCGCC</w:t>
            </w:r>
          </w:p>
        </w:tc>
        <w:tc>
          <w:tcPr>
            <w:tcW w:w="196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 TriNet Group, Inc.</w:t>
            </w:r>
          </w:p>
        </w:tc>
        <w:tc>
          <w:tcPr>
            <w:tcW w:w="0" w:type="dxa"/>
            <w:vAlign w:val="bottom"/>
          </w:tcPr>
          <w:p>
            <w:pPr>
              <w:spacing w:after="0"/>
              <w:rPr>
                <w:sz w:val="1"/>
                <w:szCs w:val="1"/>
                <w:color w:val="auto"/>
              </w:rPr>
            </w:pPr>
          </w:p>
        </w:tc>
      </w:tr>
      <w:tr>
        <w:trPr>
          <w:trHeight w:val="215"/>
        </w:trPr>
        <w:tc>
          <w:tcPr>
            <w:tcW w:w="15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Hodgson</w:t>
            </w:r>
          </w:p>
        </w:tc>
        <w:tc>
          <w:tcPr>
            <w:tcW w:w="960" w:type="dxa"/>
            <w:vAlign w:val="bottom"/>
            <w:tcBorders>
              <w:right w:val="single" w:sz="8" w:color="95B3D7"/>
            </w:tcBorders>
            <w:shd w:val="clear" w:color="auto" w:fill="DBE5F1"/>
          </w:tcPr>
          <w:p>
            <w:pPr>
              <w:spacing w:after="0"/>
              <w:rPr>
                <w:sz w:val="18"/>
                <w:szCs w:val="18"/>
                <w:color w:val="auto"/>
              </w:rPr>
            </w:pPr>
          </w:p>
        </w:tc>
        <w:tc>
          <w:tcPr>
            <w:tcW w:w="960" w:type="dxa"/>
            <w:vAlign w:val="bottom"/>
            <w:tcBorders>
              <w:right w:val="single" w:sz="8" w:color="95B3D7"/>
            </w:tcBorders>
            <w:shd w:val="clear" w:color="auto" w:fill="DBE5F1"/>
          </w:tcPr>
          <w:p>
            <w:pPr>
              <w:spacing w:after="0"/>
              <w:rPr>
                <w:sz w:val="18"/>
                <w:szCs w:val="18"/>
                <w:color w:val="auto"/>
              </w:rPr>
            </w:pPr>
          </w:p>
        </w:tc>
        <w:tc>
          <w:tcPr>
            <w:tcW w:w="1200" w:type="dxa"/>
            <w:vAlign w:val="bottom"/>
            <w:tcBorders>
              <w:right w:val="single" w:sz="8" w:color="95B3D7"/>
            </w:tcBorders>
            <w:shd w:val="clear" w:color="auto" w:fill="DBE5F1"/>
          </w:tcPr>
          <w:p>
            <w:pPr>
              <w:spacing w:after="0"/>
              <w:rPr>
                <w:sz w:val="18"/>
                <w:szCs w:val="18"/>
                <w:color w:val="auto"/>
              </w:rPr>
            </w:pPr>
          </w:p>
        </w:tc>
        <w:tc>
          <w:tcPr>
            <w:tcW w:w="960" w:type="dxa"/>
            <w:vAlign w:val="bottom"/>
            <w:tcBorders>
              <w:right w:val="single" w:sz="8" w:color="95B3D7"/>
            </w:tcBorders>
            <w:shd w:val="clear" w:color="auto" w:fill="DBE5F1"/>
          </w:tcPr>
          <w:p>
            <w:pPr>
              <w:spacing w:after="0"/>
              <w:rPr>
                <w:sz w:val="18"/>
                <w:szCs w:val="18"/>
                <w:color w:val="auto"/>
              </w:rPr>
            </w:pPr>
          </w:p>
        </w:tc>
        <w:tc>
          <w:tcPr>
            <w:tcW w:w="1440" w:type="dxa"/>
            <w:vAlign w:val="bottom"/>
            <w:tcBorders>
              <w:right w:val="single" w:sz="8" w:color="95B3D7"/>
            </w:tcBorders>
            <w:shd w:val="clear" w:color="auto" w:fill="DBE5F1"/>
          </w:tcPr>
          <w:p>
            <w:pPr>
              <w:spacing w:after="0"/>
              <w:rPr>
                <w:sz w:val="18"/>
                <w:szCs w:val="18"/>
                <w:color w:val="auto"/>
              </w:rPr>
            </w:pPr>
          </w:p>
        </w:tc>
        <w:tc>
          <w:tcPr>
            <w:tcW w:w="1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(Chair)</w:t>
            </w:r>
          </w:p>
        </w:tc>
        <w:tc>
          <w:tcPr>
            <w:tcW w:w="1960" w:type="dxa"/>
            <w:vAlign w:val="bottom"/>
            <w:vMerge w:val="restart"/>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 Royalty Pharma plc</w:t>
            </w:r>
          </w:p>
        </w:tc>
        <w:tc>
          <w:tcPr>
            <w:tcW w:w="0" w:type="dxa"/>
            <w:vAlign w:val="bottom"/>
          </w:tcPr>
          <w:p>
            <w:pPr>
              <w:spacing w:after="0"/>
              <w:rPr>
                <w:sz w:val="1"/>
                <w:szCs w:val="1"/>
                <w:color w:val="auto"/>
              </w:rPr>
            </w:pPr>
          </w:p>
        </w:tc>
      </w:tr>
      <w:tr>
        <w:trPr>
          <w:trHeight w:val="173"/>
        </w:trPr>
        <w:tc>
          <w:tcPr>
            <w:tcW w:w="1580" w:type="dxa"/>
            <w:vAlign w:val="bottom"/>
            <w:tcBorders>
              <w:bottom w:val="single" w:sz="8" w:color="95B3D7"/>
              <w:right w:val="single" w:sz="8" w:color="95B3D7"/>
            </w:tcBorders>
            <w:shd w:val="clear" w:color="auto" w:fill="DBE5F1"/>
          </w:tcPr>
          <w:p>
            <w:pPr>
              <w:spacing w:after="0"/>
              <w:rPr>
                <w:sz w:val="15"/>
                <w:szCs w:val="15"/>
                <w:color w:val="auto"/>
              </w:rPr>
            </w:pPr>
          </w:p>
        </w:tc>
        <w:tc>
          <w:tcPr>
            <w:tcW w:w="960" w:type="dxa"/>
            <w:vAlign w:val="bottom"/>
            <w:tcBorders>
              <w:bottom w:val="single" w:sz="8" w:color="95B3D7"/>
              <w:right w:val="single" w:sz="8" w:color="95B3D7"/>
            </w:tcBorders>
            <w:shd w:val="clear" w:color="auto" w:fill="DBE5F1"/>
          </w:tcPr>
          <w:p>
            <w:pPr>
              <w:spacing w:after="0"/>
              <w:rPr>
                <w:sz w:val="15"/>
                <w:szCs w:val="15"/>
                <w:color w:val="auto"/>
              </w:rPr>
            </w:pPr>
          </w:p>
        </w:tc>
        <w:tc>
          <w:tcPr>
            <w:tcW w:w="960" w:type="dxa"/>
            <w:vAlign w:val="bottom"/>
            <w:tcBorders>
              <w:bottom w:val="single" w:sz="8" w:color="95B3D7"/>
              <w:right w:val="single" w:sz="8" w:color="95B3D7"/>
            </w:tcBorders>
            <w:shd w:val="clear" w:color="auto" w:fill="DBE5F1"/>
          </w:tcPr>
          <w:p>
            <w:pPr>
              <w:spacing w:after="0"/>
              <w:rPr>
                <w:sz w:val="15"/>
                <w:szCs w:val="15"/>
                <w:color w:val="auto"/>
              </w:rPr>
            </w:pPr>
          </w:p>
        </w:tc>
        <w:tc>
          <w:tcPr>
            <w:tcW w:w="1200" w:type="dxa"/>
            <w:vAlign w:val="bottom"/>
            <w:tcBorders>
              <w:bottom w:val="single" w:sz="8" w:color="95B3D7"/>
              <w:right w:val="single" w:sz="8" w:color="95B3D7"/>
            </w:tcBorders>
            <w:shd w:val="clear" w:color="auto" w:fill="DBE5F1"/>
          </w:tcPr>
          <w:p>
            <w:pPr>
              <w:spacing w:after="0"/>
              <w:rPr>
                <w:sz w:val="15"/>
                <w:szCs w:val="15"/>
                <w:color w:val="auto"/>
              </w:rPr>
            </w:pPr>
          </w:p>
        </w:tc>
        <w:tc>
          <w:tcPr>
            <w:tcW w:w="960" w:type="dxa"/>
            <w:vAlign w:val="bottom"/>
            <w:tcBorders>
              <w:bottom w:val="single" w:sz="8" w:color="95B3D7"/>
              <w:right w:val="single" w:sz="8" w:color="95B3D7"/>
            </w:tcBorders>
            <w:shd w:val="clear" w:color="auto" w:fill="DBE5F1"/>
          </w:tcPr>
          <w:p>
            <w:pPr>
              <w:spacing w:after="0"/>
              <w:rPr>
                <w:sz w:val="15"/>
                <w:szCs w:val="15"/>
                <w:color w:val="auto"/>
              </w:rPr>
            </w:pPr>
          </w:p>
        </w:tc>
        <w:tc>
          <w:tcPr>
            <w:tcW w:w="1440" w:type="dxa"/>
            <w:vAlign w:val="bottom"/>
            <w:tcBorders>
              <w:bottom w:val="single" w:sz="8" w:color="95B3D7"/>
              <w:right w:val="single" w:sz="8" w:color="95B3D7"/>
            </w:tcBorders>
            <w:shd w:val="clear" w:color="auto" w:fill="DBE5F1"/>
          </w:tcPr>
          <w:p>
            <w:pPr>
              <w:spacing w:after="0"/>
              <w:rPr>
                <w:sz w:val="15"/>
                <w:szCs w:val="15"/>
                <w:color w:val="auto"/>
              </w:rPr>
            </w:pPr>
          </w:p>
        </w:tc>
        <w:tc>
          <w:tcPr>
            <w:tcW w:w="1960" w:type="dxa"/>
            <w:vAlign w:val="bottom"/>
            <w:tcBorders>
              <w:bottom w:val="single" w:sz="8" w:color="95B3D7"/>
              <w:right w:val="single" w:sz="8" w:color="95B3D7"/>
            </w:tcBorders>
            <w:shd w:val="clear" w:color="auto" w:fill="DBE5F1"/>
          </w:tcPr>
          <w:p>
            <w:pPr>
              <w:spacing w:after="0"/>
              <w:rPr>
                <w:sz w:val="15"/>
                <w:szCs w:val="15"/>
                <w:color w:val="auto"/>
              </w:rPr>
            </w:pPr>
          </w:p>
        </w:tc>
        <w:tc>
          <w:tcPr>
            <w:tcW w:w="1960" w:type="dxa"/>
            <w:vAlign w:val="bottom"/>
            <w:tcBorders>
              <w:bottom w:val="single" w:sz="8" w:color="95B3D7"/>
            </w:tcBorders>
            <w:vMerge w:val="continue"/>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1580" w:type="dxa"/>
            <w:vAlign w:val="bottom"/>
            <w:tcBorders>
              <w:right w:val="single" w:sz="8" w:color="95B3D7"/>
            </w:tcBorders>
          </w:tcPr>
          <w:p>
            <w:pPr>
              <w:ind w:left="140"/>
              <w:spacing w:after="0"/>
              <w:rPr>
                <w:sz w:val="20"/>
                <w:szCs w:val="20"/>
                <w:color w:val="auto"/>
              </w:rPr>
            </w:pPr>
            <w:r>
              <w:rPr>
                <w:rFonts w:ascii="Arial" w:cs="Arial" w:eastAsia="Arial" w:hAnsi="Arial"/>
                <w:sz w:val="16"/>
                <w:szCs w:val="16"/>
                <w:color w:val="auto"/>
              </w:rPr>
              <w:t>Jacqueline</w:t>
            </w:r>
          </w:p>
        </w:tc>
        <w:tc>
          <w:tcPr>
            <w:tcW w:w="960" w:type="dxa"/>
            <w:vAlign w:val="bottom"/>
            <w:tcBorders>
              <w:right w:val="single" w:sz="8" w:color="95B3D7"/>
            </w:tcBorders>
          </w:tcPr>
          <w:p>
            <w:pPr>
              <w:ind w:left="400"/>
              <w:spacing w:after="0"/>
              <w:rPr>
                <w:sz w:val="20"/>
                <w:szCs w:val="20"/>
                <w:color w:val="auto"/>
              </w:rPr>
            </w:pPr>
            <w:r>
              <w:rPr>
                <w:rFonts w:ascii="Arial" w:cs="Arial" w:eastAsia="Arial" w:hAnsi="Arial"/>
                <w:sz w:val="16"/>
                <w:szCs w:val="16"/>
                <w:color w:val="auto"/>
              </w:rPr>
              <w:t>II</w:t>
            </w:r>
          </w:p>
        </w:tc>
        <w:tc>
          <w:tcPr>
            <w:tcW w:w="960" w:type="dxa"/>
            <w:vAlign w:val="bottom"/>
            <w:tcBorders>
              <w:right w:val="single" w:sz="8" w:color="95B3D7"/>
            </w:tcBorders>
          </w:tcPr>
          <w:p>
            <w:pPr>
              <w:jc w:val="center"/>
              <w:ind w:left="19"/>
              <w:spacing w:after="0"/>
              <w:rPr>
                <w:sz w:val="20"/>
                <w:szCs w:val="20"/>
                <w:color w:val="auto"/>
              </w:rPr>
            </w:pPr>
            <w:r>
              <w:rPr>
                <w:rFonts w:ascii="Arial" w:cs="Arial" w:eastAsia="Arial" w:hAnsi="Arial"/>
                <w:sz w:val="16"/>
                <w:szCs w:val="16"/>
                <w:color w:val="auto"/>
              </w:rPr>
              <w:t>74</w:t>
            </w:r>
          </w:p>
        </w:tc>
        <w:tc>
          <w:tcPr>
            <w:tcW w:w="1200" w:type="dxa"/>
            <w:vAlign w:val="bottom"/>
            <w:tcBorders>
              <w:right w:val="single" w:sz="8" w:color="95B3D7"/>
            </w:tcBorders>
          </w:tcPr>
          <w:p>
            <w:pPr>
              <w:jc w:val="right"/>
              <w:ind w:right="299"/>
              <w:spacing w:after="0"/>
              <w:rPr>
                <w:sz w:val="20"/>
                <w:szCs w:val="20"/>
                <w:color w:val="auto"/>
              </w:rPr>
            </w:pPr>
            <w:r>
              <w:rPr>
                <w:rFonts w:ascii="Arial" w:cs="Arial" w:eastAsia="Arial" w:hAnsi="Arial"/>
                <w:sz w:val="16"/>
                <w:szCs w:val="16"/>
                <w:color w:val="auto"/>
              </w:rPr>
              <w:t>2017</w:t>
            </w:r>
          </w:p>
        </w:tc>
        <w:tc>
          <w:tcPr>
            <w:tcW w:w="960" w:type="dxa"/>
            <w:vAlign w:val="bottom"/>
            <w:tcBorders>
              <w:right w:val="single" w:sz="8" w:color="95B3D7"/>
            </w:tcBorders>
          </w:tcPr>
          <w:p>
            <w:pPr>
              <w:jc w:val="right"/>
              <w:ind w:right="179"/>
              <w:spacing w:after="0"/>
              <w:rPr>
                <w:sz w:val="20"/>
                <w:szCs w:val="20"/>
                <w:color w:val="auto"/>
              </w:rPr>
            </w:pPr>
            <w:r>
              <w:rPr>
                <w:rFonts w:ascii="Arial" w:cs="Arial" w:eastAsia="Arial" w:hAnsi="Arial"/>
                <w:sz w:val="16"/>
                <w:szCs w:val="16"/>
                <w:color w:val="auto"/>
              </w:rPr>
              <w:t>2026</w:t>
            </w:r>
          </w:p>
        </w:tc>
        <w:tc>
          <w:tcPr>
            <w:tcW w:w="1440" w:type="dxa"/>
            <w:vAlign w:val="bottom"/>
            <w:tcBorders>
              <w:right w:val="single" w:sz="8" w:color="95B3D7"/>
            </w:tcBorders>
          </w:tcPr>
          <w:p>
            <w:pPr>
              <w:ind w:left="640"/>
              <w:spacing w:after="0"/>
              <w:rPr>
                <w:sz w:val="20"/>
                <w:szCs w:val="20"/>
                <w:color w:val="auto"/>
              </w:rPr>
            </w:pPr>
            <w:r>
              <w:rPr>
                <w:rFonts w:ascii="Arial" w:cs="Arial" w:eastAsia="Arial" w:hAnsi="Arial"/>
                <w:sz w:val="16"/>
                <w:szCs w:val="16"/>
                <w:color w:val="auto"/>
              </w:rPr>
              <w:t>Yes</w:t>
            </w:r>
          </w:p>
        </w:tc>
        <w:tc>
          <w:tcPr>
            <w:tcW w:w="19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Compensation</w:t>
            </w:r>
          </w:p>
        </w:tc>
        <w:tc>
          <w:tcPr>
            <w:tcW w:w="19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 Houlihan Lokey, Inc.</w:t>
            </w:r>
          </w:p>
        </w:tc>
        <w:tc>
          <w:tcPr>
            <w:tcW w:w="0" w:type="dxa"/>
            <w:vAlign w:val="bottom"/>
          </w:tcPr>
          <w:p>
            <w:pPr>
              <w:spacing w:after="0"/>
              <w:rPr>
                <w:sz w:val="1"/>
                <w:szCs w:val="1"/>
                <w:color w:val="auto"/>
              </w:rPr>
            </w:pPr>
          </w:p>
        </w:tc>
      </w:tr>
      <w:tr>
        <w:trPr>
          <w:trHeight w:val="215"/>
        </w:trPr>
        <w:tc>
          <w:tcPr>
            <w:tcW w:w="1580" w:type="dxa"/>
            <w:vAlign w:val="bottom"/>
            <w:tcBorders>
              <w:right w:val="single" w:sz="8" w:color="95B3D7"/>
            </w:tcBorders>
          </w:tcPr>
          <w:p>
            <w:pPr>
              <w:ind w:left="140"/>
              <w:spacing w:after="0"/>
              <w:rPr>
                <w:sz w:val="20"/>
                <w:szCs w:val="20"/>
                <w:color w:val="auto"/>
              </w:rPr>
            </w:pPr>
            <w:r>
              <w:rPr>
                <w:rFonts w:ascii="Arial" w:cs="Arial" w:eastAsia="Arial" w:hAnsi="Arial"/>
                <w:sz w:val="16"/>
                <w:szCs w:val="16"/>
                <w:color w:val="auto"/>
              </w:rPr>
              <w:t>Kosecoff</w:t>
            </w:r>
          </w:p>
        </w:tc>
        <w:tc>
          <w:tcPr>
            <w:tcW w:w="960" w:type="dxa"/>
            <w:vAlign w:val="bottom"/>
            <w:tcBorders>
              <w:right w:val="single" w:sz="8" w:color="95B3D7"/>
            </w:tcBorders>
          </w:tcPr>
          <w:p>
            <w:pPr>
              <w:spacing w:after="0"/>
              <w:rPr>
                <w:sz w:val="18"/>
                <w:szCs w:val="18"/>
                <w:color w:val="auto"/>
              </w:rPr>
            </w:pPr>
          </w:p>
        </w:tc>
        <w:tc>
          <w:tcPr>
            <w:tcW w:w="960" w:type="dxa"/>
            <w:vAlign w:val="bottom"/>
            <w:tcBorders>
              <w:right w:val="single" w:sz="8" w:color="95B3D7"/>
            </w:tcBorders>
          </w:tcPr>
          <w:p>
            <w:pPr>
              <w:spacing w:after="0"/>
              <w:rPr>
                <w:sz w:val="18"/>
                <w:szCs w:val="18"/>
                <w:color w:val="auto"/>
              </w:rPr>
            </w:pPr>
          </w:p>
        </w:tc>
        <w:tc>
          <w:tcPr>
            <w:tcW w:w="1200" w:type="dxa"/>
            <w:vAlign w:val="bottom"/>
            <w:tcBorders>
              <w:right w:val="single" w:sz="8" w:color="95B3D7"/>
            </w:tcBorders>
          </w:tcPr>
          <w:p>
            <w:pPr>
              <w:spacing w:after="0"/>
              <w:rPr>
                <w:sz w:val="18"/>
                <w:szCs w:val="18"/>
                <w:color w:val="auto"/>
              </w:rPr>
            </w:pPr>
          </w:p>
        </w:tc>
        <w:tc>
          <w:tcPr>
            <w:tcW w:w="960" w:type="dxa"/>
            <w:vAlign w:val="bottom"/>
            <w:tcBorders>
              <w:right w:val="single" w:sz="8" w:color="95B3D7"/>
            </w:tcBorders>
          </w:tcPr>
          <w:p>
            <w:pPr>
              <w:spacing w:after="0"/>
              <w:rPr>
                <w:sz w:val="18"/>
                <w:szCs w:val="18"/>
                <w:color w:val="auto"/>
              </w:rPr>
            </w:pPr>
          </w:p>
        </w:tc>
        <w:tc>
          <w:tcPr>
            <w:tcW w:w="1440" w:type="dxa"/>
            <w:vAlign w:val="bottom"/>
            <w:tcBorders>
              <w:right w:val="single" w:sz="8" w:color="95B3D7"/>
            </w:tcBorders>
          </w:tcPr>
          <w:p>
            <w:pPr>
              <w:spacing w:after="0"/>
              <w:rPr>
                <w:sz w:val="18"/>
                <w:szCs w:val="18"/>
                <w:color w:val="auto"/>
              </w:rPr>
            </w:pPr>
          </w:p>
        </w:tc>
        <w:tc>
          <w:tcPr>
            <w:tcW w:w="196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NCGCC</w:t>
            </w:r>
          </w:p>
        </w:tc>
        <w:tc>
          <w:tcPr>
            <w:tcW w:w="19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 Steris plc</w:t>
            </w:r>
          </w:p>
        </w:tc>
        <w:tc>
          <w:tcPr>
            <w:tcW w:w="0" w:type="dxa"/>
            <w:vAlign w:val="bottom"/>
          </w:tcPr>
          <w:p>
            <w:pPr>
              <w:spacing w:after="0"/>
              <w:rPr>
                <w:sz w:val="1"/>
                <w:szCs w:val="1"/>
                <w:color w:val="auto"/>
              </w:rPr>
            </w:pPr>
          </w:p>
        </w:tc>
      </w:tr>
      <w:tr>
        <w:trPr>
          <w:trHeight w:val="168"/>
        </w:trPr>
        <w:tc>
          <w:tcPr>
            <w:tcW w:w="1580" w:type="dxa"/>
            <w:vAlign w:val="bottom"/>
            <w:tcBorders>
              <w:right w:val="single" w:sz="8" w:color="95B3D7"/>
            </w:tcBorders>
          </w:tcPr>
          <w:p>
            <w:pPr>
              <w:spacing w:after="0"/>
              <w:rPr>
                <w:sz w:val="14"/>
                <w:szCs w:val="14"/>
                <w:color w:val="auto"/>
              </w:rPr>
            </w:pPr>
          </w:p>
        </w:tc>
        <w:tc>
          <w:tcPr>
            <w:tcW w:w="960" w:type="dxa"/>
            <w:vAlign w:val="bottom"/>
            <w:tcBorders>
              <w:right w:val="single" w:sz="8" w:color="95B3D7"/>
            </w:tcBorders>
          </w:tcPr>
          <w:p>
            <w:pPr>
              <w:spacing w:after="0"/>
              <w:rPr>
                <w:sz w:val="14"/>
                <w:szCs w:val="14"/>
                <w:color w:val="auto"/>
              </w:rPr>
            </w:pPr>
          </w:p>
        </w:tc>
        <w:tc>
          <w:tcPr>
            <w:tcW w:w="960" w:type="dxa"/>
            <w:vAlign w:val="bottom"/>
            <w:tcBorders>
              <w:right w:val="single" w:sz="8" w:color="95B3D7"/>
            </w:tcBorders>
          </w:tcPr>
          <w:p>
            <w:pPr>
              <w:spacing w:after="0"/>
              <w:rPr>
                <w:sz w:val="14"/>
                <w:szCs w:val="14"/>
                <w:color w:val="auto"/>
              </w:rPr>
            </w:pPr>
          </w:p>
        </w:tc>
        <w:tc>
          <w:tcPr>
            <w:tcW w:w="1200" w:type="dxa"/>
            <w:vAlign w:val="bottom"/>
            <w:tcBorders>
              <w:right w:val="single" w:sz="8" w:color="95B3D7"/>
            </w:tcBorders>
          </w:tcPr>
          <w:p>
            <w:pPr>
              <w:spacing w:after="0"/>
              <w:rPr>
                <w:sz w:val="14"/>
                <w:szCs w:val="14"/>
                <w:color w:val="auto"/>
              </w:rPr>
            </w:pPr>
          </w:p>
        </w:tc>
        <w:tc>
          <w:tcPr>
            <w:tcW w:w="960" w:type="dxa"/>
            <w:vAlign w:val="bottom"/>
            <w:tcBorders>
              <w:right w:val="single" w:sz="8" w:color="95B3D7"/>
            </w:tcBorders>
          </w:tcPr>
          <w:p>
            <w:pPr>
              <w:spacing w:after="0"/>
              <w:rPr>
                <w:sz w:val="14"/>
                <w:szCs w:val="14"/>
                <w:color w:val="auto"/>
              </w:rPr>
            </w:pPr>
          </w:p>
        </w:tc>
        <w:tc>
          <w:tcPr>
            <w:tcW w:w="1440" w:type="dxa"/>
            <w:vAlign w:val="bottom"/>
            <w:tcBorders>
              <w:right w:val="single" w:sz="8" w:color="95B3D7"/>
            </w:tcBorders>
          </w:tcPr>
          <w:p>
            <w:pPr>
              <w:spacing w:after="0"/>
              <w:rPr>
                <w:sz w:val="14"/>
                <w:szCs w:val="14"/>
                <w:color w:val="auto"/>
              </w:rPr>
            </w:pPr>
          </w:p>
        </w:tc>
        <w:tc>
          <w:tcPr>
            <w:tcW w:w="1960" w:type="dxa"/>
            <w:vAlign w:val="bottom"/>
            <w:tcBorders>
              <w:right w:val="single" w:sz="8" w:color="95B3D7"/>
            </w:tcBorders>
          </w:tcPr>
          <w:p>
            <w:pPr>
              <w:spacing w:after="0"/>
              <w:rPr>
                <w:sz w:val="14"/>
                <w:szCs w:val="14"/>
                <w:color w:val="auto"/>
              </w:rPr>
            </w:pPr>
          </w:p>
        </w:tc>
        <w:tc>
          <w:tcPr>
            <w:tcW w:w="1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580" w:type="dxa"/>
            <w:vAlign w:val="bottom"/>
            <w:tcBorders>
              <w:bottom w:val="single" w:sz="8" w:color="95B3D7"/>
              <w:right w:val="single" w:sz="8" w:color="95B3D7"/>
            </w:tcBorders>
          </w:tcPr>
          <w:p>
            <w:pPr>
              <w:spacing w:after="0"/>
              <w:rPr>
                <w:sz w:val="24"/>
                <w:szCs w:val="24"/>
                <w:color w:val="auto"/>
              </w:rPr>
            </w:pPr>
          </w:p>
        </w:tc>
        <w:tc>
          <w:tcPr>
            <w:tcW w:w="960" w:type="dxa"/>
            <w:vAlign w:val="bottom"/>
            <w:tcBorders>
              <w:bottom w:val="single" w:sz="8" w:color="95B3D7"/>
              <w:right w:val="single" w:sz="8" w:color="95B3D7"/>
            </w:tcBorders>
          </w:tcPr>
          <w:p>
            <w:pPr>
              <w:spacing w:after="0"/>
              <w:rPr>
                <w:sz w:val="24"/>
                <w:szCs w:val="24"/>
                <w:color w:val="auto"/>
              </w:rPr>
            </w:pPr>
          </w:p>
        </w:tc>
        <w:tc>
          <w:tcPr>
            <w:tcW w:w="960" w:type="dxa"/>
            <w:vAlign w:val="bottom"/>
            <w:tcBorders>
              <w:bottom w:val="single" w:sz="8" w:color="95B3D7"/>
              <w:right w:val="single" w:sz="8" w:color="95B3D7"/>
            </w:tcBorders>
          </w:tcPr>
          <w:p>
            <w:pPr>
              <w:spacing w:after="0"/>
              <w:rPr>
                <w:sz w:val="24"/>
                <w:szCs w:val="24"/>
                <w:color w:val="auto"/>
              </w:rPr>
            </w:pPr>
          </w:p>
        </w:tc>
        <w:tc>
          <w:tcPr>
            <w:tcW w:w="1200" w:type="dxa"/>
            <w:vAlign w:val="bottom"/>
            <w:tcBorders>
              <w:bottom w:val="single" w:sz="8" w:color="95B3D7"/>
              <w:right w:val="single" w:sz="8" w:color="95B3D7"/>
            </w:tcBorders>
          </w:tcPr>
          <w:p>
            <w:pPr>
              <w:spacing w:after="0"/>
              <w:rPr>
                <w:sz w:val="24"/>
                <w:szCs w:val="24"/>
                <w:color w:val="auto"/>
              </w:rPr>
            </w:pPr>
          </w:p>
        </w:tc>
        <w:tc>
          <w:tcPr>
            <w:tcW w:w="960" w:type="dxa"/>
            <w:vAlign w:val="bottom"/>
            <w:tcBorders>
              <w:bottom w:val="single" w:sz="8" w:color="95B3D7"/>
              <w:right w:val="single" w:sz="8" w:color="95B3D7"/>
            </w:tcBorders>
          </w:tcPr>
          <w:p>
            <w:pPr>
              <w:spacing w:after="0"/>
              <w:rPr>
                <w:sz w:val="24"/>
                <w:szCs w:val="24"/>
                <w:color w:val="auto"/>
              </w:rPr>
            </w:pPr>
          </w:p>
        </w:tc>
        <w:tc>
          <w:tcPr>
            <w:tcW w:w="1440" w:type="dxa"/>
            <w:vAlign w:val="bottom"/>
            <w:tcBorders>
              <w:bottom w:val="single" w:sz="8" w:color="95B3D7"/>
              <w:right w:val="single" w:sz="8" w:color="95B3D7"/>
            </w:tcBorders>
          </w:tcPr>
          <w:p>
            <w:pPr>
              <w:spacing w:after="0"/>
              <w:rPr>
                <w:sz w:val="24"/>
                <w:szCs w:val="24"/>
                <w:color w:val="auto"/>
              </w:rPr>
            </w:pPr>
          </w:p>
        </w:tc>
        <w:tc>
          <w:tcPr>
            <w:tcW w:w="1960" w:type="dxa"/>
            <w:vAlign w:val="bottom"/>
            <w:tcBorders>
              <w:bottom w:val="single" w:sz="8" w:color="95B3D7"/>
              <w:right w:val="single" w:sz="8" w:color="95B3D7"/>
            </w:tcBorders>
          </w:tcPr>
          <w:p>
            <w:pPr>
              <w:spacing w:after="0"/>
              <w:rPr>
                <w:sz w:val="24"/>
                <w:szCs w:val="24"/>
                <w:color w:val="auto"/>
              </w:rPr>
            </w:pPr>
          </w:p>
        </w:tc>
        <w:tc>
          <w:tcPr>
            <w:tcW w:w="1960" w:type="dxa"/>
            <w:vAlign w:val="bottom"/>
            <w:tcBorders>
              <w:bottom w:val="single" w:sz="8" w:color="95B3D7"/>
            </w:tcBorders>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 TriNet Group, Inc.</w:t>
            </w:r>
          </w:p>
        </w:tc>
        <w:tc>
          <w:tcPr>
            <w:tcW w:w="0" w:type="dxa"/>
            <w:vAlign w:val="bottom"/>
          </w:tcPr>
          <w:p>
            <w:pPr>
              <w:spacing w:after="0"/>
              <w:rPr>
                <w:sz w:val="1"/>
                <w:szCs w:val="1"/>
                <w:color w:val="auto"/>
              </w:rPr>
            </w:pPr>
          </w:p>
        </w:tc>
      </w:tr>
      <w:tr>
        <w:trPr>
          <w:trHeight w:val="268"/>
        </w:trPr>
        <w:tc>
          <w:tcPr>
            <w:tcW w:w="158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Jeffrey</w:t>
            </w:r>
          </w:p>
        </w:tc>
        <w:tc>
          <w:tcPr>
            <w:tcW w:w="960" w:type="dxa"/>
            <w:vAlign w:val="bottom"/>
            <w:tcBorders>
              <w:right w:val="single" w:sz="8" w:color="95B3D7"/>
            </w:tcBorders>
            <w:shd w:val="clear" w:color="auto" w:fill="DBE5F1"/>
          </w:tcPr>
          <w:p>
            <w:pPr>
              <w:ind w:left="400"/>
              <w:spacing w:after="0"/>
              <w:rPr>
                <w:sz w:val="20"/>
                <w:szCs w:val="20"/>
                <w:color w:val="auto"/>
              </w:rPr>
            </w:pPr>
            <w:r>
              <w:rPr>
                <w:rFonts w:ascii="Arial" w:cs="Arial" w:eastAsia="Arial" w:hAnsi="Arial"/>
                <w:sz w:val="16"/>
                <w:szCs w:val="16"/>
                <w:color w:val="auto"/>
              </w:rPr>
              <w:t>II</w:t>
            </w:r>
          </w:p>
        </w:tc>
        <w:tc>
          <w:tcPr>
            <w:tcW w:w="960" w:type="dxa"/>
            <w:vAlign w:val="bottom"/>
            <w:tcBorders>
              <w:right w:val="single" w:sz="8" w:color="95B3D7"/>
            </w:tcBorders>
            <w:shd w:val="clear" w:color="auto" w:fill="DBE5F1"/>
          </w:tcPr>
          <w:p>
            <w:pPr>
              <w:jc w:val="center"/>
              <w:ind w:left="19"/>
              <w:spacing w:after="0"/>
              <w:rPr>
                <w:sz w:val="20"/>
                <w:szCs w:val="20"/>
                <w:color w:val="auto"/>
              </w:rPr>
            </w:pPr>
            <w:r>
              <w:rPr>
                <w:rFonts w:ascii="Arial" w:cs="Arial" w:eastAsia="Arial" w:hAnsi="Arial"/>
                <w:sz w:val="16"/>
                <w:szCs w:val="16"/>
                <w:color w:val="auto"/>
              </w:rPr>
              <w:t>60</w:t>
            </w:r>
          </w:p>
        </w:tc>
        <w:tc>
          <w:tcPr>
            <w:tcW w:w="1200" w:type="dxa"/>
            <w:vAlign w:val="bottom"/>
            <w:tcBorders>
              <w:right w:val="single" w:sz="8" w:color="95B3D7"/>
            </w:tcBorders>
            <w:shd w:val="clear" w:color="auto" w:fill="DBE5F1"/>
          </w:tcPr>
          <w:p>
            <w:pPr>
              <w:jc w:val="right"/>
              <w:ind w:right="299"/>
              <w:spacing w:after="0"/>
              <w:rPr>
                <w:sz w:val="20"/>
                <w:szCs w:val="20"/>
                <w:color w:val="auto"/>
              </w:rPr>
            </w:pPr>
            <w:r>
              <w:rPr>
                <w:rFonts w:ascii="Arial" w:cs="Arial" w:eastAsia="Arial" w:hAnsi="Arial"/>
                <w:sz w:val="16"/>
                <w:szCs w:val="16"/>
                <w:color w:val="auto"/>
              </w:rPr>
              <w:t>2014</w:t>
            </w:r>
          </w:p>
        </w:tc>
        <w:tc>
          <w:tcPr>
            <w:tcW w:w="960" w:type="dxa"/>
            <w:vAlign w:val="bottom"/>
            <w:tcBorders>
              <w:right w:val="single" w:sz="8" w:color="95B3D7"/>
            </w:tcBorders>
            <w:shd w:val="clear" w:color="auto" w:fill="DBE5F1"/>
          </w:tcPr>
          <w:p>
            <w:pPr>
              <w:jc w:val="right"/>
              <w:ind w:right="179"/>
              <w:spacing w:after="0"/>
              <w:rPr>
                <w:sz w:val="20"/>
                <w:szCs w:val="20"/>
                <w:color w:val="auto"/>
              </w:rPr>
            </w:pPr>
            <w:r>
              <w:rPr>
                <w:rFonts w:ascii="Arial" w:cs="Arial" w:eastAsia="Arial" w:hAnsi="Arial"/>
                <w:sz w:val="16"/>
                <w:szCs w:val="16"/>
                <w:color w:val="auto"/>
              </w:rPr>
              <w:t>2026</w:t>
            </w:r>
          </w:p>
        </w:tc>
        <w:tc>
          <w:tcPr>
            <w:tcW w:w="1440" w:type="dxa"/>
            <w:vAlign w:val="bottom"/>
            <w:tcBorders>
              <w:right w:val="single" w:sz="8" w:color="95B3D7"/>
            </w:tcBorders>
            <w:shd w:val="clear" w:color="auto" w:fill="DBE5F1"/>
          </w:tcPr>
          <w:p>
            <w:pPr>
              <w:ind w:left="640"/>
              <w:spacing w:after="0"/>
              <w:rPr>
                <w:sz w:val="20"/>
                <w:szCs w:val="20"/>
                <w:color w:val="auto"/>
              </w:rPr>
            </w:pPr>
            <w:r>
              <w:rPr>
                <w:rFonts w:ascii="Arial" w:cs="Arial" w:eastAsia="Arial" w:hAnsi="Arial"/>
                <w:sz w:val="16"/>
                <w:szCs w:val="16"/>
                <w:color w:val="auto"/>
              </w:rPr>
              <w:t>Yes</w:t>
            </w:r>
          </w:p>
        </w:tc>
        <w:tc>
          <w:tcPr>
            <w:tcW w:w="1960" w:type="dxa"/>
            <w:vAlign w:val="bottom"/>
            <w:tcBorders>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Audit (Chair)</w:t>
            </w:r>
          </w:p>
        </w:tc>
        <w:tc>
          <w:tcPr>
            <w:tcW w:w="196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 NextGen</w:t>
            </w:r>
          </w:p>
        </w:tc>
        <w:tc>
          <w:tcPr>
            <w:tcW w:w="0" w:type="dxa"/>
            <w:vAlign w:val="bottom"/>
          </w:tcPr>
          <w:p>
            <w:pPr>
              <w:spacing w:after="0"/>
              <w:rPr>
                <w:sz w:val="1"/>
                <w:szCs w:val="1"/>
                <w:color w:val="auto"/>
              </w:rPr>
            </w:pPr>
          </w:p>
        </w:tc>
      </w:tr>
      <w:tr>
        <w:trPr>
          <w:trHeight w:val="291"/>
        </w:trPr>
        <w:tc>
          <w:tcPr>
            <w:tcW w:w="158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Margolis</w:t>
            </w:r>
          </w:p>
        </w:tc>
        <w:tc>
          <w:tcPr>
            <w:tcW w:w="960" w:type="dxa"/>
            <w:vAlign w:val="bottom"/>
            <w:tcBorders>
              <w:bottom w:val="single" w:sz="8" w:color="DBE5F1"/>
              <w:right w:val="single" w:sz="8" w:color="95B3D7"/>
            </w:tcBorders>
            <w:shd w:val="clear" w:color="auto" w:fill="DBE5F1"/>
          </w:tcPr>
          <w:p>
            <w:pPr>
              <w:spacing w:after="0"/>
              <w:rPr>
                <w:sz w:val="24"/>
                <w:szCs w:val="24"/>
                <w:color w:val="auto"/>
              </w:rPr>
            </w:pPr>
          </w:p>
        </w:tc>
        <w:tc>
          <w:tcPr>
            <w:tcW w:w="960" w:type="dxa"/>
            <w:vAlign w:val="bottom"/>
            <w:tcBorders>
              <w:bottom w:val="single" w:sz="8" w:color="DBE5F1"/>
              <w:right w:val="single" w:sz="8" w:color="95B3D7"/>
            </w:tcBorders>
            <w:shd w:val="clear" w:color="auto" w:fill="DBE5F1"/>
          </w:tcPr>
          <w:p>
            <w:pPr>
              <w:spacing w:after="0"/>
              <w:rPr>
                <w:sz w:val="24"/>
                <w:szCs w:val="24"/>
                <w:color w:val="auto"/>
              </w:rPr>
            </w:pPr>
          </w:p>
        </w:tc>
        <w:tc>
          <w:tcPr>
            <w:tcW w:w="1200" w:type="dxa"/>
            <w:vAlign w:val="bottom"/>
            <w:tcBorders>
              <w:bottom w:val="single" w:sz="8" w:color="DBE5F1"/>
              <w:right w:val="single" w:sz="8" w:color="95B3D7"/>
            </w:tcBorders>
            <w:shd w:val="clear" w:color="auto" w:fill="DBE5F1"/>
          </w:tcPr>
          <w:p>
            <w:pPr>
              <w:spacing w:after="0"/>
              <w:rPr>
                <w:sz w:val="24"/>
                <w:szCs w:val="24"/>
                <w:color w:val="auto"/>
              </w:rPr>
            </w:pPr>
          </w:p>
        </w:tc>
        <w:tc>
          <w:tcPr>
            <w:tcW w:w="960" w:type="dxa"/>
            <w:vAlign w:val="bottom"/>
            <w:tcBorders>
              <w:bottom w:val="single" w:sz="8" w:color="DBE5F1"/>
              <w:right w:val="single" w:sz="8" w:color="95B3D7"/>
            </w:tcBorders>
            <w:shd w:val="clear" w:color="auto" w:fill="DBE5F1"/>
          </w:tcPr>
          <w:p>
            <w:pPr>
              <w:spacing w:after="0"/>
              <w:rPr>
                <w:sz w:val="24"/>
                <w:szCs w:val="24"/>
                <w:color w:val="auto"/>
              </w:rPr>
            </w:pPr>
          </w:p>
        </w:tc>
        <w:tc>
          <w:tcPr>
            <w:tcW w:w="1440" w:type="dxa"/>
            <w:vAlign w:val="bottom"/>
            <w:tcBorders>
              <w:bottom w:val="single" w:sz="8" w:color="DBE5F1"/>
              <w:right w:val="single" w:sz="8" w:color="95B3D7"/>
            </w:tcBorders>
            <w:shd w:val="clear" w:color="auto" w:fill="DBE5F1"/>
          </w:tcPr>
          <w:p>
            <w:pPr>
              <w:spacing w:after="0"/>
              <w:rPr>
                <w:sz w:val="24"/>
                <w:szCs w:val="24"/>
                <w:color w:val="auto"/>
              </w:rPr>
            </w:pPr>
          </w:p>
        </w:tc>
        <w:tc>
          <w:tcPr>
            <w:tcW w:w="1960" w:type="dxa"/>
            <w:vAlign w:val="bottom"/>
            <w:tcBorders>
              <w:bottom w:val="single" w:sz="8" w:color="DBE5F1"/>
              <w:right w:val="single" w:sz="8" w:color="95B3D7"/>
            </w:tcBorders>
            <w:shd w:val="clear" w:color="auto" w:fill="DBE5F1"/>
          </w:tcPr>
          <w:p>
            <w:pPr>
              <w:spacing w:after="0"/>
              <w:rPr>
                <w:sz w:val="24"/>
                <w:szCs w:val="24"/>
                <w:color w:val="auto"/>
              </w:rPr>
            </w:pPr>
          </w:p>
        </w:tc>
        <w:tc>
          <w:tcPr>
            <w:tcW w:w="1960" w:type="dxa"/>
            <w:vAlign w:val="bottom"/>
            <w:tcBorders>
              <w:bottom w:val="single" w:sz="8" w:color="DBE5F1"/>
            </w:tcBorders>
            <w:shd w:val="clear" w:color="auto" w:fill="DBE5F1"/>
          </w:tcPr>
          <w:p>
            <w:pPr>
              <w:ind w:left="280"/>
              <w:spacing w:after="0"/>
              <w:rPr>
                <w:sz w:val="20"/>
                <w:szCs w:val="20"/>
                <w:color w:val="auto"/>
              </w:rPr>
            </w:pPr>
            <w:r>
              <w:rPr>
                <w:rFonts w:ascii="Arial" w:cs="Arial" w:eastAsia="Arial" w:hAnsi="Arial"/>
                <w:sz w:val="18"/>
                <w:szCs w:val="18"/>
                <w:color w:val="auto"/>
              </w:rPr>
              <w:t>Healthcare, Inc.</w:t>
            </w:r>
          </w:p>
        </w:tc>
        <w:tc>
          <w:tcPr>
            <w:tcW w:w="0" w:type="dxa"/>
            <w:vAlign w:val="bottom"/>
          </w:tcPr>
          <w:p>
            <w:pPr>
              <w:spacing w:after="0"/>
              <w:rPr>
                <w:sz w:val="1"/>
                <w:szCs w:val="1"/>
                <w:color w:val="auto"/>
              </w:rPr>
            </w:pPr>
          </w:p>
        </w:tc>
      </w:tr>
      <w:tr>
        <w:trPr>
          <w:trHeight w:val="20"/>
        </w:trPr>
        <w:tc>
          <w:tcPr>
            <w:tcW w:w="1580" w:type="dxa"/>
            <w:vAlign w:val="bottom"/>
            <w:tcBorders>
              <w:right w:val="single" w:sz="8" w:color="95B3D7"/>
            </w:tcBorders>
            <w:shd w:val="clear" w:color="auto" w:fill="95B3D7"/>
          </w:tcPr>
          <w:p>
            <w:pPr>
              <w:spacing w:after="0" w:line="20" w:lineRule="exact"/>
              <w:rPr>
                <w:sz w:val="1"/>
                <w:szCs w:val="1"/>
                <w:color w:val="auto"/>
              </w:rPr>
            </w:pPr>
          </w:p>
        </w:tc>
        <w:tc>
          <w:tcPr>
            <w:tcW w:w="960" w:type="dxa"/>
            <w:vAlign w:val="bottom"/>
            <w:tcBorders>
              <w:right w:val="single" w:sz="8" w:color="95B3D7"/>
            </w:tcBorders>
            <w:shd w:val="clear" w:color="auto" w:fill="95B3D7"/>
          </w:tcPr>
          <w:p>
            <w:pPr>
              <w:spacing w:after="0" w:line="20" w:lineRule="exact"/>
              <w:rPr>
                <w:sz w:val="1"/>
                <w:szCs w:val="1"/>
                <w:color w:val="auto"/>
              </w:rPr>
            </w:pPr>
          </w:p>
        </w:tc>
        <w:tc>
          <w:tcPr>
            <w:tcW w:w="960" w:type="dxa"/>
            <w:vAlign w:val="bottom"/>
            <w:tcBorders>
              <w:right w:val="single" w:sz="8" w:color="95B3D7"/>
            </w:tcBorders>
            <w:shd w:val="clear" w:color="auto" w:fill="95B3D7"/>
          </w:tcPr>
          <w:p>
            <w:pPr>
              <w:spacing w:after="0" w:line="20" w:lineRule="exact"/>
              <w:rPr>
                <w:sz w:val="1"/>
                <w:szCs w:val="1"/>
                <w:color w:val="auto"/>
              </w:rPr>
            </w:pPr>
          </w:p>
        </w:tc>
        <w:tc>
          <w:tcPr>
            <w:tcW w:w="1200" w:type="dxa"/>
            <w:vAlign w:val="bottom"/>
            <w:tcBorders>
              <w:right w:val="single" w:sz="8" w:color="95B3D7"/>
            </w:tcBorders>
            <w:shd w:val="clear" w:color="auto" w:fill="95B3D7"/>
          </w:tcPr>
          <w:p>
            <w:pPr>
              <w:spacing w:after="0" w:line="20" w:lineRule="exact"/>
              <w:rPr>
                <w:sz w:val="1"/>
                <w:szCs w:val="1"/>
                <w:color w:val="auto"/>
              </w:rPr>
            </w:pPr>
          </w:p>
        </w:tc>
        <w:tc>
          <w:tcPr>
            <w:tcW w:w="960" w:type="dxa"/>
            <w:vAlign w:val="bottom"/>
            <w:tcBorders>
              <w:right w:val="single" w:sz="8" w:color="95B3D7"/>
            </w:tcBorders>
            <w:shd w:val="clear" w:color="auto" w:fill="95B3D7"/>
          </w:tcPr>
          <w:p>
            <w:pPr>
              <w:spacing w:after="0" w:line="20" w:lineRule="exact"/>
              <w:rPr>
                <w:sz w:val="1"/>
                <w:szCs w:val="1"/>
                <w:color w:val="auto"/>
              </w:rPr>
            </w:pPr>
          </w:p>
        </w:tc>
        <w:tc>
          <w:tcPr>
            <w:tcW w:w="1440" w:type="dxa"/>
            <w:vAlign w:val="bottom"/>
            <w:tcBorders>
              <w:right w:val="single" w:sz="8" w:color="95B3D7"/>
            </w:tcBorders>
            <w:shd w:val="clear" w:color="auto" w:fill="95B3D7"/>
          </w:tcPr>
          <w:p>
            <w:pPr>
              <w:spacing w:after="0" w:line="20" w:lineRule="exact"/>
              <w:rPr>
                <w:sz w:val="1"/>
                <w:szCs w:val="1"/>
                <w:color w:val="auto"/>
              </w:rPr>
            </w:pPr>
          </w:p>
        </w:tc>
        <w:tc>
          <w:tcPr>
            <w:tcW w:w="1960" w:type="dxa"/>
            <w:vAlign w:val="bottom"/>
            <w:tcBorders>
              <w:right w:val="single" w:sz="8" w:color="95B3D7"/>
            </w:tcBorders>
            <w:shd w:val="clear" w:color="auto" w:fill="95B3D7"/>
          </w:tcPr>
          <w:p>
            <w:pPr>
              <w:spacing w:after="0" w:line="20" w:lineRule="exact"/>
              <w:rPr>
                <w:sz w:val="1"/>
                <w:szCs w:val="1"/>
                <w:color w:val="auto"/>
              </w:rPr>
            </w:pPr>
          </w:p>
        </w:tc>
        <w:tc>
          <w:tcPr>
            <w:tcW w:w="1960" w:type="dxa"/>
            <w:vAlign w:val="bottom"/>
            <w:shd w:val="clear" w:color="auto" w:fill="95B3D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2220" w:right="40"/>
        <w:spacing w:after="0" w:line="237" w:lineRule="auto"/>
        <w:rPr>
          <w:sz w:val="20"/>
          <w:szCs w:val="20"/>
          <w:color w:val="auto"/>
        </w:rPr>
      </w:pPr>
      <w:r>
        <w:rPr>
          <w:rFonts w:ascii="Arial" w:cs="Arial" w:eastAsia="Arial" w:hAnsi="Arial"/>
          <w:sz w:val="18"/>
          <w:szCs w:val="18"/>
          <w:color w:val="auto"/>
        </w:rPr>
        <w:t>Mr. Carella has served as a member of our Board since 2017. Mr. Carella has served as a Managing Director at Warburg Pincus since September 2016 where he is Head of the Healthcare group. Prior to joining Warburg Pincus, Mr. Carella was a Partner in the Merchant Banking Division of Goldman Sachs and Global Head of the division’s private equity activities in the health care sector. While at Goldman Sachs, he led, or was actively involved in several investments across life sciences, health care services and health care information technology. Mr. Carella currently serves on the board of directors of private health care companies including Aetion, Bond Vet, Polyplus, Quantum Health, Ensemble Health Partners, Pareto Health, Simtra BioPharma Solutions and WebPT. Mr. Carella previously served on the board of public companies SOC Telemed,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-1025525</wp:posOffset>
            </wp:positionV>
            <wp:extent cx="1071245" cy="10026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ind w:left="2220" w:right="80" w:hanging="2213"/>
        <w:spacing w:after="0" w:line="248" w:lineRule="auto"/>
        <w:tabs>
          <w:tab w:leader="none" w:pos="2200" w:val="left"/>
        </w:tabs>
        <w:rPr>
          <w:sz w:val="20"/>
          <w:szCs w:val="20"/>
          <w:color w:val="auto"/>
        </w:rPr>
      </w:pPr>
      <w:r>
        <w:rPr>
          <w:rFonts w:ascii="Arial" w:cs="Arial" w:eastAsia="Arial" w:hAnsi="Arial"/>
          <w:sz w:val="18"/>
          <w:szCs w:val="18"/>
          <w:b w:val="1"/>
          <w:bCs w:val="1"/>
          <w:i w:val="1"/>
          <w:iCs w:val="1"/>
          <w:color w:val="1F497D"/>
        </w:rPr>
        <w:t>Thomas Carella</w:t>
      </w:r>
      <w:r>
        <w:rPr>
          <w:sz w:val="20"/>
          <w:szCs w:val="20"/>
          <w:color w:val="auto"/>
        </w:rPr>
        <w:tab/>
      </w:r>
      <w:r>
        <w:rPr>
          <w:rFonts w:ascii="Arial" w:cs="Arial" w:eastAsia="Arial" w:hAnsi="Arial"/>
          <w:sz w:val="17"/>
          <w:szCs w:val="17"/>
          <w:color w:val="auto"/>
        </w:rPr>
        <w:t>from October 2020 to April 2022 and Outset Medical, Inc. from April 2019 to January 2021. He also previously served on the board of private companies Summit Health/City MD from 2017 to 2023, and Vertice Pharma</w:t>
      </w:r>
    </w:p>
    <w:p>
      <w:pPr>
        <w:spacing w:after="0" w:line="1" w:lineRule="exact"/>
        <w:rPr>
          <w:sz w:val="20"/>
          <w:szCs w:val="20"/>
          <w:color w:val="auto"/>
        </w:rPr>
      </w:pPr>
    </w:p>
    <w:p>
      <w:pPr>
        <w:ind w:left="2220" w:right="80"/>
        <w:spacing w:after="0" w:line="242" w:lineRule="auto"/>
        <w:rPr>
          <w:sz w:val="20"/>
          <w:szCs w:val="20"/>
          <w:color w:val="auto"/>
        </w:rPr>
      </w:pPr>
      <w:r>
        <w:rPr>
          <w:rFonts w:ascii="Arial" w:cs="Arial" w:eastAsia="Arial" w:hAnsi="Arial"/>
          <w:sz w:val="18"/>
          <w:szCs w:val="18"/>
          <w:color w:val="auto"/>
        </w:rPr>
        <w:t>from 2020 to 2022. Mr. Carella holds a B.A. from Harvard College and an M.B.A. from Harvard Business School. Mr. Carella serves on our Board because of his private equity experience and his experience on other health care companies’ boards.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20"/>
          </w:cols>
          <w:pgMar w:left="440" w:top="296" w:right="439" w:bottom="1440" w:gutter="0" w:footer="0" w:header="0"/>
        </w:sectPr>
      </w:pPr>
    </w:p>
    <w:bookmarkStart w:id="24" w:name="page25"/>
    <w:bookmarkEnd w:id="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311785</wp:posOffset>
            </wp:positionV>
            <wp:extent cx="1071245" cy="1002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Mark McClellan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2039620</wp:posOffset>
            </wp:positionV>
            <wp:extent cx="1071245" cy="10026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F497D"/>
        </w:rPr>
        <w:t>Robbert Vorhoff</w:t>
      </w:r>
    </w:p>
    <w:p>
      <w:pPr>
        <w:spacing w:after="0" w:line="20" w:lineRule="exact"/>
        <w:rPr>
          <w:sz w:val="20"/>
          <w:szCs w:val="20"/>
          <w:color w:val="auto"/>
        </w:rPr>
      </w:pPr>
      <w:r>
        <w:rPr>
          <w:sz w:val="20"/>
          <w:szCs w:val="20"/>
          <w:color w:val="auto"/>
        </w:rPr>
        <w:br w:type="column"/>
      </w:r>
    </w:p>
    <w:p>
      <w:pPr>
        <w:spacing w:after="0" w:line="236" w:lineRule="auto"/>
        <w:rPr>
          <w:sz w:val="20"/>
          <w:szCs w:val="20"/>
          <w:color w:val="auto"/>
        </w:rPr>
      </w:pPr>
      <w:r>
        <w:rPr>
          <w:rFonts w:ascii="Arial" w:cs="Arial" w:eastAsia="Arial" w:hAnsi="Arial"/>
          <w:sz w:val="18"/>
          <w:szCs w:val="18"/>
          <w:color w:val="auto"/>
        </w:rPr>
        <w:t>Dr. McClellan has served as a member of our Board since 2014. Dr. McClellan became the inaugural Director of the Duke-Robert J. Margolis, MD, Center for Health Policy and the Margolis Professor of Business, Medicine and Policy at Duke University in January 2016. He is also a faculty member at Dell Medical School at The University of Texas in Austin. Previously, he served from 2007 to 2015 as a Senior Fellow in Economic Studies and as Director of the Initiatives on Value and Innovation in Health Care at the Brookings Institution. Dr. McClellan served as Administrator of the Centers for Medicare &amp; Medicaid Services (“CMS”) for the U.S. Department of Health and Human Services from 2004 to 2006 and as Commissioner of the U.S. Food and Drug Administration from 2002 to 2004. He served as a Member of the President’s Council of Economic Advisers and as Senior Director for Healthcare Policy at the White House from 2001 to 2002 and, during the Clinton administration, held the position of Deputy Assistant Secretary for Economic Policy for the Department of the Treasury. Dr. McClellan previously served as an Associate Professor of Economics and Medicine with tenure at Stanford University, where he also directed the Program on Health Outcomes Research. Dr. McClellan was the founding chair and currently serves as an advisor to the Reagan-Udall Foundation. He is also a member of the National Academy of Medicine, chairs the Academy’s Leadership Consortium: Collaboration for a Value and Science-Driven Learning Health System, and co-chairs the Guiding Committee of the Health Care Payment Learning and Action Network. He sits on the boards of directors of various nonprofit organizations including ResearchAmerica!, National Alliance for Hispanic Health, Institute for Accountable Care, PrognomIQ and United States of Care, as well as two public companies, Cigna Corporation and Johnson &amp; Johnson. Dr. McClellan received his Bachelor of Arts degree from the University of Texas, his Masters of Public Administration and Medical Doctorate from Harvard University and his Doctor of Philosophy in Economics from Massachusetts Institute of Technology. Dr. McClellan is a valuable member of our Board because of his extensive experience in public health policy, his academic experience and background as both a regulator and government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-3182620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80"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Mr. Vorhoff has been a member of our Board since 2014. Mr. Vorhoff is a Managing Director, Management Committee member, Investment Committee member and the Head of Global Healthcare at General Atlantic, an investment management firm, in New York City. Before joining General Atlantic in 2003, Mr. Vorhoff worked at Greenhill &amp; Co., an investment bank, first in the mergers &amp; acquisitions and restructuring advisory group, then in the private equity group, Greenhill Capital Partners. Mr. Vorhoff is currently a member of several private health care companies, including Equality Health, Included Health, Marathon Health, NationsBenefits, Suvida Helathcare, Author Health and WelbeHealth, as well as several other private companies and nonprofit organizations. Mr. Vorhoff previously was a member of the boards of Align Networks, Alternate Solutions Health Network, A Place for Mom, eviCore Healthcare, Landmark Health, Oak Street Health, OneOncology and MedExpress. Mr. Vorhoff received a B.S. in Commerce with a concentration in Finance from the McIntire School of Commerce at the University of Virginia. Mr. Vorhoff is a valuable member of our Board because of his private equity experience and his experience on other health care companies’ boards.</w:t>
      </w:r>
    </w:p>
    <w:p>
      <w:pPr>
        <w:spacing w:after="0" w:line="10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17</w:t>
      </w:r>
    </w:p>
    <w:p>
      <w:pPr>
        <w:sectPr>
          <w:pgSz w:w="11900" w:h="16838" w:orient="portrait"/>
          <w:cols w:equalWidth="0" w:num="2">
            <w:col w:w="1500" w:space="720"/>
            <w:col w:w="8780"/>
          </w:cols>
          <w:pgMar w:left="440" w:top="472" w:right="459" w:bottom="1440" w:gutter="0" w:footer="0" w:header="0"/>
        </w:sectPr>
      </w:pPr>
    </w:p>
    <w:bookmarkStart w:id="25" w:name="page26"/>
    <w:bookmarkEnd w:id="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200025</wp:posOffset>
            </wp:positionV>
            <wp:extent cx="1071245" cy="10033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003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Jody Bilney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367665</wp:posOffset>
            </wp:positionV>
            <wp:extent cx="1071245" cy="100266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David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1071245" cy="10026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F497D"/>
        </w:rPr>
        <w:t>Jacqueline Kosecoff</w:t>
      </w:r>
    </w:p>
    <w:p>
      <w:pPr>
        <w:spacing w:after="0" w:line="20" w:lineRule="exact"/>
        <w:rPr>
          <w:sz w:val="20"/>
          <w:szCs w:val="20"/>
          <w:color w:val="auto"/>
        </w:rPr>
      </w:pPr>
      <w:r>
        <w:rPr>
          <w:sz w:val="20"/>
          <w:szCs w:val="20"/>
          <w:color w:val="auto"/>
        </w:rPr>
        <w:br w:type="column"/>
      </w:r>
    </w:p>
    <w:p>
      <w:pPr>
        <w:ind w:right="20"/>
        <w:spacing w:after="0" w:line="239" w:lineRule="auto"/>
        <w:rPr>
          <w:sz w:val="20"/>
          <w:szCs w:val="20"/>
          <w:color w:val="auto"/>
        </w:rPr>
      </w:pPr>
      <w:r>
        <w:rPr>
          <w:rFonts w:ascii="Arial" w:cs="Arial" w:eastAsia="Arial" w:hAnsi="Arial"/>
          <w:sz w:val="18"/>
          <w:szCs w:val="18"/>
          <w:color w:val="auto"/>
        </w:rPr>
        <w:t>Ms. Bilney has served as a member of our Board since January 2022. Ms. Bilney served as the Chief Consumer Officer of Humana, Inc., a health insurance provider, from April 2013 until her retirement in March 2020. Prior to that, she served in various senior executive marketing roles with Bloomin’ Brands, Inc. from 2006 through March 2013, most recently serving as Executive Vice President and Chief Brand Officer. Prior to joining Bloomin’ Brands, she held senior executive positions with Openwave Systems, Inc., Charles Schwab &amp; Co., Inc., and Verizon Communications, Inc. Ms. Bilney has served as a director of Chuy’s Holdings, Inc. since 2021, Masonite International Corp. since 2014 and Cracker Barrel Old Country Store, Inc. since 2022. She earned a Bachelor of Science degree in Economics, with a minor in Marketing, from Clemson University. Ms. Bilney is a valuable member of our Board because of her leadership and industry-specific and marketing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-1407795</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6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Mr. Hodgson has served as a member of our Board since 2014. Mr. Hodgson is a Managing Director and Vice Chairman of General Atlantic. He joined General Atlantic in 1982 and has over 30 years of experience identifying and assisting portfolio companies worldwide in all areas of their development. Currently, Mr. Hodgson is Chair of the board of directors of TriNet Group, Inc., a public human resources provider, and is a member of the board of directors of Royalty Pharma plc, a public pharmaceutical company. Mr. Hodgson has an MBA from Stanford Graduate School of Business (1982) and a Bachelor of Arts in Mathematics and Social Sciences from Dartmouth College (1978). Mr. Hodgson is a valuable member of our Board because of his private equity experience and his experience on other health care companies’ boards.</w:t>
      </w:r>
    </w:p>
    <w:p>
      <w:pPr>
        <w:spacing w:after="0" w:line="356"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Dr. Kosecoff has served as a member of our Board since 2017. Since 2012, Dr. Kosecoff has served as a Managing Partner of Moriah Partners and also a Senior Advisor of Warburg Pincus. From 2002 to 2012, Dr. Kosecoff was a senior executive inside UnitedHealth Group-PacifiCare, which she joined as part of the acquisition of PacifiCare Health Systems in 2005, where she served as Executive Vice President. Upon joining UnitedHealth Group, Dr. Kosecoff was appointed Chief Executive Officer of Prescription Solutions (now known as OptumRx). Prior to joining UnitedHealth Group-PacifiCare, Dr. Kosecoff was founder, President and Chief Operating Officer of Protocare. Currently Dr. Kosecoff sits on the board of directors of Steris, plc, TriNet Group, Inc. and Houlihan Lokey, Inc. Additionally, Dr. Kosecoff served on the boards of directors of GoodRx Holdings, Inc. from May 2016 to June 2023; of Sealed Air Corporation from May 2005 to May 2021; and of athenahealth, Inc. from July 2012 to February 2019. Dr. Kosecoff holds a B.A. from the University of California, Los Angeles, an M.S. in Applied Mathematics from Brown University, and a doctorate from the University of California, Los Angeles. Dr. Kosecoff was appointed to serve on our board of directors because of her knowledge of Medicare Advantage and Medicare Part D, extensive experience in managing organizations and her experience serving on public company boards.</w:t>
      </w:r>
    </w:p>
    <w:p>
      <w:pPr>
        <w:spacing w:after="0" w:line="122"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18</w:t>
      </w:r>
    </w:p>
    <w:p>
      <w:pPr>
        <w:sectPr>
          <w:pgSz w:w="11900" w:h="16838" w:orient="portrait"/>
          <w:cols w:equalWidth="0" w:num="2">
            <w:col w:w="1740" w:space="480"/>
            <w:col w:w="8780"/>
          </w:cols>
          <w:pgMar w:left="440" w:top="296" w:right="459" w:bottom="1440" w:gutter="0" w:footer="0" w:header="0"/>
        </w:sectPr>
      </w:pPr>
    </w:p>
    <w:bookmarkStart w:id="26" w:name="page27"/>
    <w:bookmarkEnd w:id="26"/>
    <w:p>
      <w:pPr>
        <w:ind w:left="2220" w:right="20"/>
        <w:spacing w:after="0" w:line="25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Mr. Margolis has served as a member of our Board since 2014. He currently serves as Vice Chairman of TriNetX, Inc., and as a director of Get-Grin Inc. , Brightside Health, and DNAnexus, and as a senior advisor to Blackstone. Mr. Margolis served as Chairman of NextGen Healthcare, Inc. from November 2015 through November 2023 and has served as a member of the NextGen board since May 2014. He previously served as Chairman of Welltok, Inc. from October 2011 until November 2021, where he also served as CEO from April 2013 through April 2020. Mr. Margolis is Chairman Emeritus of TriZetto Corporation, where he served as the founding CEO beginning in 1997, served as Chairman and CEO until 2010, and continued as Chairman until October 2011. He also served as Senior Executive Advisor to the Oliver Wyman Health Innovation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-1026160</wp:posOffset>
            </wp:positionV>
            <wp:extent cx="1071245" cy="10033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71245" cy="1003300"/>
                    </a:xfrm>
                    <a:prstGeom prst="rect">
                      <a:avLst/>
                    </a:prstGeom>
                    <a:noFill/>
                  </pic:spPr>
                </pic:pic>
              </a:graphicData>
            </a:graphic>
          </wp:anchor>
        </w:drawing>
      </w:r>
    </w:p>
    <w:p>
      <w:pPr>
        <w:ind w:left="2220" w:right="340" w:hanging="2213"/>
        <w:spacing w:after="0" w:line="248" w:lineRule="auto"/>
        <w:tabs>
          <w:tab w:leader="none" w:pos="2200" w:val="left"/>
        </w:tabs>
        <w:rPr>
          <w:sz w:val="20"/>
          <w:szCs w:val="20"/>
          <w:color w:val="auto"/>
        </w:rPr>
      </w:pPr>
      <w:r>
        <w:rPr>
          <w:rFonts w:ascii="Arial" w:cs="Arial" w:eastAsia="Arial" w:hAnsi="Arial"/>
          <w:sz w:val="35"/>
          <w:szCs w:val="35"/>
          <w:b w:val="1"/>
          <w:bCs w:val="1"/>
          <w:i w:val="1"/>
          <w:iCs w:val="1"/>
          <w:color w:val="1F497D"/>
          <w:vertAlign w:val="subscript"/>
        </w:rPr>
        <w:t>Jeffrey Margolis</w:t>
      </w:r>
      <w:r>
        <w:rPr>
          <w:sz w:val="20"/>
          <w:szCs w:val="20"/>
          <w:color w:val="auto"/>
        </w:rPr>
        <w:tab/>
      </w:r>
      <w:r>
        <w:rPr>
          <w:rFonts w:ascii="Arial" w:cs="Arial" w:eastAsia="Arial" w:hAnsi="Arial"/>
          <w:sz w:val="17"/>
          <w:szCs w:val="17"/>
          <w:color w:val="auto"/>
        </w:rPr>
        <w:t>during 2012 and 2013. From 1989 to 1997, Mr. Margolis served as Senior Vice President and Chief Information Officer of FHP International Corp. Earlier in his career, Mr. Margolis served in various positions</w:t>
      </w:r>
    </w:p>
    <w:p>
      <w:pPr>
        <w:spacing w:after="0" w:line="1" w:lineRule="exact"/>
        <w:rPr>
          <w:sz w:val="20"/>
          <w:szCs w:val="20"/>
          <w:color w:val="auto"/>
        </w:rPr>
      </w:pPr>
    </w:p>
    <w:p>
      <w:pPr>
        <w:ind w:left="2220"/>
        <w:spacing w:after="0" w:line="236" w:lineRule="auto"/>
        <w:rPr>
          <w:sz w:val="20"/>
          <w:szCs w:val="20"/>
          <w:color w:val="auto"/>
        </w:rPr>
      </w:pPr>
      <w:r>
        <w:rPr>
          <w:rFonts w:ascii="Arial" w:cs="Arial" w:eastAsia="Arial" w:hAnsi="Arial"/>
          <w:sz w:val="18"/>
          <w:szCs w:val="18"/>
          <w:color w:val="auto"/>
        </w:rPr>
        <w:t>with Andersen Consulting (now Accenture) including his final position as Manager, Healthcare Consulting. Mr. Margolis currently serves on the board of directors of Hoag Hospital from 2010 through 2022 and was the inaugural Chairman of the Hoag Clinic from 2020 to 2022 in Newport Beach, California. He currently serves on the Advisory Boards of the University of California at Irvine’s Center for Healthcare Management &amp; Policy and Center for Digital Transformation. A published author of two books the topics of health care information technology and systems, Mr. Margolis earned a bachelor’s degree in business administration/management information systems with high honors from the University of Illinois in 1984 and holds CPA certificates (currently inactive) in Colorado and Illinois. Mr. Margolis is a NACD Board Leadership Fellow and holds a Certified Global Management Accountant designation with the American Institute of Certified Public Accountants. Mr. Margolis is a valuable member of our Board because of his extensive experience as a chief executive officer in the health care information technology sector, his financial expertise and his experience as an executive officer and director of multiple public and private companies.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Nomination Criteria and Director Experience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Identifying Nominees for Directors</w:t>
      </w:r>
    </w:p>
    <w:p>
      <w:pPr>
        <w:spacing w:after="0" w:line="183" w:lineRule="exact"/>
        <w:rPr>
          <w:sz w:val="20"/>
          <w:szCs w:val="20"/>
          <w:color w:val="auto"/>
        </w:rPr>
      </w:pPr>
    </w:p>
    <w:p>
      <w:pPr>
        <w:ind w:right="160" w:firstLine="440"/>
        <w:spacing w:after="0" w:line="247" w:lineRule="auto"/>
        <w:rPr>
          <w:sz w:val="20"/>
          <w:szCs w:val="20"/>
          <w:color w:val="auto"/>
        </w:rPr>
      </w:pPr>
      <w:r>
        <w:rPr>
          <w:rFonts w:ascii="Arial" w:cs="Arial" w:eastAsia="Arial" w:hAnsi="Arial"/>
          <w:sz w:val="18"/>
          <w:szCs w:val="18"/>
          <w:color w:val="auto"/>
        </w:rPr>
        <w:t>The Board has delegated an established screening process for director nominees to the NCGCC, with counsel from our Chairman, our Lead Independent Director, our Chief Executive Officer, and outside consultants as appropriate. The goal of the screening process is to assemble a group of potential board members with deep, varied experience, sound judgment, and commitment to the Company’s success.</w:t>
      </w:r>
    </w:p>
    <w:p>
      <w:pPr>
        <w:spacing w:after="0" w:line="17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The NCGCC regularly assesses the appropriate size of the Board, the areas of expertise required to effectively contribute to the Board process, and whether any vacancies are anticipated. It also annually assesses the director qualification criteria to ensure the Board has appropriate skill composition consistent with the Company’s long-term business, operations goals, growth strategy and risks. This includes (i) qualifications or characteristics that are expected and befitting of all directors and (ii) specific skills, experience or qualifications that should be represented collectively on our Board. As a result of its analysis, the NCGCC may recommend to the Board a need for an additional director, Board refreshment for certain requisite skills and qualifications, and/or the replacement of an existing director for other credible reasons. The self-identification process may also incorporate responses, as appropriate, from the Board’s annual individual self-evaluations. Such evaluations require each director to honestly reflect upon and recount their personal contributions to the Board in the prior year and to provide feedback regarding their performance, the overall Board performance and the performance of certain other key Board positions. See “</w:t>
      </w:r>
      <w:r>
        <w:rPr>
          <w:rFonts w:ascii="Arial" w:cs="Arial" w:eastAsia="Arial" w:hAnsi="Arial"/>
          <w:sz w:val="18"/>
          <w:szCs w:val="18"/>
          <w:i w:val="1"/>
          <w:iCs w:val="1"/>
          <w:color w:val="auto"/>
        </w:rPr>
        <w:t>Corporate Governance—Board Evaluation Practices</w:t>
      </w:r>
      <w:r>
        <w:rPr>
          <w:rFonts w:ascii="Arial" w:cs="Arial" w:eastAsia="Arial" w:hAnsi="Arial"/>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96" w:right="459" w:bottom="1440" w:gutter="0" w:footer="0" w:header="0"/>
        </w:sectPr>
      </w:pPr>
    </w:p>
    <w:bookmarkStart w:id="27" w:name="page28"/>
    <w:bookmarkEnd w:id="27"/>
    <w:p>
      <w:pPr>
        <w:ind w:right="200" w:firstLine="440"/>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NCGCC will consider qualified candidates for director nominees suggested by the Company’s stockholders. Stockholders can suggest qualified candidates for director nominees by writing to the Chief Legal &amp; Administrative Officer of the Company at 1100 W. Town &amp; Country Rd., Suite 1600, Orange, CA 92868. Submissions should include the information about the director candidate and the stockholder making the submission that would otherwise be required by Article II, Section 11(b) of our Bylaws if the stockholder was nominating the individual for election to our Board. Submissions received that include such information, and provided that the recommended candidate meets the criteria described above, are forwarded to the NCGCC for further review and consideration. The committee may also request additional information concerning the director candidate that it deems reasonably required to determine the eligibility and qualification of the director candidate to serve on our Board. Stockholders suggesting director candidates for consideration by our Board in connection with the 2025 annual meeting of stockholders should provide their submission pursuant to the deadlines described above under “</w:t>
      </w:r>
      <w:r>
        <w:rPr>
          <w:rFonts w:ascii="Arial" w:cs="Arial" w:eastAsia="Arial" w:hAnsi="Arial"/>
          <w:sz w:val="18"/>
          <w:szCs w:val="18"/>
          <w:i w:val="1"/>
          <w:iCs w:val="1"/>
          <w:color w:val="auto"/>
        </w:rPr>
        <w:t>Commonly Asked Questions and Answers About the Annual Meeting</w:t>
      </w:r>
      <w:r>
        <w:rPr>
          <w:rFonts w:ascii="Arial" w:cs="Arial" w:eastAsia="Arial" w:hAnsi="Arial"/>
          <w:sz w:val="18"/>
          <w:szCs w:val="18"/>
          <w:color w:val="auto"/>
        </w:rPr>
        <w:t>.” The NCGCC does not intend to evaluate candidates proposed by stockholders any differently from other candidates.</w:t>
      </w:r>
    </w:p>
    <w:p>
      <w:pPr>
        <w:spacing w:after="0" w:line="186"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As part of the process of identifying appropriate director candidates, the NCGCC formally reviews each director’s continuation on the Board every three years. As part of its formal review of directors, the NCGCC considers all factors which it deems appropriate, including director performance, any other directorships held by the director, whether the director undertook continuing director education and any other criteria approved by the Board.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Director Skills and Qualifications</w:t>
      </w:r>
    </w:p>
    <w:p>
      <w:pPr>
        <w:spacing w:after="0" w:line="210" w:lineRule="exact"/>
        <w:rPr>
          <w:sz w:val="20"/>
          <w:szCs w:val="20"/>
          <w:color w:val="auto"/>
        </w:rPr>
      </w:pPr>
    </w:p>
    <w:p>
      <w:pPr>
        <w:ind w:right="80" w:firstLine="440"/>
        <w:spacing w:after="0" w:line="239" w:lineRule="auto"/>
        <w:rPr>
          <w:sz w:val="20"/>
          <w:szCs w:val="20"/>
          <w:color w:val="auto"/>
        </w:rPr>
      </w:pPr>
      <w:r>
        <w:rPr>
          <w:rFonts w:ascii="Arial" w:cs="Arial" w:eastAsia="Arial" w:hAnsi="Arial"/>
          <w:sz w:val="18"/>
          <w:szCs w:val="18"/>
          <w:color w:val="auto"/>
        </w:rPr>
        <w:t>The NCGCC has identified qualifications, attributes, skills and experience that are important to be represented on the Board as a whole, in light of the Company’s current needs and business priorities. The NCGCC recognizes that our Board should represent a diverse group of experience, skills and other qualities, and as a collective group should have expertise in certain substantive areas including: corporate governance, finance/capital markets, board of directors experience, health care industry experience, clinical practice, CEO or other C-suite experience with significant business acumen, direct to consumer marketing, diversity, experience with complex organizations, technology/business processes, government relations and/or public policy and regulatory knowledge and other skills and expertise that are likely to enhance the Board’s ability to manage and direct the affairs and business of the Company. Certain directors or director nominees may possess expertise in the designated areas, however a director or director nominee need not individually possess the experience, skill or other requisite qualification in all areas. Among other key areas, the NCGCC seeks directors with the following types of experience:</w:t>
      </w:r>
    </w:p>
    <w:p>
      <w:pPr>
        <w:spacing w:after="0" w:line="207" w:lineRule="exact"/>
        <w:rPr>
          <w:sz w:val="20"/>
          <w:szCs w:val="20"/>
          <w:color w:val="auto"/>
        </w:rPr>
      </w:pPr>
    </w:p>
    <w:p>
      <w:pPr>
        <w:ind w:left="960" w:hanging="424"/>
        <w:spacing w:after="0" w:line="24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Leadership experience</w:t>
      </w:r>
      <w:r>
        <w:rPr>
          <w:rFonts w:ascii="Arial" w:cs="Arial" w:eastAsia="Arial" w:hAnsi="Arial"/>
          <w:sz w:val="18"/>
          <w:szCs w:val="18"/>
          <w:color w:val="auto"/>
        </w:rPr>
        <w:t>. We believe that directors who have held significant leadership positions over an extended period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 the Company with unique insights. We believe such people have the ability to identify and develop leadership qualities in others. They demonstrate a practical understanding of organizations, processes, strategy and risk management, and they know how to drive change and growth.</w:t>
      </w:r>
    </w:p>
    <w:p>
      <w:pPr>
        <w:spacing w:after="0" w:line="200" w:lineRule="exact"/>
        <w:rPr>
          <w:rFonts w:ascii="Arial" w:cs="Arial" w:eastAsia="Arial" w:hAnsi="Arial"/>
          <w:sz w:val="18"/>
          <w:szCs w:val="18"/>
          <w:color w:val="auto"/>
        </w:rPr>
      </w:pPr>
    </w:p>
    <w:p>
      <w:pPr>
        <w:ind w:left="960" w:right="360" w:hanging="424"/>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Technology and business processes experience</w:t>
      </w:r>
      <w:r>
        <w:rPr>
          <w:rFonts w:ascii="Arial" w:cs="Arial" w:eastAsia="Arial" w:hAnsi="Arial"/>
          <w:sz w:val="18"/>
          <w:szCs w:val="18"/>
          <w:color w:val="auto"/>
        </w:rPr>
        <w:t>. As a technology-enabled Medicare Advantage platform, we seek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with backgrounds in technology because our success depends on developing our platform and introducing it into new markets. We also value expertise in business processes as we continue to build into new markets and scale our operations, as well as expertise in data privacy and cybersecurity matters which represent important elements of our risk management strategy.</w:t>
      </w:r>
    </w:p>
    <w:p>
      <w:pPr>
        <w:spacing w:after="0" w:line="203" w:lineRule="exact"/>
        <w:rPr>
          <w:rFonts w:ascii="Arial" w:cs="Arial" w:eastAsia="Arial" w:hAnsi="Arial"/>
          <w:sz w:val="18"/>
          <w:szCs w:val="18"/>
          <w:color w:val="auto"/>
        </w:rPr>
      </w:pPr>
    </w:p>
    <w:p>
      <w:pPr>
        <w:ind w:left="960" w:right="60" w:hanging="424"/>
        <w:spacing w:after="0" w:line="244"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Financial experience</w:t>
      </w:r>
      <w:r>
        <w:rPr>
          <w:rFonts w:ascii="Arial" w:cs="Arial" w:eastAsia="Arial" w:hAnsi="Arial"/>
          <w:sz w:val="18"/>
          <w:szCs w:val="18"/>
          <w:color w:val="auto"/>
        </w:rPr>
        <w:t>. We believe that an understanding of finance and financial reporting processes is important for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as we measure our operating performance by reference to certain financial goals, including non-GAAP measures. Accurate financial reporting and robust auditing are critical to our success. We seek to have a number of directors who qualify as audit committee financial experts and we expect that all of our directors will be financially knowledgeable. As part of this qualification, we also seek directors who have relevant risk management experience.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0"/>
          </w:cols>
          <w:pgMar w:left="440" w:top="296" w:right="459" w:bottom="1440" w:gutter="0" w:footer="0" w:header="0"/>
        </w:sectPr>
      </w:pPr>
    </w:p>
    <w:bookmarkStart w:id="28" w:name="page29"/>
    <w:bookmarkEnd w:id="28"/>
    <w:p>
      <w:pPr>
        <w:ind w:left="960" w:right="100" w:hanging="424"/>
        <w:spacing w:after="0" w:line="253"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Industry experience</w:t>
      </w:r>
      <w:r>
        <w:rPr>
          <w:rFonts w:ascii="Arial" w:cs="Arial" w:eastAsia="Arial" w:hAnsi="Arial"/>
          <w:sz w:val="18"/>
          <w:szCs w:val="18"/>
          <w:color w:val="auto"/>
        </w:rPr>
        <w:t>. We seek to have directors with experience as executives or directors or in other leadership positions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Medicare Advantage space. We believe that this experience will help us effectively enhance our product offerings and successfully enter new markets.</w:t>
      </w:r>
    </w:p>
    <w:p>
      <w:pPr>
        <w:spacing w:after="0" w:line="168" w:lineRule="exact"/>
        <w:rPr>
          <w:rFonts w:ascii="Arial" w:cs="Arial" w:eastAsia="Arial" w:hAnsi="Arial"/>
          <w:sz w:val="18"/>
          <w:szCs w:val="18"/>
          <w:color w:val="auto"/>
        </w:rPr>
      </w:pPr>
    </w:p>
    <w:p>
      <w:pPr>
        <w:ind w:left="960" w:right="24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Regulatory experience</w:t>
      </w:r>
      <w:r>
        <w:rPr>
          <w:rFonts w:ascii="Arial" w:cs="Arial" w:eastAsia="Arial" w:hAnsi="Arial"/>
          <w:sz w:val="18"/>
          <w:szCs w:val="18"/>
          <w:color w:val="auto"/>
        </w:rPr>
        <w:t>. Because we operate in a heavily regulated industry, we seek directors with significant government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experience.</w:t>
      </w:r>
    </w:p>
    <w:p>
      <w:pPr>
        <w:spacing w:after="0" w:line="153" w:lineRule="exact"/>
        <w:rPr>
          <w:rFonts w:ascii="Arial" w:cs="Arial" w:eastAsia="Arial" w:hAnsi="Arial"/>
          <w:sz w:val="18"/>
          <w:szCs w:val="18"/>
          <w:color w:val="auto"/>
        </w:rPr>
      </w:pPr>
    </w:p>
    <w:p>
      <w:pPr>
        <w:ind w:left="960" w:right="8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Marketing experience</w:t>
      </w:r>
      <w:r>
        <w:rPr>
          <w:rFonts w:ascii="Arial" w:cs="Arial" w:eastAsia="Arial" w:hAnsi="Arial"/>
          <w:sz w:val="18"/>
          <w:szCs w:val="18"/>
          <w:color w:val="auto"/>
        </w:rPr>
        <w:t>. As a consumer-facing business that is seeking to grow organically through new product offerings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new markets, having directors with significant marketing experience is important to us.</w:t>
      </w:r>
    </w:p>
    <w:p>
      <w:pPr>
        <w:spacing w:after="0" w:line="154"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Additionally, director nominees must possess high integrity and ethical standards; standing and reputation in the individual’s field; risk oversight ability with respect to the particular skills of the individual director; understanding of and experience with complex public companies or like organizations; and ability to work collegially and collaboratively with other directors and management. The NCGCC charter requires that candidates are to be selected for, among other things, their independence, diversity of experience, demonstrated leadership and the ability to exercise sound judgment.</w:t>
      </w:r>
    </w:p>
    <w:p>
      <w:pPr>
        <w:spacing w:after="0" w:line="176"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Our director nominations are subject to an agreement with our Lead Sponsors (defined below). See “</w:t>
      </w:r>
      <w:r>
        <w:rPr>
          <w:rFonts w:ascii="Arial" w:cs="Arial" w:eastAsia="Arial" w:hAnsi="Arial"/>
          <w:sz w:val="18"/>
          <w:szCs w:val="18"/>
          <w:i w:val="1"/>
          <w:iCs w:val="1"/>
          <w:color w:val="auto"/>
        </w:rPr>
        <w:t>Corporate Governance—Board</w:t>
      </w:r>
      <w:r>
        <w:rPr>
          <w:rFonts w:ascii="Arial" w:cs="Arial" w:eastAsia="Arial" w:hAnsi="Arial"/>
          <w:sz w:val="18"/>
          <w:szCs w:val="18"/>
          <w:color w:val="auto"/>
        </w:rPr>
        <w:t xml:space="preserve"> </w:t>
      </w:r>
      <w:r>
        <w:rPr>
          <w:rFonts w:ascii="Arial" w:cs="Arial" w:eastAsia="Arial" w:hAnsi="Arial"/>
          <w:sz w:val="18"/>
          <w:szCs w:val="18"/>
          <w:i w:val="1"/>
          <w:iCs w:val="1"/>
          <w:color w:val="auto"/>
        </w:rPr>
        <w:t>Composition and Director Independence</w:t>
      </w:r>
      <w:r>
        <w:rPr>
          <w:rFonts w:ascii="Arial" w:cs="Arial" w:eastAsia="Arial" w:hAnsi="Arial"/>
          <w:sz w:val="18"/>
          <w:szCs w:val="18"/>
          <w:color w:val="auto"/>
        </w:rPr>
        <w:t>.”</w:t>
      </w:r>
    </w:p>
    <w:p>
      <w:pPr>
        <w:spacing w:after="0" w:line="154" w:lineRule="exact"/>
        <w:rPr>
          <w:sz w:val="20"/>
          <w:szCs w:val="20"/>
          <w:color w:val="auto"/>
        </w:rPr>
      </w:pPr>
    </w:p>
    <w:p>
      <w:pPr>
        <w:ind w:right="20" w:firstLine="440"/>
        <w:spacing w:after="0"/>
        <w:rPr>
          <w:sz w:val="20"/>
          <w:szCs w:val="20"/>
          <w:color w:val="auto"/>
        </w:rPr>
      </w:pPr>
      <w:r>
        <w:rPr>
          <w:rFonts w:ascii="Arial" w:cs="Arial" w:eastAsia="Arial" w:hAnsi="Arial"/>
          <w:sz w:val="18"/>
          <w:szCs w:val="18"/>
          <w:color w:val="auto"/>
        </w:rPr>
        <w:t>The NCGCC developed and maintains a skills matrix to assist in considering the appropriate balance of experience, skills and attributes required of a director and to be represented on the Board as a whole. The skills matrix is consistent with the Company’s long-term strategic plan and is regularly reviewed and updated by the NCGCC. The NCGCC evaluates Board candidates against the skills matrix on an annual basis to determine whether to recommend candidates for initial election to the Board and whether to recommend currently serving directors for reelection to the Board. The NCGCC has determined that our Board collectively satisfies all of the above criteria, complementing each other’s skills, background and perspectives to create a collection of diverse, knowledgeable and experienced directors.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20"/>
          </w:cols>
          <w:pgMar w:left="440" w:top="296" w:right="439" w:bottom="1440" w:gutter="0" w:footer="0" w:header="0"/>
        </w:sectPr>
      </w:pPr>
    </w:p>
    <w:bookmarkStart w:id="29" w:name="page30"/>
    <w:bookmarkEnd w:id="29"/>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chart represents the skills matrix as currently constituted by the NCGCC: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1325880</wp:posOffset>
            </wp:positionH>
            <wp:positionV relativeFrom="paragraph">
              <wp:posOffset>163195</wp:posOffset>
            </wp:positionV>
            <wp:extent cx="4337685" cy="41916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337685" cy="4191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Director Diversity</w:t>
      </w:r>
    </w:p>
    <w:p>
      <w:pPr>
        <w:spacing w:after="0" w:line="212" w:lineRule="exact"/>
        <w:rPr>
          <w:sz w:val="20"/>
          <w:szCs w:val="20"/>
          <w:color w:val="auto"/>
        </w:rPr>
      </w:pPr>
    </w:p>
    <w:p>
      <w:pPr>
        <w:ind w:right="300" w:firstLine="440"/>
        <w:spacing w:after="0" w:line="253" w:lineRule="auto"/>
        <w:rPr>
          <w:sz w:val="20"/>
          <w:szCs w:val="20"/>
          <w:color w:val="auto"/>
        </w:rPr>
      </w:pPr>
      <w:r>
        <w:rPr>
          <w:rFonts w:ascii="Arial" w:cs="Arial" w:eastAsia="Arial" w:hAnsi="Arial"/>
          <w:sz w:val="18"/>
          <w:szCs w:val="18"/>
          <w:color w:val="auto"/>
        </w:rPr>
        <w:t>In addressing issues of diversity, the NCGCC considers a nominee’s gender, ethnicity, tenure, skills and experience. The NCGCC believes that diversity of backgrounds and viewpoints is a key attribute for a director nominee. While the NCGCC carefully considers diversity when determining Board composition, it has not established a separate formal policy regarding diversity.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Diversity Matrix (as of April 26, 2024)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see our Board Diversity Matrix as of April 26, 2023, please see the proxy statement filed with the SEC on April 26,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880" w:type="dxa"/>
            <w:vAlign w:val="bottom"/>
            <w:tcBorders>
              <w:top w:val="single" w:sz="8" w:color="95B3D7"/>
              <w:bottom w:val="single" w:sz="8" w:color="95B3D7"/>
              <w:right w:val="single" w:sz="8" w:color="95B3D7"/>
            </w:tcBorders>
            <w:gridSpan w:val="2"/>
            <w:shd w:val="clear" w:color="auto" w:fill="DBE5F1"/>
          </w:tcPr>
          <w:p>
            <w:pPr>
              <w:ind w:left="460"/>
              <w:spacing w:after="0"/>
              <w:rPr>
                <w:sz w:val="20"/>
                <w:szCs w:val="20"/>
                <w:color w:val="auto"/>
              </w:rPr>
            </w:pPr>
            <w:r>
              <w:rPr>
                <w:rFonts w:ascii="Arial" w:cs="Arial" w:eastAsia="Arial" w:hAnsi="Arial"/>
                <w:sz w:val="16"/>
                <w:szCs w:val="16"/>
                <w:b w:val="1"/>
                <w:bCs w:val="1"/>
                <w:color w:val="auto"/>
              </w:rPr>
              <w:t>Board Size:</w:t>
            </w:r>
          </w:p>
        </w:tc>
        <w:tc>
          <w:tcPr>
            <w:tcW w:w="2760" w:type="dxa"/>
            <w:vAlign w:val="bottom"/>
            <w:tcBorders>
              <w:top w:val="single" w:sz="8" w:color="95B3D7"/>
              <w:bottom w:val="single" w:sz="8" w:color="95B3D7"/>
            </w:tcBorders>
            <w:shd w:val="clear" w:color="auto" w:fill="DBE5F1"/>
          </w:tcPr>
          <w:p>
            <w:pPr>
              <w:spacing w:after="0"/>
              <w:rPr>
                <w:sz w:val="17"/>
                <w:szCs w:val="17"/>
                <w:color w:val="auto"/>
              </w:rPr>
            </w:pPr>
          </w:p>
        </w:tc>
        <w:tc>
          <w:tcPr>
            <w:tcW w:w="880" w:type="dxa"/>
            <w:vAlign w:val="bottom"/>
            <w:tcBorders>
              <w:top w:val="single" w:sz="8" w:color="95B3D7"/>
              <w:bottom w:val="single" w:sz="8" w:color="95B3D7"/>
              <w:right w:val="single" w:sz="8" w:color="DBE5F1"/>
            </w:tcBorders>
            <w:shd w:val="clear" w:color="auto" w:fill="DBE5F1"/>
          </w:tcPr>
          <w:p>
            <w:pPr>
              <w:spacing w:after="0"/>
              <w:rPr>
                <w:sz w:val="17"/>
                <w:szCs w:val="17"/>
                <w:color w:val="auto"/>
              </w:rPr>
            </w:pPr>
          </w:p>
        </w:tc>
        <w:tc>
          <w:tcPr>
            <w:tcW w:w="3500" w:type="dxa"/>
            <w:vAlign w:val="bottom"/>
            <w:tcBorders>
              <w:top w:val="single" w:sz="8" w:color="95B3D7"/>
              <w:bottom w:val="single" w:sz="8" w:color="95B3D7"/>
            </w:tcBorders>
            <w:shd w:val="clear" w:color="auto" w:fill="DBE5F1"/>
          </w:tcPr>
          <w:p>
            <w:pPr>
              <w:spacing w:after="0"/>
              <w:rPr>
                <w:sz w:val="17"/>
                <w:szCs w:val="17"/>
                <w:color w:val="auto"/>
              </w:rPr>
            </w:pPr>
          </w:p>
        </w:tc>
      </w:tr>
      <w:tr>
        <w:trPr>
          <w:trHeight w:val="183"/>
        </w:trPr>
        <w:tc>
          <w:tcPr>
            <w:tcW w:w="3880" w:type="dxa"/>
            <w:vAlign w:val="bottom"/>
            <w:tcBorders>
              <w:bottom w:val="single" w:sz="8" w:color="95B3D7"/>
              <w:right w:val="single" w:sz="8" w:color="95B3D7"/>
            </w:tcBorders>
            <w:gridSpan w:val="2"/>
          </w:tcPr>
          <w:p>
            <w:pPr>
              <w:ind w:left="460"/>
              <w:spacing w:after="0" w:line="183" w:lineRule="exact"/>
              <w:rPr>
                <w:sz w:val="20"/>
                <w:szCs w:val="20"/>
                <w:color w:val="auto"/>
              </w:rPr>
            </w:pPr>
            <w:r>
              <w:rPr>
                <w:rFonts w:ascii="Arial" w:cs="Arial" w:eastAsia="Arial" w:hAnsi="Arial"/>
                <w:sz w:val="16"/>
                <w:szCs w:val="16"/>
                <w:color w:val="auto"/>
              </w:rPr>
              <w:t>   Total Number of Directors</w:t>
            </w:r>
          </w:p>
        </w:tc>
        <w:tc>
          <w:tcPr>
            <w:tcW w:w="2760" w:type="dxa"/>
            <w:vAlign w:val="bottom"/>
            <w:tcBorders>
              <w:bottom w:val="single" w:sz="8" w:color="95B3D7"/>
            </w:tcBorders>
          </w:tcPr>
          <w:p>
            <w:pPr>
              <w:spacing w:after="0"/>
              <w:rPr>
                <w:sz w:val="15"/>
                <w:szCs w:val="15"/>
                <w:color w:val="auto"/>
              </w:rPr>
            </w:pPr>
          </w:p>
        </w:tc>
        <w:tc>
          <w:tcPr>
            <w:tcW w:w="4380" w:type="dxa"/>
            <w:vAlign w:val="bottom"/>
            <w:tcBorders>
              <w:bottom w:val="single" w:sz="8" w:color="95B3D7"/>
            </w:tcBorders>
            <w:gridSpan w:val="2"/>
          </w:tcPr>
          <w:p>
            <w:pPr>
              <w:ind w:left="600"/>
              <w:spacing w:after="0" w:line="183" w:lineRule="exact"/>
              <w:rPr>
                <w:sz w:val="20"/>
                <w:szCs w:val="20"/>
                <w:color w:val="auto"/>
              </w:rPr>
            </w:pPr>
            <w:r>
              <w:rPr>
                <w:rFonts w:ascii="Arial" w:cs="Arial" w:eastAsia="Arial" w:hAnsi="Arial"/>
                <w:sz w:val="16"/>
                <w:szCs w:val="16"/>
                <w:color w:val="auto"/>
              </w:rPr>
              <w:t xml:space="preserve">11    </w:t>
            </w:r>
          </w:p>
        </w:tc>
      </w:tr>
      <w:tr>
        <w:trPr>
          <w:trHeight w:val="183"/>
        </w:trPr>
        <w:tc>
          <w:tcPr>
            <w:tcW w:w="560" w:type="dxa"/>
            <w:vAlign w:val="bottom"/>
            <w:tcBorders>
              <w:bottom w:val="single" w:sz="8" w:color="95B3D7"/>
            </w:tcBorders>
            <w:shd w:val="clear" w:color="auto" w:fill="DBE5F1"/>
          </w:tcPr>
          <w:p>
            <w:pPr>
              <w:spacing w:after="0"/>
              <w:rPr>
                <w:sz w:val="15"/>
                <w:szCs w:val="15"/>
                <w:color w:val="auto"/>
              </w:rPr>
            </w:pPr>
          </w:p>
        </w:tc>
        <w:tc>
          <w:tcPr>
            <w:tcW w:w="3320" w:type="dxa"/>
            <w:vAlign w:val="bottom"/>
            <w:tcBorders>
              <w:bottom w:val="single" w:sz="8" w:color="95B3D7"/>
              <w:right w:val="single" w:sz="8" w:color="95B3D7"/>
            </w:tcBorders>
            <w:shd w:val="clear" w:color="auto" w:fill="DBE5F1"/>
          </w:tcPr>
          <w:p>
            <w:pPr>
              <w:spacing w:after="0"/>
              <w:rPr>
                <w:sz w:val="15"/>
                <w:szCs w:val="15"/>
                <w:color w:val="auto"/>
              </w:rPr>
            </w:pPr>
          </w:p>
        </w:tc>
        <w:tc>
          <w:tcPr>
            <w:tcW w:w="2760" w:type="dxa"/>
            <w:vAlign w:val="bottom"/>
            <w:tcBorders>
              <w:bottom w:val="single" w:sz="8" w:color="95B3D7"/>
            </w:tcBorders>
            <w:shd w:val="clear" w:color="auto" w:fill="DBE5F1"/>
          </w:tcPr>
          <w:p>
            <w:pPr>
              <w:jc w:val="center"/>
              <w:ind w:left="879"/>
              <w:spacing w:after="0" w:line="183" w:lineRule="exact"/>
              <w:rPr>
                <w:sz w:val="20"/>
                <w:szCs w:val="20"/>
                <w:color w:val="auto"/>
              </w:rPr>
            </w:pPr>
            <w:r>
              <w:rPr>
                <w:rFonts w:ascii="Arial" w:cs="Arial" w:eastAsia="Arial" w:hAnsi="Arial"/>
                <w:sz w:val="16"/>
                <w:szCs w:val="16"/>
                <w:b w:val="1"/>
                <w:bCs w:val="1"/>
                <w:color w:val="auto"/>
              </w:rPr>
              <w:t>Female</w:t>
            </w:r>
          </w:p>
        </w:tc>
        <w:tc>
          <w:tcPr>
            <w:tcW w:w="880" w:type="dxa"/>
            <w:vAlign w:val="bottom"/>
            <w:tcBorders>
              <w:bottom w:val="single" w:sz="8" w:color="95B3D7"/>
              <w:right w:val="single" w:sz="8" w:color="95B3D7"/>
            </w:tcBorders>
            <w:shd w:val="clear" w:color="auto" w:fill="DBE5F1"/>
          </w:tcPr>
          <w:p>
            <w:pPr>
              <w:spacing w:after="0"/>
              <w:rPr>
                <w:sz w:val="15"/>
                <w:szCs w:val="15"/>
                <w:color w:val="auto"/>
              </w:rPr>
            </w:pPr>
          </w:p>
        </w:tc>
        <w:tc>
          <w:tcPr>
            <w:tcW w:w="3500" w:type="dxa"/>
            <w:vAlign w:val="bottom"/>
            <w:tcBorders>
              <w:bottom w:val="single" w:sz="8" w:color="95B3D7"/>
            </w:tcBorders>
            <w:shd w:val="clear" w:color="auto" w:fill="DBE5F1"/>
          </w:tcPr>
          <w:p>
            <w:pPr>
              <w:jc w:val="center"/>
              <w:ind w:left="19"/>
              <w:spacing w:after="0" w:line="183" w:lineRule="exact"/>
              <w:rPr>
                <w:sz w:val="20"/>
                <w:szCs w:val="20"/>
                <w:color w:val="auto"/>
              </w:rPr>
            </w:pPr>
            <w:r>
              <w:rPr>
                <w:rFonts w:ascii="Arial" w:cs="Arial" w:eastAsia="Arial" w:hAnsi="Arial"/>
                <w:sz w:val="16"/>
                <w:szCs w:val="16"/>
                <w:b w:val="1"/>
                <w:bCs w:val="1"/>
                <w:color w:val="auto"/>
              </w:rPr>
              <w:t>Male</w:t>
            </w:r>
          </w:p>
        </w:tc>
      </w:tr>
      <w:tr>
        <w:trPr>
          <w:trHeight w:val="183"/>
        </w:trPr>
        <w:tc>
          <w:tcPr>
            <w:tcW w:w="3880" w:type="dxa"/>
            <w:vAlign w:val="bottom"/>
            <w:tcBorders>
              <w:bottom w:val="single" w:sz="8" w:color="95B3D7"/>
              <w:right w:val="single" w:sz="8" w:color="95B3D7"/>
            </w:tcBorders>
            <w:gridSpan w:val="2"/>
          </w:tcPr>
          <w:p>
            <w:pPr>
              <w:ind w:left="460"/>
              <w:spacing w:after="0" w:line="183" w:lineRule="exact"/>
              <w:rPr>
                <w:sz w:val="20"/>
                <w:szCs w:val="20"/>
                <w:color w:val="auto"/>
              </w:rPr>
            </w:pPr>
            <w:r>
              <w:rPr>
                <w:rFonts w:ascii="Arial" w:cs="Arial" w:eastAsia="Arial" w:hAnsi="Arial"/>
                <w:sz w:val="16"/>
                <w:szCs w:val="16"/>
                <w:b w:val="1"/>
                <w:bCs w:val="1"/>
                <w:color w:val="auto"/>
              </w:rPr>
              <w:t>Gender Identity:</w:t>
            </w:r>
          </w:p>
        </w:tc>
        <w:tc>
          <w:tcPr>
            <w:tcW w:w="2760" w:type="dxa"/>
            <w:vAlign w:val="bottom"/>
            <w:tcBorders>
              <w:bottom w:val="single" w:sz="8" w:color="95B3D7"/>
            </w:tcBorders>
          </w:tcPr>
          <w:p>
            <w:pPr>
              <w:spacing w:after="0"/>
              <w:rPr>
                <w:sz w:val="15"/>
                <w:szCs w:val="15"/>
                <w:color w:val="auto"/>
              </w:rPr>
            </w:pPr>
          </w:p>
        </w:tc>
        <w:tc>
          <w:tcPr>
            <w:tcW w:w="880" w:type="dxa"/>
            <w:vAlign w:val="bottom"/>
            <w:tcBorders>
              <w:bottom w:val="single" w:sz="8" w:color="95B3D7"/>
              <w:right w:val="single" w:sz="8" w:color="95B3D7"/>
            </w:tcBorders>
          </w:tcPr>
          <w:p>
            <w:pPr>
              <w:spacing w:after="0"/>
              <w:rPr>
                <w:sz w:val="15"/>
                <w:szCs w:val="15"/>
                <w:color w:val="auto"/>
              </w:rPr>
            </w:pPr>
          </w:p>
        </w:tc>
        <w:tc>
          <w:tcPr>
            <w:tcW w:w="3500" w:type="dxa"/>
            <w:vAlign w:val="bottom"/>
            <w:tcBorders>
              <w:bottom w:val="single" w:sz="8" w:color="95B3D7"/>
            </w:tcBorders>
          </w:tcPr>
          <w:p>
            <w:pPr>
              <w:spacing w:after="0"/>
              <w:rPr>
                <w:sz w:val="15"/>
                <w:szCs w:val="15"/>
                <w:color w:val="auto"/>
              </w:rPr>
            </w:pPr>
          </w:p>
        </w:tc>
      </w:tr>
      <w:tr>
        <w:trPr>
          <w:trHeight w:val="183"/>
        </w:trPr>
        <w:tc>
          <w:tcPr>
            <w:tcW w:w="560" w:type="dxa"/>
            <w:vAlign w:val="bottom"/>
            <w:tcBorders>
              <w:bottom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72"/>
              </w:rPr>
              <w:t> </w:t>
            </w:r>
          </w:p>
        </w:tc>
        <w:tc>
          <w:tcPr>
            <w:tcW w:w="3320" w:type="dxa"/>
            <w:vAlign w:val="bottom"/>
            <w:tcBorders>
              <w:bottom w:val="single" w:sz="8" w:color="95B3D7"/>
              <w:right w:val="single" w:sz="8" w:color="95B3D7"/>
            </w:tcBorders>
            <w:shd w:val="clear" w:color="auto" w:fill="DBE5F1"/>
          </w:tcPr>
          <w:p>
            <w:pPr>
              <w:ind w:left="60"/>
              <w:spacing w:after="0" w:line="183" w:lineRule="exact"/>
              <w:rPr>
                <w:sz w:val="20"/>
                <w:szCs w:val="20"/>
                <w:color w:val="auto"/>
              </w:rPr>
            </w:pPr>
            <w:r>
              <w:rPr>
                <w:rFonts w:ascii="Arial" w:cs="Arial" w:eastAsia="Arial" w:hAnsi="Arial"/>
                <w:sz w:val="16"/>
                <w:szCs w:val="16"/>
                <w:color w:val="auto"/>
              </w:rPr>
              <w:t>Directors</w:t>
            </w:r>
          </w:p>
        </w:tc>
        <w:tc>
          <w:tcPr>
            <w:tcW w:w="2760" w:type="dxa"/>
            <w:vAlign w:val="bottom"/>
            <w:tcBorders>
              <w:bottom w:val="single" w:sz="8" w:color="95B3D7"/>
            </w:tcBorders>
            <w:shd w:val="clear" w:color="auto" w:fill="DBE5F1"/>
          </w:tcPr>
          <w:p>
            <w:pPr>
              <w:jc w:val="center"/>
              <w:ind w:left="879"/>
              <w:spacing w:after="0" w:line="183" w:lineRule="exact"/>
              <w:rPr>
                <w:sz w:val="20"/>
                <w:szCs w:val="20"/>
                <w:color w:val="auto"/>
              </w:rPr>
            </w:pPr>
            <w:r>
              <w:rPr>
                <w:rFonts w:ascii="Arial" w:cs="Arial" w:eastAsia="Arial" w:hAnsi="Arial"/>
                <w:sz w:val="16"/>
                <w:szCs w:val="16"/>
                <w:color w:val="auto"/>
                <w:w w:val="89"/>
              </w:rPr>
              <w:t>4</w:t>
            </w:r>
          </w:p>
        </w:tc>
        <w:tc>
          <w:tcPr>
            <w:tcW w:w="880" w:type="dxa"/>
            <w:vAlign w:val="bottom"/>
            <w:tcBorders>
              <w:bottom w:val="single" w:sz="8" w:color="95B3D7"/>
              <w:right w:val="single" w:sz="8" w:color="95B3D7"/>
            </w:tcBorders>
            <w:shd w:val="clear" w:color="auto" w:fill="DBE5F1"/>
          </w:tcPr>
          <w:p>
            <w:pPr>
              <w:spacing w:after="0"/>
              <w:rPr>
                <w:sz w:val="15"/>
                <w:szCs w:val="15"/>
                <w:color w:val="auto"/>
              </w:rPr>
            </w:pPr>
          </w:p>
        </w:tc>
        <w:tc>
          <w:tcPr>
            <w:tcW w:w="3500" w:type="dxa"/>
            <w:vAlign w:val="bottom"/>
            <w:tcBorders>
              <w:bottom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7</w:t>
            </w:r>
          </w:p>
        </w:tc>
      </w:tr>
      <w:tr>
        <w:trPr>
          <w:trHeight w:val="183"/>
        </w:trPr>
        <w:tc>
          <w:tcPr>
            <w:tcW w:w="3880" w:type="dxa"/>
            <w:vAlign w:val="bottom"/>
            <w:tcBorders>
              <w:bottom w:val="single" w:sz="8" w:color="95B3D7"/>
              <w:right w:val="single" w:sz="8" w:color="95B3D7"/>
            </w:tcBorders>
            <w:gridSpan w:val="2"/>
          </w:tcPr>
          <w:p>
            <w:pPr>
              <w:ind w:left="460"/>
              <w:spacing w:after="0" w:line="183" w:lineRule="exact"/>
              <w:rPr>
                <w:sz w:val="20"/>
                <w:szCs w:val="20"/>
                <w:color w:val="auto"/>
              </w:rPr>
            </w:pPr>
            <w:r>
              <w:rPr>
                <w:rFonts w:ascii="Arial" w:cs="Arial" w:eastAsia="Arial" w:hAnsi="Arial"/>
                <w:sz w:val="16"/>
                <w:szCs w:val="16"/>
                <w:b w:val="1"/>
                <w:bCs w:val="1"/>
                <w:color w:val="auto"/>
              </w:rPr>
              <w:t>Demographic Background:</w:t>
            </w:r>
          </w:p>
        </w:tc>
        <w:tc>
          <w:tcPr>
            <w:tcW w:w="2760" w:type="dxa"/>
            <w:vAlign w:val="bottom"/>
            <w:tcBorders>
              <w:bottom w:val="single" w:sz="8" w:color="95B3D7"/>
            </w:tcBorders>
          </w:tcPr>
          <w:p>
            <w:pPr>
              <w:spacing w:after="0"/>
              <w:rPr>
                <w:sz w:val="15"/>
                <w:szCs w:val="15"/>
                <w:color w:val="auto"/>
              </w:rPr>
            </w:pPr>
          </w:p>
        </w:tc>
        <w:tc>
          <w:tcPr>
            <w:tcW w:w="880" w:type="dxa"/>
            <w:vAlign w:val="bottom"/>
            <w:tcBorders>
              <w:bottom w:val="single" w:sz="8" w:color="95B3D7"/>
              <w:right w:val="single" w:sz="8" w:color="95B3D7"/>
            </w:tcBorders>
          </w:tcPr>
          <w:p>
            <w:pPr>
              <w:spacing w:after="0"/>
              <w:rPr>
                <w:sz w:val="15"/>
                <w:szCs w:val="15"/>
                <w:color w:val="auto"/>
              </w:rPr>
            </w:pPr>
          </w:p>
        </w:tc>
        <w:tc>
          <w:tcPr>
            <w:tcW w:w="3500" w:type="dxa"/>
            <w:vAlign w:val="bottom"/>
            <w:tcBorders>
              <w:bottom w:val="single" w:sz="8" w:color="95B3D7"/>
            </w:tcBorders>
          </w:tcPr>
          <w:p>
            <w:pPr>
              <w:spacing w:after="0"/>
              <w:rPr>
                <w:sz w:val="15"/>
                <w:szCs w:val="15"/>
                <w:color w:val="auto"/>
              </w:rPr>
            </w:pPr>
          </w:p>
        </w:tc>
      </w:tr>
      <w:tr>
        <w:trPr>
          <w:trHeight w:val="183"/>
        </w:trPr>
        <w:tc>
          <w:tcPr>
            <w:tcW w:w="560" w:type="dxa"/>
            <w:vAlign w:val="bottom"/>
            <w:tcBorders>
              <w:bottom w:val="single" w:sz="8" w:color="95B3D7"/>
            </w:tcBorders>
            <w:shd w:val="clear" w:color="auto" w:fill="DBE5F1"/>
          </w:tcPr>
          <w:p>
            <w:pPr>
              <w:ind w:left="460"/>
              <w:spacing w:after="0"/>
              <w:rPr>
                <w:sz w:val="20"/>
                <w:szCs w:val="20"/>
                <w:color w:val="auto"/>
              </w:rPr>
            </w:pPr>
            <w:r>
              <w:rPr>
                <w:rFonts w:ascii="Arial" w:cs="Arial" w:eastAsia="Arial" w:hAnsi="Arial"/>
                <w:sz w:val="11"/>
                <w:szCs w:val="11"/>
                <w:color w:val="auto"/>
                <w:w w:val="72"/>
              </w:rPr>
              <w:t> </w:t>
            </w:r>
          </w:p>
        </w:tc>
        <w:tc>
          <w:tcPr>
            <w:tcW w:w="3320" w:type="dxa"/>
            <w:vAlign w:val="bottom"/>
            <w:tcBorders>
              <w:bottom w:val="single" w:sz="8" w:color="95B3D7"/>
              <w:right w:val="single" w:sz="8" w:color="95B3D7"/>
            </w:tcBorders>
            <w:shd w:val="clear" w:color="auto" w:fill="DBE5F1"/>
          </w:tcPr>
          <w:p>
            <w:pPr>
              <w:ind w:left="60"/>
              <w:spacing w:after="0" w:line="183" w:lineRule="exact"/>
              <w:rPr>
                <w:sz w:val="20"/>
                <w:szCs w:val="20"/>
                <w:color w:val="auto"/>
              </w:rPr>
            </w:pPr>
            <w:r>
              <w:rPr>
                <w:rFonts w:ascii="Arial" w:cs="Arial" w:eastAsia="Arial" w:hAnsi="Arial"/>
                <w:sz w:val="16"/>
                <w:szCs w:val="16"/>
                <w:color w:val="auto"/>
              </w:rPr>
              <w:t>Asian</w:t>
            </w:r>
          </w:p>
        </w:tc>
        <w:tc>
          <w:tcPr>
            <w:tcW w:w="2760" w:type="dxa"/>
            <w:vAlign w:val="bottom"/>
            <w:tcBorders>
              <w:bottom w:val="single" w:sz="8" w:color="95B3D7"/>
            </w:tcBorders>
            <w:shd w:val="clear" w:color="auto" w:fill="DBE5F1"/>
          </w:tcPr>
          <w:p>
            <w:pPr>
              <w:jc w:val="center"/>
              <w:ind w:left="879"/>
              <w:spacing w:after="0" w:line="183" w:lineRule="exact"/>
              <w:rPr>
                <w:sz w:val="20"/>
                <w:szCs w:val="20"/>
                <w:color w:val="auto"/>
              </w:rPr>
            </w:pPr>
            <w:r>
              <w:rPr>
                <w:rFonts w:ascii="Arial" w:cs="Arial" w:eastAsia="Arial" w:hAnsi="Arial"/>
                <w:sz w:val="16"/>
                <w:szCs w:val="16"/>
                <w:color w:val="auto"/>
                <w:w w:val="89"/>
              </w:rPr>
              <w:t>1</w:t>
            </w:r>
          </w:p>
        </w:tc>
        <w:tc>
          <w:tcPr>
            <w:tcW w:w="880" w:type="dxa"/>
            <w:vAlign w:val="bottom"/>
            <w:tcBorders>
              <w:bottom w:val="single" w:sz="8" w:color="95B3D7"/>
              <w:right w:val="single" w:sz="8" w:color="95B3D7"/>
            </w:tcBorders>
            <w:shd w:val="clear" w:color="auto" w:fill="DBE5F1"/>
          </w:tcPr>
          <w:p>
            <w:pPr>
              <w:spacing w:after="0"/>
              <w:rPr>
                <w:sz w:val="15"/>
                <w:szCs w:val="15"/>
                <w:color w:val="auto"/>
              </w:rPr>
            </w:pPr>
          </w:p>
        </w:tc>
        <w:tc>
          <w:tcPr>
            <w:tcW w:w="3500" w:type="dxa"/>
            <w:vAlign w:val="bottom"/>
            <w:tcBorders>
              <w:bottom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1</w:t>
            </w:r>
          </w:p>
        </w:tc>
      </w:tr>
      <w:tr>
        <w:trPr>
          <w:trHeight w:val="183"/>
        </w:trPr>
        <w:tc>
          <w:tcPr>
            <w:tcW w:w="560" w:type="dxa"/>
            <w:vAlign w:val="bottom"/>
            <w:tcBorders>
              <w:bottom w:val="single" w:sz="8" w:color="95B3D7"/>
            </w:tcBorders>
          </w:tcPr>
          <w:p>
            <w:pPr>
              <w:ind w:left="460"/>
              <w:spacing w:after="0"/>
              <w:rPr>
                <w:sz w:val="20"/>
                <w:szCs w:val="20"/>
                <w:color w:val="auto"/>
              </w:rPr>
            </w:pPr>
            <w:r>
              <w:rPr>
                <w:rFonts w:ascii="Arial" w:cs="Arial" w:eastAsia="Arial" w:hAnsi="Arial"/>
                <w:sz w:val="11"/>
                <w:szCs w:val="11"/>
                <w:color w:val="auto"/>
                <w:w w:val="72"/>
              </w:rPr>
              <w:t> </w:t>
            </w:r>
          </w:p>
        </w:tc>
        <w:tc>
          <w:tcPr>
            <w:tcW w:w="332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White</w:t>
            </w:r>
          </w:p>
        </w:tc>
        <w:tc>
          <w:tcPr>
            <w:tcW w:w="2760" w:type="dxa"/>
            <w:vAlign w:val="bottom"/>
            <w:tcBorders>
              <w:bottom w:val="single" w:sz="8" w:color="95B3D7"/>
            </w:tcBorders>
          </w:tcPr>
          <w:p>
            <w:pPr>
              <w:jc w:val="center"/>
              <w:ind w:left="879"/>
              <w:spacing w:after="0" w:line="183" w:lineRule="exact"/>
              <w:rPr>
                <w:sz w:val="20"/>
                <w:szCs w:val="20"/>
                <w:color w:val="auto"/>
              </w:rPr>
            </w:pPr>
            <w:r>
              <w:rPr>
                <w:rFonts w:ascii="Arial" w:cs="Arial" w:eastAsia="Arial" w:hAnsi="Arial"/>
                <w:sz w:val="16"/>
                <w:szCs w:val="16"/>
                <w:color w:val="auto"/>
                <w:w w:val="89"/>
              </w:rPr>
              <w:t>3</w:t>
            </w:r>
          </w:p>
        </w:tc>
        <w:tc>
          <w:tcPr>
            <w:tcW w:w="880" w:type="dxa"/>
            <w:vAlign w:val="bottom"/>
            <w:tcBorders>
              <w:bottom w:val="single" w:sz="8" w:color="95B3D7"/>
              <w:right w:val="single" w:sz="8" w:color="95B3D7"/>
            </w:tcBorders>
          </w:tcPr>
          <w:p>
            <w:pPr>
              <w:spacing w:after="0"/>
              <w:rPr>
                <w:sz w:val="15"/>
                <w:szCs w:val="15"/>
                <w:color w:val="auto"/>
              </w:rPr>
            </w:pPr>
          </w:p>
        </w:tc>
        <w:tc>
          <w:tcPr>
            <w:tcW w:w="3500" w:type="dxa"/>
            <w:vAlign w:val="bottom"/>
            <w:tcBorders>
              <w:bottom w:val="single" w:sz="8" w:color="95B3D7"/>
            </w:tcBorders>
          </w:tcPr>
          <w:p>
            <w:pPr>
              <w:jc w:val="center"/>
              <w:spacing w:after="0" w:line="183" w:lineRule="exact"/>
              <w:rPr>
                <w:sz w:val="20"/>
                <w:szCs w:val="20"/>
                <w:color w:val="auto"/>
              </w:rPr>
            </w:pPr>
            <w:r>
              <w:rPr>
                <w:rFonts w:ascii="Arial" w:cs="Arial" w:eastAsia="Arial" w:hAnsi="Arial"/>
                <w:sz w:val="16"/>
                <w:szCs w:val="16"/>
                <w:color w:val="auto"/>
              </w:rPr>
              <w:t>6</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20"/>
          </w:cols>
          <w:pgMar w:left="440" w:top="296" w:right="4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CORPORATE GOVERNANCE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and Corporate Governance Highlights</w:t>
      </w:r>
    </w:p>
    <w:p>
      <w:pPr>
        <w:spacing w:after="0" w:line="212" w:lineRule="exact"/>
        <w:rPr>
          <w:sz w:val="20"/>
          <w:szCs w:val="20"/>
          <w:color w:val="auto"/>
        </w:rPr>
      </w:pPr>
    </w:p>
    <w:p>
      <w:pPr>
        <w:ind w:right="400" w:firstLine="440"/>
        <w:spacing w:after="0" w:line="253" w:lineRule="auto"/>
        <w:rPr>
          <w:sz w:val="20"/>
          <w:szCs w:val="20"/>
          <w:color w:val="auto"/>
        </w:rPr>
      </w:pPr>
      <w:r>
        <w:rPr>
          <w:rFonts w:ascii="Arial" w:cs="Arial" w:eastAsia="Arial" w:hAnsi="Arial"/>
          <w:sz w:val="18"/>
          <w:szCs w:val="18"/>
          <w:color w:val="auto"/>
        </w:rPr>
        <w:t>We are committed to governance practices that promote the long-term interests of our stockholders, strengthen Board and management accountability and continue to build trust in our Company. Our governance framework is described throughout this proxy statement and includes the following highlights: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740" w:type="dxa"/>
            <w:vAlign w:val="bottom"/>
            <w:tcBorders>
              <w:top w:val="single" w:sz="8" w:color="auto"/>
            </w:tcBorders>
            <w:shd w:val="clear" w:color="auto" w:fill="DBE5F1"/>
          </w:tcPr>
          <w:p>
            <w:pPr>
              <w:spacing w:after="0"/>
              <w:rPr>
                <w:sz w:val="20"/>
                <w:szCs w:val="20"/>
                <w:color w:val="auto"/>
              </w:rPr>
            </w:pPr>
            <w:r>
              <w:rPr>
                <w:rFonts w:ascii="Arial" w:cs="Arial" w:eastAsia="Arial" w:hAnsi="Arial"/>
                <w:sz w:val="18"/>
                <w:szCs w:val="18"/>
                <w:b w:val="1"/>
                <w:bCs w:val="1"/>
                <w:i w:val="1"/>
                <w:iCs w:val="1"/>
                <w:color w:val="auto"/>
              </w:rPr>
              <w:t>Board Structure &amp; Composition</w:t>
            </w:r>
          </w:p>
        </w:tc>
        <w:tc>
          <w:tcPr>
            <w:tcW w:w="3720" w:type="dxa"/>
            <w:vAlign w:val="bottom"/>
            <w:tcBorders>
              <w:top w:val="single" w:sz="8" w:color="auto"/>
            </w:tcBorders>
            <w:shd w:val="clear" w:color="auto" w:fill="DBE5F1"/>
          </w:tcPr>
          <w:p>
            <w:pPr>
              <w:spacing w:after="0"/>
              <w:rPr>
                <w:sz w:val="23"/>
                <w:szCs w:val="23"/>
                <w:color w:val="auto"/>
              </w:rPr>
            </w:pPr>
          </w:p>
        </w:tc>
        <w:tc>
          <w:tcPr>
            <w:tcW w:w="3560" w:type="dxa"/>
            <w:vAlign w:val="bottom"/>
            <w:tcBorders>
              <w:top w:val="single" w:sz="8" w:color="auto"/>
            </w:tcBorders>
            <w:shd w:val="clear" w:color="auto" w:fill="DBE5F1"/>
          </w:tcPr>
          <w:p>
            <w:pPr>
              <w:spacing w:after="0"/>
              <w:rPr>
                <w:sz w:val="23"/>
                <w:szCs w:val="23"/>
                <w:color w:val="auto"/>
              </w:rPr>
            </w:pPr>
          </w:p>
        </w:tc>
        <w:tc>
          <w:tcPr>
            <w:tcW w:w="0" w:type="dxa"/>
            <w:vAlign w:val="bottom"/>
          </w:tcPr>
          <w:p>
            <w:pPr>
              <w:spacing w:after="0"/>
              <w:rPr>
                <w:sz w:val="1"/>
                <w:szCs w:val="1"/>
                <w:color w:val="auto"/>
              </w:rPr>
            </w:pPr>
          </w:p>
        </w:tc>
      </w:tr>
      <w:tr>
        <w:trPr>
          <w:trHeight w:val="413"/>
        </w:trPr>
        <w:tc>
          <w:tcPr>
            <w:tcW w:w="374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9 of 11 Directors, and all Board</w:t>
            </w:r>
          </w:p>
        </w:tc>
        <w:tc>
          <w:tcPr>
            <w:tcW w:w="372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Lead Independent Director empowered</w:t>
            </w:r>
          </w:p>
        </w:tc>
        <w:tc>
          <w:tcPr>
            <w:tcW w:w="3560" w:type="dxa"/>
            <w:vAlign w:val="bottom"/>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Annual assessment and determination</w:t>
            </w:r>
          </w:p>
        </w:tc>
        <w:tc>
          <w:tcPr>
            <w:tcW w:w="0" w:type="dxa"/>
            <w:vAlign w:val="bottom"/>
          </w:tcPr>
          <w:p>
            <w:pPr>
              <w:spacing w:after="0"/>
              <w:rPr>
                <w:sz w:val="1"/>
                <w:szCs w:val="1"/>
                <w:color w:val="auto"/>
              </w:rPr>
            </w:pPr>
          </w:p>
        </w:tc>
      </w:tr>
      <w:tr>
        <w:trPr>
          <w:trHeight w:val="203"/>
        </w:trPr>
        <w:tc>
          <w:tcPr>
            <w:tcW w:w="3740" w:type="dxa"/>
            <w:vAlign w:val="bottom"/>
            <w:shd w:val="clear" w:color="auto" w:fill="DBE5F1"/>
          </w:tcPr>
          <w:p>
            <w:pPr>
              <w:ind w:left="360"/>
              <w:spacing w:after="0" w:line="202" w:lineRule="exact"/>
              <w:rPr>
                <w:sz w:val="20"/>
                <w:szCs w:val="20"/>
                <w:color w:val="auto"/>
              </w:rPr>
            </w:pPr>
            <w:r>
              <w:rPr>
                <w:rFonts w:ascii="Arial" w:cs="Arial" w:eastAsia="Arial" w:hAnsi="Arial"/>
                <w:sz w:val="18"/>
                <w:szCs w:val="18"/>
                <w:color w:val="auto"/>
              </w:rPr>
              <w:t>Committee members, are independent</w:t>
            </w:r>
          </w:p>
        </w:tc>
        <w:tc>
          <w:tcPr>
            <w:tcW w:w="3720" w:type="dxa"/>
            <w:vAlign w:val="bottom"/>
            <w:shd w:val="clear" w:color="auto" w:fill="DBE5F1"/>
          </w:tcPr>
          <w:p>
            <w:pPr>
              <w:ind w:left="480"/>
              <w:spacing w:after="0" w:line="202" w:lineRule="exact"/>
              <w:rPr>
                <w:sz w:val="20"/>
                <w:szCs w:val="20"/>
                <w:color w:val="auto"/>
              </w:rPr>
            </w:pPr>
            <w:r>
              <w:rPr>
                <w:rFonts w:ascii="Arial" w:cs="Arial" w:eastAsia="Arial" w:hAnsi="Arial"/>
                <w:sz w:val="18"/>
                <w:szCs w:val="18"/>
                <w:color w:val="auto"/>
              </w:rPr>
              <w:t>with agenda-setting authority and</w:t>
            </w:r>
          </w:p>
        </w:tc>
        <w:tc>
          <w:tcPr>
            <w:tcW w:w="3560" w:type="dxa"/>
            <w:vAlign w:val="bottom"/>
            <w:shd w:val="clear" w:color="auto" w:fill="DBE5F1"/>
          </w:tcPr>
          <w:p>
            <w:pPr>
              <w:ind w:left="380"/>
              <w:spacing w:after="0" w:line="202" w:lineRule="exact"/>
              <w:rPr>
                <w:sz w:val="20"/>
                <w:szCs w:val="20"/>
                <w:color w:val="auto"/>
              </w:rPr>
            </w:pPr>
            <w:r>
              <w:rPr>
                <w:rFonts w:ascii="Arial" w:cs="Arial" w:eastAsia="Arial" w:hAnsi="Arial"/>
                <w:sz w:val="18"/>
                <w:szCs w:val="18"/>
                <w:color w:val="auto"/>
              </w:rPr>
              <w:t>of optimal Board leadership structure</w:t>
            </w:r>
          </w:p>
        </w:tc>
        <w:tc>
          <w:tcPr>
            <w:tcW w:w="0" w:type="dxa"/>
            <w:vAlign w:val="bottom"/>
          </w:tcPr>
          <w:p>
            <w:pPr>
              <w:spacing w:after="0"/>
              <w:rPr>
                <w:sz w:val="1"/>
                <w:szCs w:val="1"/>
                <w:color w:val="auto"/>
              </w:rPr>
            </w:pPr>
          </w:p>
        </w:tc>
      </w:tr>
      <w:tr>
        <w:trPr>
          <w:trHeight w:val="203"/>
        </w:trPr>
        <w:tc>
          <w:tcPr>
            <w:tcW w:w="374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Board composed of a mix of long-tenured</w:t>
            </w:r>
          </w:p>
        </w:tc>
        <w:tc>
          <w:tcPr>
            <w:tcW w:w="3720" w:type="dxa"/>
            <w:vAlign w:val="bottom"/>
            <w:shd w:val="clear" w:color="auto" w:fill="DBE5F1"/>
          </w:tcPr>
          <w:p>
            <w:pPr>
              <w:ind w:left="480"/>
              <w:spacing w:after="0" w:line="202" w:lineRule="exact"/>
              <w:rPr>
                <w:sz w:val="20"/>
                <w:szCs w:val="20"/>
                <w:color w:val="auto"/>
              </w:rPr>
            </w:pPr>
            <w:r>
              <w:rPr>
                <w:rFonts w:ascii="Arial" w:cs="Arial" w:eastAsia="Arial" w:hAnsi="Arial"/>
                <w:sz w:val="18"/>
                <w:szCs w:val="18"/>
                <w:color w:val="auto"/>
              </w:rPr>
              <w:t>active involvement in oversight of</w:t>
            </w:r>
          </w:p>
        </w:tc>
        <w:tc>
          <w:tcPr>
            <w:tcW w:w="3560" w:type="dxa"/>
            <w:vAlign w:val="bottom"/>
            <w:vMerge w:val="restart"/>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Commitment to Board diversity of</w:t>
            </w:r>
          </w:p>
        </w:tc>
        <w:tc>
          <w:tcPr>
            <w:tcW w:w="0" w:type="dxa"/>
            <w:vAlign w:val="bottom"/>
          </w:tcPr>
          <w:p>
            <w:pPr>
              <w:spacing w:after="0"/>
              <w:rPr>
                <w:sz w:val="1"/>
                <w:szCs w:val="1"/>
                <w:color w:val="auto"/>
              </w:rPr>
            </w:pPr>
          </w:p>
        </w:tc>
      </w:tr>
      <w:tr>
        <w:trPr>
          <w:trHeight w:val="135"/>
        </w:trPr>
        <w:tc>
          <w:tcPr>
            <w:tcW w:w="3740" w:type="dxa"/>
            <w:vAlign w:val="bottom"/>
            <w:vMerge w:val="continue"/>
            <w:shd w:val="clear" w:color="auto" w:fill="DBE5F1"/>
          </w:tcPr>
          <w:p>
            <w:pPr>
              <w:spacing w:after="0"/>
              <w:rPr>
                <w:sz w:val="11"/>
                <w:szCs w:val="11"/>
                <w:color w:val="auto"/>
              </w:rPr>
            </w:pPr>
          </w:p>
        </w:tc>
        <w:tc>
          <w:tcPr>
            <w:tcW w:w="3720" w:type="dxa"/>
            <w:vAlign w:val="bottom"/>
            <w:vMerge w:val="restart"/>
            <w:shd w:val="clear" w:color="auto" w:fill="DBE5F1"/>
          </w:tcPr>
          <w:p>
            <w:pPr>
              <w:ind w:left="480"/>
              <w:spacing w:after="0" w:line="202" w:lineRule="exact"/>
              <w:rPr>
                <w:sz w:val="20"/>
                <w:szCs w:val="20"/>
                <w:color w:val="auto"/>
              </w:rPr>
            </w:pPr>
            <w:r>
              <w:rPr>
                <w:rFonts w:ascii="Arial" w:cs="Arial" w:eastAsia="Arial" w:hAnsi="Arial"/>
                <w:sz w:val="18"/>
                <w:szCs w:val="18"/>
                <w:color w:val="auto"/>
              </w:rPr>
              <w:t>Board functions, elected annually by</w:t>
            </w:r>
          </w:p>
        </w:tc>
        <w:tc>
          <w:tcPr>
            <w:tcW w:w="35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3740" w:type="dxa"/>
            <w:vAlign w:val="bottom"/>
            <w:vMerge w:val="restart"/>
            <w:shd w:val="clear" w:color="auto" w:fill="DBE5F1"/>
          </w:tcPr>
          <w:p>
            <w:pPr>
              <w:ind w:left="360"/>
              <w:spacing w:after="0" w:line="202" w:lineRule="exact"/>
              <w:rPr>
                <w:sz w:val="20"/>
                <w:szCs w:val="20"/>
                <w:color w:val="auto"/>
              </w:rPr>
            </w:pPr>
            <w:r>
              <w:rPr>
                <w:rFonts w:ascii="Arial" w:cs="Arial" w:eastAsia="Arial" w:hAnsi="Arial"/>
                <w:sz w:val="18"/>
                <w:szCs w:val="18"/>
                <w:color w:val="auto"/>
              </w:rPr>
              <w:t>and new directors</w:t>
            </w:r>
          </w:p>
        </w:tc>
        <w:tc>
          <w:tcPr>
            <w:tcW w:w="3720" w:type="dxa"/>
            <w:vAlign w:val="bottom"/>
            <w:vMerge w:val="continue"/>
            <w:shd w:val="clear" w:color="auto" w:fill="DBE5F1"/>
          </w:tcPr>
          <w:p>
            <w:pPr>
              <w:spacing w:after="0"/>
              <w:rPr>
                <w:sz w:val="5"/>
                <w:szCs w:val="5"/>
                <w:color w:val="auto"/>
              </w:rPr>
            </w:pPr>
          </w:p>
        </w:tc>
        <w:tc>
          <w:tcPr>
            <w:tcW w:w="3560" w:type="dxa"/>
            <w:vAlign w:val="bottom"/>
            <w:vMerge w:val="restart"/>
            <w:shd w:val="clear" w:color="auto" w:fill="DBE5F1"/>
          </w:tcPr>
          <w:p>
            <w:pPr>
              <w:ind w:left="380"/>
              <w:spacing w:after="0" w:line="202" w:lineRule="exact"/>
              <w:rPr>
                <w:sz w:val="20"/>
                <w:szCs w:val="20"/>
                <w:color w:val="auto"/>
              </w:rPr>
            </w:pPr>
            <w:r>
              <w:rPr>
                <w:rFonts w:ascii="Arial" w:cs="Arial" w:eastAsia="Arial" w:hAnsi="Arial"/>
                <w:sz w:val="18"/>
                <w:szCs w:val="18"/>
                <w:color w:val="auto"/>
              </w:rPr>
              <w:t>perspective, gender, and race or</w:t>
            </w:r>
          </w:p>
        </w:tc>
        <w:tc>
          <w:tcPr>
            <w:tcW w:w="0" w:type="dxa"/>
            <w:vAlign w:val="bottom"/>
          </w:tcPr>
          <w:p>
            <w:pPr>
              <w:spacing w:after="0"/>
              <w:rPr>
                <w:sz w:val="1"/>
                <w:szCs w:val="1"/>
                <w:color w:val="auto"/>
              </w:rPr>
            </w:pPr>
          </w:p>
        </w:tc>
      </w:tr>
      <w:tr>
        <w:trPr>
          <w:trHeight w:val="135"/>
        </w:trPr>
        <w:tc>
          <w:tcPr>
            <w:tcW w:w="3740" w:type="dxa"/>
            <w:vAlign w:val="bottom"/>
            <w:vMerge w:val="continue"/>
            <w:shd w:val="clear" w:color="auto" w:fill="DBE5F1"/>
          </w:tcPr>
          <w:p>
            <w:pPr>
              <w:spacing w:after="0"/>
              <w:rPr>
                <w:sz w:val="11"/>
                <w:szCs w:val="11"/>
                <w:color w:val="auto"/>
              </w:rPr>
            </w:pPr>
          </w:p>
        </w:tc>
        <w:tc>
          <w:tcPr>
            <w:tcW w:w="3720" w:type="dxa"/>
            <w:vAlign w:val="bottom"/>
            <w:vMerge w:val="restart"/>
            <w:shd w:val="clear" w:color="auto" w:fill="DBE5F1"/>
          </w:tcPr>
          <w:p>
            <w:pPr>
              <w:ind w:left="480"/>
              <w:spacing w:after="0"/>
              <w:rPr>
                <w:sz w:val="20"/>
                <w:szCs w:val="20"/>
                <w:color w:val="auto"/>
              </w:rPr>
            </w:pPr>
            <w:r>
              <w:rPr>
                <w:rFonts w:ascii="Arial" w:cs="Arial" w:eastAsia="Arial" w:hAnsi="Arial"/>
                <w:sz w:val="18"/>
                <w:szCs w:val="18"/>
                <w:color w:val="auto"/>
              </w:rPr>
              <w:t>the independent directors</w:t>
            </w:r>
          </w:p>
        </w:tc>
        <w:tc>
          <w:tcPr>
            <w:tcW w:w="35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740" w:type="dxa"/>
            <w:vAlign w:val="bottom"/>
            <w:shd w:val="clear" w:color="auto" w:fill="DBE5F1"/>
          </w:tcPr>
          <w:p>
            <w:pPr>
              <w:spacing w:after="0"/>
              <w:rPr>
                <w:sz w:val="9"/>
                <w:szCs w:val="9"/>
                <w:color w:val="auto"/>
              </w:rPr>
            </w:pPr>
          </w:p>
        </w:tc>
        <w:tc>
          <w:tcPr>
            <w:tcW w:w="372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380"/>
              <w:spacing w:after="0"/>
              <w:rPr>
                <w:sz w:val="20"/>
                <w:szCs w:val="20"/>
                <w:color w:val="auto"/>
              </w:rPr>
            </w:pPr>
            <w:r>
              <w:rPr>
                <w:rFonts w:ascii="Arial" w:cs="Arial" w:eastAsia="Arial" w:hAnsi="Arial"/>
                <w:sz w:val="18"/>
                <w:szCs w:val="18"/>
                <w:color w:val="auto"/>
              </w:rPr>
              <w:t>ethnicity</w:t>
            </w:r>
          </w:p>
        </w:tc>
        <w:tc>
          <w:tcPr>
            <w:tcW w:w="0" w:type="dxa"/>
            <w:vAlign w:val="bottom"/>
          </w:tcPr>
          <w:p>
            <w:pPr>
              <w:spacing w:after="0"/>
              <w:rPr>
                <w:sz w:val="1"/>
                <w:szCs w:val="1"/>
                <w:color w:val="auto"/>
              </w:rPr>
            </w:pPr>
          </w:p>
        </w:tc>
      </w:tr>
      <w:tr>
        <w:trPr>
          <w:trHeight w:val="135"/>
        </w:trPr>
        <w:tc>
          <w:tcPr>
            <w:tcW w:w="3740" w:type="dxa"/>
            <w:vAlign w:val="bottom"/>
            <w:vMerge w:val="restart"/>
            <w:shd w:val="clear" w:color="auto" w:fill="DBE5F1"/>
          </w:tcPr>
          <w:p>
            <w:pPr>
              <w:ind w:left="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Directors reflect a variety of experiences</w:t>
            </w:r>
          </w:p>
        </w:tc>
        <w:tc>
          <w:tcPr>
            <w:tcW w:w="372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Active and empowered committee</w:t>
            </w:r>
          </w:p>
        </w:tc>
        <w:tc>
          <w:tcPr>
            <w:tcW w:w="35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3740" w:type="dxa"/>
            <w:vAlign w:val="bottom"/>
            <w:vMerge w:val="continue"/>
            <w:shd w:val="clear" w:color="auto" w:fill="DBE5F1"/>
          </w:tcPr>
          <w:p>
            <w:pPr>
              <w:spacing w:after="0"/>
              <w:rPr>
                <w:sz w:val="8"/>
                <w:szCs w:val="8"/>
                <w:color w:val="auto"/>
              </w:rPr>
            </w:pPr>
          </w:p>
        </w:tc>
        <w:tc>
          <w:tcPr>
            <w:tcW w:w="3720" w:type="dxa"/>
            <w:vAlign w:val="bottom"/>
            <w:vMerge w:val="continue"/>
            <w:shd w:val="clear" w:color="auto" w:fill="DBE5F1"/>
          </w:tcPr>
          <w:p>
            <w:pPr>
              <w:spacing w:after="0"/>
              <w:rPr>
                <w:sz w:val="8"/>
                <w:szCs w:val="8"/>
                <w:color w:val="auto"/>
              </w:rPr>
            </w:pPr>
          </w:p>
        </w:tc>
        <w:tc>
          <w:tcPr>
            <w:tcW w:w="3560" w:type="dxa"/>
            <w:vAlign w:val="bottom"/>
            <w:vMerge w:val="restart"/>
            <w:shd w:val="clear" w:color="auto" w:fill="DBE5F1"/>
          </w:tcPr>
          <w:p>
            <w:pPr>
              <w:ind w:left="12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Directors attended about 92% of Board</w:t>
            </w:r>
          </w:p>
        </w:tc>
        <w:tc>
          <w:tcPr>
            <w:tcW w:w="0" w:type="dxa"/>
            <w:vAlign w:val="bottom"/>
          </w:tcPr>
          <w:p>
            <w:pPr>
              <w:spacing w:after="0"/>
              <w:rPr>
                <w:sz w:val="1"/>
                <w:szCs w:val="1"/>
                <w:color w:val="auto"/>
              </w:rPr>
            </w:pPr>
          </w:p>
        </w:tc>
      </w:tr>
      <w:tr>
        <w:trPr>
          <w:trHeight w:val="68"/>
        </w:trPr>
        <w:tc>
          <w:tcPr>
            <w:tcW w:w="3740" w:type="dxa"/>
            <w:vAlign w:val="bottom"/>
            <w:vMerge w:val="restart"/>
            <w:shd w:val="clear" w:color="auto" w:fill="DBE5F1"/>
          </w:tcPr>
          <w:p>
            <w:pPr>
              <w:ind w:left="360"/>
              <w:spacing w:after="0" w:line="202" w:lineRule="exact"/>
              <w:rPr>
                <w:sz w:val="20"/>
                <w:szCs w:val="20"/>
                <w:color w:val="auto"/>
              </w:rPr>
            </w:pPr>
            <w:r>
              <w:rPr>
                <w:rFonts w:ascii="Arial" w:cs="Arial" w:eastAsia="Arial" w:hAnsi="Arial"/>
                <w:sz w:val="18"/>
                <w:szCs w:val="18"/>
                <w:color w:val="auto"/>
              </w:rPr>
              <w:t>and skills that give the Board the</w:t>
            </w:r>
          </w:p>
        </w:tc>
        <w:tc>
          <w:tcPr>
            <w:tcW w:w="3720" w:type="dxa"/>
            <w:vAlign w:val="bottom"/>
            <w:vMerge w:val="continue"/>
            <w:shd w:val="clear" w:color="auto" w:fill="DBE5F1"/>
          </w:tcPr>
          <w:p>
            <w:pPr>
              <w:spacing w:after="0"/>
              <w:rPr>
                <w:sz w:val="5"/>
                <w:szCs w:val="5"/>
                <w:color w:val="auto"/>
              </w:rPr>
            </w:pPr>
          </w:p>
        </w:tc>
        <w:tc>
          <w:tcPr>
            <w:tcW w:w="3560" w:type="dxa"/>
            <w:vAlign w:val="bottom"/>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3740" w:type="dxa"/>
            <w:vAlign w:val="bottom"/>
            <w:vMerge w:val="continue"/>
            <w:shd w:val="clear" w:color="auto" w:fill="DBE5F1"/>
          </w:tcPr>
          <w:p>
            <w:pPr>
              <w:spacing w:after="0"/>
              <w:rPr>
                <w:sz w:val="11"/>
                <w:szCs w:val="11"/>
                <w:color w:val="auto"/>
              </w:rPr>
            </w:pPr>
          </w:p>
        </w:tc>
        <w:tc>
          <w:tcPr>
            <w:tcW w:w="3720" w:type="dxa"/>
            <w:vAlign w:val="bottom"/>
            <w:vMerge w:val="restart"/>
            <w:shd w:val="clear" w:color="auto" w:fill="DBE5F1"/>
          </w:tcPr>
          <w:p>
            <w:pPr>
              <w:ind w:left="480"/>
              <w:spacing w:after="0"/>
              <w:rPr>
                <w:sz w:val="20"/>
                <w:szCs w:val="20"/>
                <w:color w:val="auto"/>
              </w:rPr>
            </w:pPr>
            <w:r>
              <w:rPr>
                <w:rFonts w:ascii="Arial" w:cs="Arial" w:eastAsia="Arial" w:hAnsi="Arial"/>
                <w:sz w:val="18"/>
                <w:szCs w:val="18"/>
                <w:color w:val="auto"/>
              </w:rPr>
              <w:t>chairs, all of whom are independent</w:t>
            </w:r>
          </w:p>
        </w:tc>
        <w:tc>
          <w:tcPr>
            <w:tcW w:w="35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3740" w:type="dxa"/>
            <w:vAlign w:val="bottom"/>
            <w:vMerge w:val="restart"/>
            <w:shd w:val="clear" w:color="auto" w:fill="DBE5F1"/>
          </w:tcPr>
          <w:p>
            <w:pPr>
              <w:ind w:left="360"/>
              <w:spacing w:after="0" w:line="202" w:lineRule="exact"/>
              <w:rPr>
                <w:sz w:val="20"/>
                <w:szCs w:val="20"/>
                <w:color w:val="auto"/>
              </w:rPr>
            </w:pPr>
            <w:r>
              <w:rPr>
                <w:rFonts w:ascii="Arial" w:cs="Arial" w:eastAsia="Arial" w:hAnsi="Arial"/>
                <w:sz w:val="18"/>
                <w:szCs w:val="18"/>
                <w:color w:val="auto"/>
              </w:rPr>
              <w:t>collective capability necessary to oversee</w:t>
            </w:r>
          </w:p>
        </w:tc>
        <w:tc>
          <w:tcPr>
            <w:tcW w:w="3720" w:type="dxa"/>
            <w:vAlign w:val="bottom"/>
            <w:vMerge w:val="continue"/>
            <w:shd w:val="clear" w:color="auto" w:fill="DBE5F1"/>
          </w:tcPr>
          <w:p>
            <w:pPr>
              <w:spacing w:after="0"/>
              <w:rPr>
                <w:sz w:val="9"/>
                <w:szCs w:val="9"/>
                <w:color w:val="auto"/>
              </w:rPr>
            </w:pPr>
          </w:p>
        </w:tc>
        <w:tc>
          <w:tcPr>
            <w:tcW w:w="3560" w:type="dxa"/>
            <w:vAlign w:val="bottom"/>
            <w:vMerge w:val="restart"/>
            <w:shd w:val="clear" w:color="auto" w:fill="DBE5F1"/>
          </w:tcPr>
          <w:p>
            <w:pPr>
              <w:ind w:left="380"/>
              <w:spacing w:after="0" w:line="202" w:lineRule="exact"/>
              <w:rPr>
                <w:sz w:val="20"/>
                <w:szCs w:val="20"/>
                <w:color w:val="auto"/>
              </w:rPr>
            </w:pPr>
            <w:r>
              <w:rPr>
                <w:rFonts w:ascii="Arial" w:cs="Arial" w:eastAsia="Arial" w:hAnsi="Arial"/>
                <w:sz w:val="18"/>
                <w:szCs w:val="18"/>
                <w:color w:val="auto"/>
              </w:rPr>
              <w:t>and Committee meetings combined in</w:t>
            </w:r>
          </w:p>
        </w:tc>
        <w:tc>
          <w:tcPr>
            <w:tcW w:w="0" w:type="dxa"/>
            <w:vAlign w:val="bottom"/>
          </w:tcPr>
          <w:p>
            <w:pPr>
              <w:spacing w:after="0"/>
              <w:rPr>
                <w:sz w:val="1"/>
                <w:szCs w:val="1"/>
                <w:color w:val="auto"/>
              </w:rPr>
            </w:pPr>
          </w:p>
        </w:tc>
      </w:tr>
      <w:tr>
        <w:trPr>
          <w:trHeight w:val="99"/>
        </w:trPr>
        <w:tc>
          <w:tcPr>
            <w:tcW w:w="3740" w:type="dxa"/>
            <w:vAlign w:val="bottom"/>
            <w:vMerge w:val="continue"/>
            <w:shd w:val="clear" w:color="auto" w:fill="DBE5F1"/>
          </w:tcPr>
          <w:p>
            <w:pPr>
              <w:spacing w:after="0"/>
              <w:rPr>
                <w:sz w:val="8"/>
                <w:szCs w:val="8"/>
                <w:color w:val="auto"/>
              </w:rPr>
            </w:pPr>
          </w:p>
        </w:tc>
        <w:tc>
          <w:tcPr>
            <w:tcW w:w="3720" w:type="dxa"/>
            <w:vAlign w:val="bottom"/>
            <w:shd w:val="clear" w:color="auto" w:fill="DBE5F1"/>
          </w:tcPr>
          <w:p>
            <w:pPr>
              <w:spacing w:after="0"/>
              <w:rPr>
                <w:sz w:val="8"/>
                <w:szCs w:val="8"/>
                <w:color w:val="auto"/>
              </w:rPr>
            </w:pPr>
          </w:p>
        </w:tc>
        <w:tc>
          <w:tcPr>
            <w:tcW w:w="3560" w:type="dxa"/>
            <w:vAlign w:val="bottom"/>
            <w:vMerge w:val="continue"/>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3740" w:type="dxa"/>
            <w:vAlign w:val="bottom"/>
            <w:tcBorders>
              <w:bottom w:val="single" w:sz="8" w:color="auto"/>
            </w:tcBorders>
            <w:shd w:val="clear" w:color="auto" w:fill="DBE5F1"/>
          </w:tcPr>
          <w:p>
            <w:pPr>
              <w:ind w:left="360"/>
              <w:spacing w:after="0"/>
              <w:rPr>
                <w:sz w:val="20"/>
                <w:szCs w:val="20"/>
                <w:color w:val="auto"/>
              </w:rPr>
            </w:pPr>
            <w:r>
              <w:rPr>
                <w:rFonts w:ascii="Arial" w:cs="Arial" w:eastAsia="Arial" w:hAnsi="Arial"/>
                <w:sz w:val="18"/>
                <w:szCs w:val="18"/>
                <w:color w:val="auto"/>
              </w:rPr>
              <w:t>the Company’s activities</w:t>
            </w:r>
          </w:p>
        </w:tc>
        <w:tc>
          <w:tcPr>
            <w:tcW w:w="3720" w:type="dxa"/>
            <w:vAlign w:val="bottom"/>
            <w:tcBorders>
              <w:bottom w:val="single" w:sz="8" w:color="auto"/>
            </w:tcBorders>
            <w:shd w:val="clear" w:color="auto" w:fill="DBE5F1"/>
          </w:tcPr>
          <w:p>
            <w:pPr>
              <w:spacing w:after="0"/>
              <w:rPr>
                <w:sz w:val="20"/>
                <w:szCs w:val="20"/>
                <w:color w:val="auto"/>
              </w:rPr>
            </w:pPr>
          </w:p>
        </w:tc>
        <w:tc>
          <w:tcPr>
            <w:tcW w:w="3560" w:type="dxa"/>
            <w:vAlign w:val="bottom"/>
            <w:tcBorders>
              <w:bottom w:val="single" w:sz="8" w:color="auto"/>
            </w:tcBorders>
            <w:shd w:val="clear" w:color="auto" w:fill="DBE5F1"/>
          </w:tcPr>
          <w:p>
            <w:pPr>
              <w:ind w:left="380"/>
              <w:spacing w:after="0"/>
              <w:rPr>
                <w:sz w:val="20"/>
                <w:szCs w:val="20"/>
                <w:color w:val="auto"/>
              </w:rPr>
            </w:pPr>
            <w:r>
              <w:rPr>
                <w:rFonts w:ascii="Arial" w:cs="Arial" w:eastAsia="Arial" w:hAnsi="Arial"/>
                <w:sz w:val="18"/>
                <w:szCs w:val="18"/>
                <w:color w:val="auto"/>
              </w:rPr>
              <w:t>2023</w:t>
            </w:r>
          </w:p>
        </w:tc>
        <w:tc>
          <w:tcPr>
            <w:tcW w:w="0" w:type="dxa"/>
            <w:vAlign w:val="bottom"/>
          </w:tcPr>
          <w:p>
            <w:pPr>
              <w:spacing w:after="0"/>
              <w:rPr>
                <w:sz w:val="1"/>
                <w:szCs w:val="1"/>
                <w:color w:val="auto"/>
              </w:rPr>
            </w:pPr>
          </w:p>
        </w:tc>
      </w:tr>
      <w:tr>
        <w:trPr>
          <w:trHeight w:val="316"/>
        </w:trPr>
        <w:tc>
          <w:tcPr>
            <w:tcW w:w="3740" w:type="dxa"/>
            <w:vAlign w:val="bottom"/>
          </w:tcPr>
          <w:p>
            <w:pPr>
              <w:spacing w:after="0"/>
              <w:rPr>
                <w:sz w:val="20"/>
                <w:szCs w:val="20"/>
                <w:color w:val="auto"/>
              </w:rPr>
            </w:pPr>
            <w:r>
              <w:rPr>
                <w:rFonts w:ascii="Arial" w:cs="Arial" w:eastAsia="Arial" w:hAnsi="Arial"/>
                <w:sz w:val="18"/>
                <w:szCs w:val="18"/>
                <w:b w:val="1"/>
                <w:bCs w:val="1"/>
                <w:i w:val="1"/>
                <w:iCs w:val="1"/>
                <w:color w:val="auto"/>
              </w:rPr>
              <w:t>Good Governance Practices</w:t>
            </w:r>
          </w:p>
        </w:tc>
        <w:tc>
          <w:tcPr>
            <w:tcW w:w="37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2" w:lineRule="exact"/>
        <w:rPr>
          <w:sz w:val="20"/>
          <w:szCs w:val="20"/>
          <w:color w:val="auto"/>
        </w:rPr>
      </w:pPr>
    </w:p>
    <w:p>
      <w:pPr>
        <w:sectPr>
          <w:pgSz w:w="11900" w:h="16838" w:orient="portrait"/>
          <w:cols w:equalWidth="0" w:num="1">
            <w:col w:w="11020"/>
          </w:cols>
          <w:pgMar w:left="440" w:top="296" w:right="439" w:bottom="1440" w:gutter="0" w:footer="0" w:header="0"/>
        </w:sectPr>
      </w:pPr>
    </w:p>
    <w:p>
      <w:pPr>
        <w:ind w:left="360" w:right="620" w:hanging="269"/>
        <w:spacing w:after="0" w:line="316"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Ongoing Board assessment and</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refreshment led by the NCGCC</w:t>
      </w:r>
    </w:p>
    <w:p>
      <w:pPr>
        <w:spacing w:after="0" w:line="23" w:lineRule="exact"/>
        <w:rPr>
          <w:sz w:val="20"/>
          <w:szCs w:val="20"/>
          <w:color w:val="auto"/>
        </w:rPr>
      </w:pPr>
    </w:p>
    <w:p>
      <w:pPr>
        <w:ind w:left="360" w:right="440" w:hanging="26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Annual Board and Committee self-assessments</w:t>
      </w:r>
    </w:p>
    <w:p>
      <w:pPr>
        <w:spacing w:after="0" w:line="47" w:lineRule="exact"/>
        <w:rPr>
          <w:sz w:val="20"/>
          <w:szCs w:val="20"/>
          <w:color w:val="auto"/>
        </w:rPr>
      </w:pPr>
    </w:p>
    <w:p>
      <w:pPr>
        <w:ind w:left="360" w:hanging="269"/>
        <w:spacing w:after="0" w:line="316" w:lineRule="auto"/>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Insider trading policy, including</w:t>
      </w:r>
      <w:r>
        <w:rPr>
          <w:rFonts w:ascii="Times New Roman" w:cs="Times New Roman" w:eastAsia="Times New Roman" w:hAnsi="Times New Roman"/>
          <w:sz w:val="17"/>
          <w:szCs w:val="17"/>
          <w:color w:val="auto"/>
        </w:rPr>
        <w:t xml:space="preserve"> </w:t>
      </w:r>
      <w:r>
        <w:rPr>
          <w:rFonts w:ascii="Arial" w:cs="Arial" w:eastAsia="Arial" w:hAnsi="Arial"/>
          <w:sz w:val="17"/>
          <w:szCs w:val="17"/>
          <w:color w:val="auto"/>
        </w:rPr>
        <w:t>prohibitions on pledging and short-sales</w:t>
      </w:r>
    </w:p>
    <w:p>
      <w:pPr>
        <w:spacing w:after="0" w:line="23" w:lineRule="exact"/>
        <w:rPr>
          <w:sz w:val="20"/>
          <w:szCs w:val="20"/>
          <w:color w:val="auto"/>
        </w:rPr>
      </w:pPr>
    </w:p>
    <w:p>
      <w:pPr>
        <w:ind w:left="360" w:right="440" w:hanging="269"/>
        <w:spacing w:after="0" w:line="270"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Clawback policy implementation in</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2374265" cy="17659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74265" cy="17659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280" w:right="260" w:hanging="269"/>
        <w:spacing w:after="0" w:line="251"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Regular executive sessions of the</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independent directors at meetings of the Board, without management present</w:t>
      </w:r>
    </w:p>
    <w:p>
      <w:pPr>
        <w:spacing w:after="0" w:line="77" w:lineRule="exact"/>
        <w:rPr>
          <w:sz w:val="20"/>
          <w:szCs w:val="20"/>
          <w:color w:val="auto"/>
        </w:rPr>
      </w:pPr>
    </w:p>
    <w:p>
      <w:pPr>
        <w:ind w:left="280" w:hanging="26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Non-employee director stock ownership</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requirements</w:t>
      </w:r>
    </w:p>
    <w:p>
      <w:pPr>
        <w:spacing w:after="0" w:line="4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w:t>
      </w:r>
      <w:r>
        <w:rPr>
          <w:rFonts w:ascii="Arial" w:cs="Arial" w:eastAsia="Arial" w:hAnsi="Arial"/>
          <w:sz w:val="17"/>
          <w:szCs w:val="17"/>
          <w:color w:val="auto"/>
        </w:rPr>
        <w:t xml:space="preserve">    Code of Conduct overseen by Board</w:t>
      </w:r>
    </w:p>
    <w:p>
      <w:pPr>
        <w:spacing w:after="0" w:line="20" w:lineRule="exact"/>
        <w:rPr>
          <w:sz w:val="20"/>
          <w:szCs w:val="20"/>
          <w:color w:val="auto"/>
        </w:rPr>
      </w:pPr>
      <w:r>
        <w:rPr>
          <w:sz w:val="20"/>
          <w:szCs w:val="20"/>
          <w:color w:val="auto"/>
        </w:rPr>
        <w:br w:type="column"/>
      </w:r>
    </w:p>
    <w:p>
      <w:pPr>
        <w:ind w:right="260" w:hanging="269"/>
        <w:spacing w:after="0" w:line="251"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Robust stockholder engagement</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program, with the participation of our Chairman, to share our perspectives and solicit feedback</w:t>
      </w:r>
    </w:p>
    <w:p>
      <w:pPr>
        <w:spacing w:after="0" w:line="77" w:lineRule="exact"/>
        <w:rPr>
          <w:sz w:val="20"/>
          <w:szCs w:val="20"/>
          <w:color w:val="auto"/>
        </w:rPr>
      </w:pPr>
    </w:p>
    <w:p>
      <w:pPr>
        <w:ind w:right="700" w:hanging="269"/>
        <w:spacing w:after="0" w:line="285" w:lineRule="auto"/>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Lead Sponsors can call special</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stockholder meetings</w:t>
      </w:r>
    </w:p>
    <w:p>
      <w:pPr>
        <w:spacing w:after="0" w:line="650" w:lineRule="exact"/>
        <w:rPr>
          <w:sz w:val="20"/>
          <w:szCs w:val="20"/>
          <w:color w:val="auto"/>
        </w:rPr>
      </w:pPr>
    </w:p>
    <w:p>
      <w:pPr>
        <w:sectPr>
          <w:pgSz w:w="11900" w:h="16838" w:orient="portrait"/>
          <w:cols w:equalWidth="0" w:num="3">
            <w:col w:w="3540" w:space="400"/>
            <w:col w:w="3440" w:space="460"/>
            <w:col w:w="3180"/>
          </w:cols>
          <w:pgMar w:left="440" w:top="296" w:right="439" w:bottom="1440" w:gutter="0" w:footer="0" w:header="0"/>
          <w:type w:val="continuous"/>
        </w:sectPr>
      </w:pPr>
    </w:p>
    <w:tbl>
      <w:tblPr>
        <w:tblLayout w:type="fixed"/>
        <w:tblInd w:w="0" w:type="dxa"/>
        <w:tblCellMar>
          <w:top w:w="0" w:type="dxa"/>
          <w:left w:w="0" w:type="dxa"/>
          <w:bottom w:w="0" w:type="dxa"/>
          <w:right w:w="0" w:type="dxa"/>
        </w:tblCellMar>
      </w:tblPr>
      <w:tr>
        <w:trPr>
          <w:trHeight w:val="71"/>
        </w:trPr>
        <w:tc>
          <w:tcPr>
            <w:tcW w:w="3740" w:type="dxa"/>
            <w:vAlign w:val="bottom"/>
            <w:tcBorders>
              <w:top w:val="single" w:sz="8" w:color="auto"/>
            </w:tcBorders>
            <w:shd w:val="clear" w:color="auto" w:fill="DBE5F1"/>
          </w:tcPr>
          <w:p>
            <w:pPr>
              <w:spacing w:after="0"/>
              <w:rPr>
                <w:sz w:val="6"/>
                <w:szCs w:val="6"/>
                <w:color w:val="auto"/>
              </w:rPr>
            </w:pPr>
          </w:p>
        </w:tc>
        <w:tc>
          <w:tcPr>
            <w:tcW w:w="3640" w:type="dxa"/>
            <w:vAlign w:val="bottom"/>
            <w:tcBorders>
              <w:top w:val="single" w:sz="8" w:color="auto"/>
            </w:tcBorders>
            <w:shd w:val="clear" w:color="auto" w:fill="DBE5F1"/>
          </w:tcPr>
          <w:p>
            <w:pPr>
              <w:spacing w:after="0"/>
              <w:rPr>
                <w:sz w:val="6"/>
                <w:szCs w:val="6"/>
                <w:color w:val="auto"/>
              </w:rPr>
            </w:pPr>
          </w:p>
        </w:tc>
        <w:tc>
          <w:tcPr>
            <w:tcW w:w="3640" w:type="dxa"/>
            <w:vAlign w:val="bottom"/>
            <w:tcBorders>
              <w:top w:val="single" w:sz="8" w:color="auto"/>
            </w:tcBorders>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3740" w:type="dxa"/>
            <w:vAlign w:val="bottom"/>
          </w:tcPr>
          <w:p>
            <w:pPr>
              <w:spacing w:after="0" w:line="202" w:lineRule="exact"/>
              <w:rPr>
                <w:sz w:val="20"/>
                <w:szCs w:val="20"/>
                <w:color w:val="auto"/>
              </w:rPr>
            </w:pPr>
            <w:r>
              <w:rPr>
                <w:rFonts w:ascii="Arial" w:cs="Arial" w:eastAsia="Arial" w:hAnsi="Arial"/>
                <w:sz w:val="18"/>
                <w:szCs w:val="18"/>
                <w:b w:val="1"/>
                <w:bCs w:val="1"/>
                <w:i w:val="1"/>
                <w:iCs w:val="1"/>
                <w:color w:val="auto"/>
              </w:rPr>
              <w:t>Board Operations and Oversight</w:t>
            </w:r>
          </w:p>
        </w:tc>
        <w:tc>
          <w:tcPr>
            <w:tcW w:w="3640" w:type="dxa"/>
            <w:vAlign w:val="bottom"/>
            <w:shd w:val="clear" w:color="auto" w:fill="DBE5F1"/>
          </w:tcPr>
          <w:p>
            <w:pPr>
              <w:spacing w:after="0"/>
              <w:rPr>
                <w:sz w:val="17"/>
                <w:szCs w:val="17"/>
                <w:color w:val="auto"/>
              </w:rPr>
            </w:pPr>
          </w:p>
        </w:tc>
        <w:tc>
          <w:tcPr>
            <w:tcW w:w="3640" w:type="dxa"/>
            <w:vAlign w:val="bottom"/>
            <w:shd w:val="clear" w:color="auto" w:fill="DBE5F1"/>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Active board oversight of strategic</w:t>
            </w: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Audit Committee oversight of financial</w:t>
            </w:r>
          </w:p>
        </w:tc>
        <w:tc>
          <w:tcPr>
            <w:tcW w:w="3640" w:type="dxa"/>
            <w:vAlign w:val="bottom"/>
            <w:shd w:val="clear" w:color="auto" w:fill="DBE5F1"/>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3740" w:type="dxa"/>
            <w:vAlign w:val="bottom"/>
            <w:vMerge w:val="continue"/>
          </w:tcPr>
          <w:p>
            <w:pPr>
              <w:spacing w:after="0"/>
              <w:rPr>
                <w:sz w:val="17"/>
                <w:szCs w:val="17"/>
                <w:color w:val="auto"/>
              </w:rPr>
            </w:pPr>
          </w:p>
        </w:tc>
        <w:tc>
          <w:tcPr>
            <w:tcW w:w="3640" w:type="dxa"/>
            <w:vAlign w:val="bottom"/>
            <w:vMerge w:val="continue"/>
          </w:tcPr>
          <w:p>
            <w:pPr>
              <w:spacing w:after="0"/>
              <w:rPr>
                <w:sz w:val="17"/>
                <w:szCs w:val="17"/>
                <w:color w:val="auto"/>
              </w:rPr>
            </w:pPr>
          </w:p>
        </w:tc>
        <w:tc>
          <w:tcPr>
            <w:tcW w:w="3640" w:type="dxa"/>
            <w:vAlign w:val="bottom"/>
          </w:tcPr>
          <w:p>
            <w:pPr>
              <w:ind w:left="200"/>
              <w:spacing w:after="0" w:line="197" w:lineRule="exact"/>
              <w:rPr>
                <w:sz w:val="20"/>
                <w:szCs w:val="20"/>
                <w:color w:val="auto"/>
              </w:rPr>
            </w:pPr>
            <w:r>
              <w:rPr>
                <w:rFonts w:ascii="Times New Roman" w:cs="Times New Roman" w:eastAsia="Times New Roman" w:hAnsi="Times New Roman"/>
                <w:sz w:val="18"/>
                <w:szCs w:val="18"/>
                <w:color w:val="auto"/>
                <w:w w:val="99"/>
              </w:rPr>
              <w:t>●</w:t>
            </w:r>
            <w:r>
              <w:rPr>
                <w:rFonts w:ascii="Arial" w:cs="Arial" w:eastAsia="Arial" w:hAnsi="Arial"/>
                <w:sz w:val="18"/>
                <w:szCs w:val="18"/>
                <w:color w:val="auto"/>
                <w:w w:val="99"/>
              </w:rPr>
              <w:t xml:space="preserve">    Direct access by the Board to members</w:t>
            </w:r>
          </w:p>
        </w:tc>
        <w:tc>
          <w:tcPr>
            <w:tcW w:w="0" w:type="dxa"/>
            <w:vAlign w:val="bottom"/>
          </w:tcPr>
          <w:p>
            <w:pPr>
              <w:spacing w:after="0"/>
              <w:rPr>
                <w:sz w:val="1"/>
                <w:szCs w:val="1"/>
                <w:color w:val="auto"/>
              </w:rPr>
            </w:pPr>
          </w:p>
        </w:tc>
      </w:tr>
      <w:tr>
        <w:trPr>
          <w:trHeight w:val="203"/>
        </w:trPr>
        <w:tc>
          <w:tcPr>
            <w:tcW w:w="3740" w:type="dxa"/>
            <w:vAlign w:val="bottom"/>
          </w:tcPr>
          <w:p>
            <w:pPr>
              <w:ind w:left="360"/>
              <w:spacing w:after="0" w:line="202" w:lineRule="exact"/>
              <w:rPr>
                <w:sz w:val="20"/>
                <w:szCs w:val="20"/>
                <w:color w:val="auto"/>
              </w:rPr>
            </w:pPr>
            <w:r>
              <w:rPr>
                <w:rFonts w:ascii="Arial" w:cs="Arial" w:eastAsia="Arial" w:hAnsi="Arial"/>
                <w:sz w:val="18"/>
                <w:szCs w:val="18"/>
                <w:color w:val="auto"/>
              </w:rPr>
              <w:t>planning</w:t>
            </w:r>
          </w:p>
        </w:tc>
        <w:tc>
          <w:tcPr>
            <w:tcW w:w="3640" w:type="dxa"/>
            <w:vAlign w:val="bottom"/>
          </w:tcPr>
          <w:p>
            <w:pPr>
              <w:ind w:left="480"/>
              <w:spacing w:after="0" w:line="202" w:lineRule="exact"/>
              <w:rPr>
                <w:sz w:val="20"/>
                <w:szCs w:val="20"/>
                <w:color w:val="auto"/>
              </w:rPr>
            </w:pPr>
            <w:r>
              <w:rPr>
                <w:rFonts w:ascii="Arial" w:cs="Arial" w:eastAsia="Arial" w:hAnsi="Arial"/>
                <w:sz w:val="18"/>
                <w:szCs w:val="18"/>
                <w:color w:val="auto"/>
              </w:rPr>
              <w:t>risks, cybersecurity</w:t>
            </w:r>
          </w:p>
        </w:tc>
        <w:tc>
          <w:tcPr>
            <w:tcW w:w="3640" w:type="dxa"/>
            <w:vAlign w:val="bottom"/>
          </w:tcPr>
          <w:p>
            <w:pPr>
              <w:ind w:left="460"/>
              <w:spacing w:after="0" w:line="202" w:lineRule="exact"/>
              <w:rPr>
                <w:sz w:val="20"/>
                <w:szCs w:val="20"/>
                <w:color w:val="auto"/>
              </w:rPr>
            </w:pPr>
            <w:r>
              <w:rPr>
                <w:rFonts w:ascii="Arial" w:cs="Arial" w:eastAsia="Arial" w:hAnsi="Arial"/>
                <w:sz w:val="18"/>
                <w:szCs w:val="18"/>
                <w:color w:val="auto"/>
              </w:rPr>
              <w:t>of management, including Chief</w:t>
            </w:r>
          </w:p>
        </w:tc>
        <w:tc>
          <w:tcPr>
            <w:tcW w:w="0" w:type="dxa"/>
            <w:vAlign w:val="bottom"/>
          </w:tcPr>
          <w:p>
            <w:pPr>
              <w:spacing w:after="0"/>
              <w:rPr>
                <w:sz w:val="1"/>
                <w:szCs w:val="1"/>
                <w:color w:val="auto"/>
              </w:rPr>
            </w:pPr>
          </w:p>
        </w:tc>
      </w:tr>
      <w:tr>
        <w:trPr>
          <w:trHeight w:val="239"/>
        </w:trPr>
        <w:tc>
          <w:tcPr>
            <w:tcW w:w="3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Robust oversight framework to assess</w:t>
            </w: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NCGCC oversight of nominating</w:t>
            </w:r>
          </w:p>
        </w:tc>
        <w:tc>
          <w:tcPr>
            <w:tcW w:w="3640" w:type="dxa"/>
            <w:vAlign w:val="bottom"/>
          </w:tcPr>
          <w:p>
            <w:pPr>
              <w:ind w:left="460"/>
              <w:spacing w:after="0"/>
              <w:rPr>
                <w:sz w:val="20"/>
                <w:szCs w:val="20"/>
                <w:color w:val="auto"/>
              </w:rPr>
            </w:pPr>
            <w:r>
              <w:rPr>
                <w:rFonts w:ascii="Arial" w:cs="Arial" w:eastAsia="Arial" w:hAnsi="Arial"/>
                <w:sz w:val="18"/>
                <w:szCs w:val="18"/>
                <w:color w:val="auto"/>
              </w:rPr>
              <w:t>Compliance Officer</w:t>
            </w:r>
          </w:p>
        </w:tc>
        <w:tc>
          <w:tcPr>
            <w:tcW w:w="0" w:type="dxa"/>
            <w:vAlign w:val="bottom"/>
          </w:tcPr>
          <w:p>
            <w:pPr>
              <w:spacing w:after="0"/>
              <w:rPr>
                <w:sz w:val="1"/>
                <w:szCs w:val="1"/>
                <w:color w:val="auto"/>
              </w:rPr>
            </w:pPr>
          </w:p>
        </w:tc>
      </w:tr>
      <w:tr>
        <w:trPr>
          <w:trHeight w:val="99"/>
        </w:trPr>
        <w:tc>
          <w:tcPr>
            <w:tcW w:w="374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Regular briefings on corporate</w:t>
            </w:r>
          </w:p>
        </w:tc>
        <w:tc>
          <w:tcPr>
            <w:tcW w:w="0" w:type="dxa"/>
            <w:vAlign w:val="bottom"/>
          </w:tcPr>
          <w:p>
            <w:pPr>
              <w:spacing w:after="0"/>
              <w:rPr>
                <w:sz w:val="1"/>
                <w:szCs w:val="1"/>
                <w:color w:val="auto"/>
              </w:rPr>
            </w:pPr>
          </w:p>
        </w:tc>
      </w:tr>
      <w:tr>
        <w:trPr>
          <w:trHeight w:val="203"/>
        </w:trPr>
        <w:tc>
          <w:tcPr>
            <w:tcW w:w="3740" w:type="dxa"/>
            <w:vAlign w:val="bottom"/>
          </w:tcPr>
          <w:p>
            <w:pPr>
              <w:ind w:left="360"/>
              <w:spacing w:after="0" w:line="202" w:lineRule="exact"/>
              <w:rPr>
                <w:sz w:val="20"/>
                <w:szCs w:val="20"/>
                <w:color w:val="auto"/>
              </w:rPr>
            </w:pPr>
            <w:r>
              <w:rPr>
                <w:rFonts w:ascii="Arial" w:cs="Arial" w:eastAsia="Arial" w:hAnsi="Arial"/>
                <w:sz w:val="18"/>
                <w:szCs w:val="18"/>
                <w:color w:val="auto"/>
              </w:rPr>
              <w:t>and manage risks</w:t>
            </w:r>
          </w:p>
        </w:tc>
        <w:tc>
          <w:tcPr>
            <w:tcW w:w="3640" w:type="dxa"/>
            <w:vAlign w:val="bottom"/>
          </w:tcPr>
          <w:p>
            <w:pPr>
              <w:ind w:left="480"/>
              <w:spacing w:after="0" w:line="202" w:lineRule="exact"/>
              <w:rPr>
                <w:sz w:val="20"/>
                <w:szCs w:val="20"/>
                <w:color w:val="auto"/>
              </w:rPr>
            </w:pPr>
            <w:r>
              <w:rPr>
                <w:rFonts w:ascii="Arial" w:cs="Arial" w:eastAsia="Arial" w:hAnsi="Arial"/>
                <w:sz w:val="18"/>
                <w:szCs w:val="18"/>
                <w:color w:val="auto"/>
              </w:rPr>
              <w:t>process and criteria, legal and</w:t>
            </w: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74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Revised charters recently adopted to</w:t>
            </w:r>
          </w:p>
        </w:tc>
        <w:tc>
          <w:tcPr>
            <w:tcW w:w="3640" w:type="dxa"/>
            <w:vAlign w:val="bottom"/>
          </w:tcPr>
          <w:p>
            <w:pPr>
              <w:ind w:left="480"/>
              <w:spacing w:after="0" w:line="202" w:lineRule="exact"/>
              <w:rPr>
                <w:sz w:val="20"/>
                <w:szCs w:val="20"/>
                <w:color w:val="auto"/>
              </w:rPr>
            </w:pPr>
            <w:r>
              <w:rPr>
                <w:rFonts w:ascii="Arial" w:cs="Arial" w:eastAsia="Arial" w:hAnsi="Arial"/>
                <w:sz w:val="18"/>
                <w:szCs w:val="18"/>
                <w:color w:val="auto"/>
              </w:rPr>
              <w:t>regulatory compliance</w:t>
            </w:r>
          </w:p>
        </w:tc>
        <w:tc>
          <w:tcPr>
            <w:tcW w:w="3640" w:type="dxa"/>
            <w:vAlign w:val="bottom"/>
          </w:tcPr>
          <w:p>
            <w:pPr>
              <w:ind w:left="460"/>
              <w:spacing w:after="0" w:line="202" w:lineRule="exact"/>
              <w:rPr>
                <w:sz w:val="20"/>
                <w:szCs w:val="20"/>
                <w:color w:val="auto"/>
              </w:rPr>
            </w:pPr>
            <w:r>
              <w:rPr>
                <w:rFonts w:ascii="Arial" w:cs="Arial" w:eastAsia="Arial" w:hAnsi="Arial"/>
                <w:sz w:val="18"/>
                <w:szCs w:val="18"/>
                <w:color w:val="auto"/>
              </w:rPr>
              <w:t>governance practices and emerging</w:t>
            </w:r>
          </w:p>
        </w:tc>
        <w:tc>
          <w:tcPr>
            <w:tcW w:w="0" w:type="dxa"/>
            <w:vAlign w:val="bottom"/>
          </w:tcPr>
          <w:p>
            <w:pPr>
              <w:spacing w:after="0"/>
              <w:rPr>
                <w:sz w:val="1"/>
                <w:szCs w:val="1"/>
                <w:color w:val="auto"/>
              </w:rPr>
            </w:pPr>
          </w:p>
        </w:tc>
      </w:tr>
      <w:tr>
        <w:trPr>
          <w:trHeight w:val="135"/>
        </w:trPr>
        <w:tc>
          <w:tcPr>
            <w:tcW w:w="3740" w:type="dxa"/>
            <w:vAlign w:val="bottom"/>
            <w:vMerge w:val="continue"/>
          </w:tcPr>
          <w:p>
            <w:pPr>
              <w:spacing w:after="0"/>
              <w:rPr>
                <w:sz w:val="11"/>
                <w:szCs w:val="11"/>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Compensation Committee oversight of</w:t>
            </w:r>
          </w:p>
        </w:tc>
        <w:tc>
          <w:tcPr>
            <w:tcW w:w="3640" w:type="dxa"/>
            <w:vAlign w:val="bottom"/>
            <w:vMerge w:val="restart"/>
          </w:tcPr>
          <w:p>
            <w:pPr>
              <w:ind w:left="460"/>
              <w:spacing w:after="0"/>
              <w:rPr>
                <w:sz w:val="20"/>
                <w:szCs w:val="20"/>
                <w:color w:val="auto"/>
              </w:rPr>
            </w:pPr>
            <w:r>
              <w:rPr>
                <w:rFonts w:ascii="Arial" w:cs="Arial" w:eastAsia="Arial" w:hAnsi="Arial"/>
                <w:sz w:val="18"/>
                <w:szCs w:val="18"/>
                <w:color w:val="auto"/>
              </w:rPr>
              <w:t>corporate governance issues</w:t>
            </w:r>
          </w:p>
        </w:tc>
        <w:tc>
          <w:tcPr>
            <w:tcW w:w="0" w:type="dxa"/>
            <w:vAlign w:val="bottom"/>
          </w:tcPr>
          <w:p>
            <w:pPr>
              <w:spacing w:after="0"/>
              <w:rPr>
                <w:sz w:val="1"/>
                <w:szCs w:val="1"/>
                <w:color w:val="auto"/>
              </w:rPr>
            </w:pPr>
          </w:p>
        </w:tc>
      </w:tr>
      <w:tr>
        <w:trPr>
          <w:trHeight w:val="104"/>
        </w:trPr>
        <w:tc>
          <w:tcPr>
            <w:tcW w:w="3740" w:type="dxa"/>
            <w:vAlign w:val="bottom"/>
            <w:vMerge w:val="restart"/>
          </w:tcPr>
          <w:p>
            <w:pPr>
              <w:ind w:left="360"/>
              <w:spacing w:after="0" w:line="202" w:lineRule="exact"/>
              <w:rPr>
                <w:sz w:val="20"/>
                <w:szCs w:val="20"/>
                <w:color w:val="auto"/>
              </w:rPr>
            </w:pPr>
            <w:r>
              <w:rPr>
                <w:rFonts w:ascii="Arial" w:cs="Arial" w:eastAsia="Arial" w:hAnsi="Arial"/>
                <w:sz w:val="18"/>
                <w:szCs w:val="18"/>
                <w:color w:val="auto"/>
              </w:rPr>
              <w:t>clarify committee and full Board oversight</w:t>
            </w:r>
          </w:p>
        </w:tc>
        <w:tc>
          <w:tcPr>
            <w:tcW w:w="3640" w:type="dxa"/>
            <w:vAlign w:val="bottom"/>
            <w:vMerge w:val="continue"/>
          </w:tcPr>
          <w:p>
            <w:pPr>
              <w:spacing w:after="0"/>
              <w:rPr>
                <w:sz w:val="9"/>
                <w:szCs w:val="9"/>
                <w:color w:val="auto"/>
              </w:rPr>
            </w:pP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740" w:type="dxa"/>
            <w:vAlign w:val="bottom"/>
            <w:vMerge w:val="continue"/>
          </w:tcPr>
          <w:p>
            <w:pPr>
              <w:spacing w:after="0"/>
              <w:rPr>
                <w:sz w:val="8"/>
                <w:szCs w:val="8"/>
                <w:color w:val="auto"/>
              </w:rPr>
            </w:pPr>
          </w:p>
        </w:tc>
        <w:tc>
          <w:tcPr>
            <w:tcW w:w="3640" w:type="dxa"/>
            <w:vAlign w:val="bottom"/>
            <w:vMerge w:val="continue"/>
          </w:tcPr>
          <w:p>
            <w:pPr>
              <w:spacing w:after="0"/>
              <w:rPr>
                <w:sz w:val="8"/>
                <w:szCs w:val="8"/>
                <w:color w:val="auto"/>
              </w:rPr>
            </w:pPr>
          </w:p>
        </w:tc>
        <w:tc>
          <w:tcPr>
            <w:tcW w:w="364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Monthly “teach-ins” addressing key</w:t>
            </w:r>
          </w:p>
        </w:tc>
        <w:tc>
          <w:tcPr>
            <w:tcW w:w="0" w:type="dxa"/>
            <w:vAlign w:val="bottom"/>
          </w:tcPr>
          <w:p>
            <w:pPr>
              <w:spacing w:after="0"/>
              <w:rPr>
                <w:sz w:val="1"/>
                <w:szCs w:val="1"/>
                <w:color w:val="auto"/>
              </w:rPr>
            </w:pPr>
          </w:p>
        </w:tc>
      </w:tr>
      <w:tr>
        <w:trPr>
          <w:trHeight w:val="203"/>
        </w:trPr>
        <w:tc>
          <w:tcPr>
            <w:tcW w:w="3740" w:type="dxa"/>
            <w:vAlign w:val="bottom"/>
          </w:tcPr>
          <w:p>
            <w:pPr>
              <w:ind w:left="360"/>
              <w:spacing w:after="0" w:line="202" w:lineRule="exact"/>
              <w:rPr>
                <w:sz w:val="20"/>
                <w:szCs w:val="20"/>
                <w:color w:val="auto"/>
              </w:rPr>
            </w:pPr>
            <w:r>
              <w:rPr>
                <w:rFonts w:ascii="Arial" w:cs="Arial" w:eastAsia="Arial" w:hAnsi="Arial"/>
                <w:sz w:val="18"/>
                <w:szCs w:val="18"/>
                <w:color w:val="auto"/>
              </w:rPr>
              <w:t>roles</w:t>
            </w:r>
          </w:p>
        </w:tc>
        <w:tc>
          <w:tcPr>
            <w:tcW w:w="3640" w:type="dxa"/>
            <w:vAlign w:val="bottom"/>
          </w:tcPr>
          <w:p>
            <w:pPr>
              <w:ind w:left="480"/>
              <w:spacing w:after="0" w:line="202" w:lineRule="exact"/>
              <w:rPr>
                <w:sz w:val="20"/>
                <w:szCs w:val="20"/>
                <w:color w:val="auto"/>
              </w:rPr>
            </w:pPr>
            <w:r>
              <w:rPr>
                <w:rFonts w:ascii="Arial" w:cs="Arial" w:eastAsia="Arial" w:hAnsi="Arial"/>
                <w:sz w:val="18"/>
                <w:szCs w:val="18"/>
                <w:color w:val="auto"/>
              </w:rPr>
              <w:t>compensation program, annual CEO</w:t>
            </w: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740" w:type="dxa"/>
            <w:vAlign w:val="bottom"/>
          </w:tcPr>
          <w:p>
            <w:pPr>
              <w:spacing w:after="0"/>
              <w:rPr>
                <w:sz w:val="12"/>
                <w:szCs w:val="12"/>
                <w:color w:val="auto"/>
              </w:rPr>
            </w:pPr>
          </w:p>
        </w:tc>
        <w:tc>
          <w:tcPr>
            <w:tcW w:w="3640" w:type="dxa"/>
            <w:vAlign w:val="bottom"/>
          </w:tcPr>
          <w:p>
            <w:pPr>
              <w:ind w:left="480"/>
              <w:spacing w:after="0" w:line="139" w:lineRule="exact"/>
              <w:rPr>
                <w:sz w:val="20"/>
                <w:szCs w:val="20"/>
                <w:color w:val="auto"/>
              </w:rPr>
            </w:pPr>
            <w:r>
              <w:rPr>
                <w:rFonts w:ascii="Arial" w:cs="Arial" w:eastAsia="Arial" w:hAnsi="Arial"/>
                <w:sz w:val="16"/>
                <w:szCs w:val="16"/>
                <w:color w:val="auto"/>
              </w:rPr>
              <w:t>evaluation</w:t>
            </w:r>
          </w:p>
        </w:tc>
        <w:tc>
          <w:tcPr>
            <w:tcW w:w="3640" w:type="dxa"/>
            <w:vAlign w:val="bottom"/>
          </w:tcPr>
          <w:p>
            <w:pPr>
              <w:ind w:left="460"/>
              <w:spacing w:after="0" w:line="139" w:lineRule="exact"/>
              <w:rPr>
                <w:sz w:val="20"/>
                <w:szCs w:val="20"/>
                <w:color w:val="auto"/>
              </w:rPr>
            </w:pPr>
            <w:r>
              <w:rPr>
                <w:rFonts w:ascii="Arial" w:cs="Arial" w:eastAsia="Arial" w:hAnsi="Arial"/>
                <w:sz w:val="16"/>
                <w:szCs w:val="16"/>
                <w:color w:val="auto"/>
              </w:rPr>
              <w:t>strategic areas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2371725</wp:posOffset>
            </wp:positionH>
            <wp:positionV relativeFrom="paragraph">
              <wp:posOffset>-1421765</wp:posOffset>
            </wp:positionV>
            <wp:extent cx="4620260" cy="16973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620260" cy="1697355"/>
                    </a:xfrm>
                    <a:prstGeom prst="rect">
                      <a:avLst/>
                    </a:prstGeom>
                    <a:noFill/>
                  </pic:spPr>
                </pic:pic>
              </a:graphicData>
            </a:graphic>
          </wp:anchor>
        </w:drawing>
      </w:r>
    </w:p>
    <w:p>
      <w:pPr>
        <w:ind w:left="8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Regular talent and succession planning</w:t>
      </w:r>
    </w:p>
    <w:p>
      <w:pPr>
        <w:spacing w:after="0" w:line="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discussions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20"/>
          </w:cols>
          <w:pgMar w:left="440" w:top="296" w:right="4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200025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t>Commitment to Environmental, Social &amp; Governance Principles</w:t>
      </w:r>
    </w:p>
    <w:p>
      <w:pPr>
        <w:sectPr>
          <w:pgSz w:w="11900" w:h="16838" w:orient="portrait"/>
          <w:cols w:equalWidth="0" w:num="1">
            <w:col w:w="11000"/>
          </w:cols>
          <w:pgMar w:left="440" w:top="411" w:right="459" w:bottom="1440" w:gutter="0" w:footer="0" w:header="0"/>
        </w:sectPr>
      </w:pPr>
    </w:p>
    <w:p>
      <w:pPr>
        <w:spacing w:after="0" w:line="219" w:lineRule="exact"/>
        <w:rPr>
          <w:sz w:val="20"/>
          <w:szCs w:val="20"/>
          <w:color w:val="auto"/>
        </w:rPr>
      </w:pPr>
    </w:p>
    <w:p>
      <w:pPr>
        <w:ind w:left="320" w:hanging="242"/>
        <w:spacing w:after="0" w:line="27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Strong commitment to ESG principles as part of</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Company’s core mission, including focus on social determinants of health</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ind w:hanging="242"/>
        <w:spacing w:after="0" w:line="302"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Establishment of a management-led,</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interdepartmental ESG steering committee</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Annual reporting via standalone</w:t>
      </w:r>
    </w:p>
    <w:p>
      <w:pPr>
        <w:spacing w:after="0" w:line="30"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Environmental, Social and Governance</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Report</w:t>
      </w:r>
    </w:p>
    <w:p>
      <w:pPr>
        <w:spacing w:after="0" w:line="97" w:lineRule="exact"/>
        <w:rPr>
          <w:sz w:val="20"/>
          <w:szCs w:val="20"/>
          <w:color w:val="auto"/>
        </w:rPr>
      </w:pPr>
    </w:p>
    <w:p>
      <w:pPr>
        <w:sectPr>
          <w:pgSz w:w="11900" w:h="16838" w:orient="portrait"/>
          <w:cols w:equalWidth="0" w:num="3">
            <w:col w:w="3740" w:space="560"/>
            <w:col w:w="3060" w:space="340"/>
            <w:col w:w="3300"/>
          </w:cols>
          <w:pgMar w:left="440" w:top="411" w:right="459" w:bottom="1440" w:gutter="0" w:footer="0" w:header="0"/>
          <w:type w:val="continuous"/>
        </w:sectPr>
      </w:pPr>
    </w:p>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Oversight by the NCGCC of the Company’s</w:t>
      </w:r>
    </w:p>
    <w:p>
      <w:pPr>
        <w:spacing w:after="0" w:line="30" w:lineRule="exact"/>
        <w:rPr>
          <w:sz w:val="20"/>
          <w:szCs w:val="20"/>
          <w:color w:val="auto"/>
        </w:rPr>
      </w:pPr>
    </w:p>
    <w:p>
      <w:pPr>
        <w:ind w:left="320"/>
        <w:spacing w:after="0"/>
        <w:rPr>
          <w:sz w:val="20"/>
          <w:szCs w:val="20"/>
          <w:color w:val="auto"/>
        </w:rPr>
      </w:pPr>
      <w:r>
        <w:rPr>
          <w:rFonts w:ascii="Arial" w:cs="Arial" w:eastAsia="Arial" w:hAnsi="Arial"/>
          <w:sz w:val="16"/>
          <w:szCs w:val="16"/>
          <w:color w:val="auto"/>
        </w:rPr>
        <w:t>strategy, initiatives, risks, opportunities and</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6"/>
          <w:szCs w:val="16"/>
          <w:color w:val="auto"/>
        </w:rPr>
        <w:t>related reporting on ESG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165100</wp:posOffset>
            </wp:positionV>
            <wp:extent cx="6995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Composition and Director Independence</w:t>
      </w:r>
    </w:p>
    <w:p>
      <w:pPr>
        <w:spacing w:after="0" w:line="212"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Our business and affairs are managed under the direction of our Board, which is composed of eleven directors. Our certificate of incorporation provides that the authorized number of directors may be changed only by resolution of our Board. In addition, the Stockholders Agreement among us, funds managed by General Atlantic and Warburg Pincus LLC (“Warburg Pincus” and, together with General Atlantic, the “Lead Sponsors”; such agreement, the “Stockholders Agreement”) prohibits us from increasing or decreasing the size of our Board without the prior written consent of General Atlantic.</w:t>
      </w:r>
    </w:p>
    <w:p>
      <w:pPr>
        <w:spacing w:after="0" w:line="176" w:lineRule="exact"/>
        <w:rPr>
          <w:sz w:val="20"/>
          <w:szCs w:val="20"/>
          <w:color w:val="auto"/>
        </w:rPr>
      </w:pPr>
    </w:p>
    <w:p>
      <w:pPr>
        <w:ind w:right="120" w:firstLine="440"/>
        <w:spacing w:after="0" w:line="229" w:lineRule="auto"/>
        <w:rPr>
          <w:sz w:val="20"/>
          <w:szCs w:val="20"/>
          <w:color w:val="auto"/>
        </w:rPr>
      </w:pPr>
      <w:r>
        <w:rPr>
          <w:rFonts w:ascii="Arial" w:cs="Arial" w:eastAsia="Arial" w:hAnsi="Arial"/>
          <w:sz w:val="18"/>
          <w:szCs w:val="18"/>
          <w:color w:val="auto"/>
        </w:rPr>
        <w:t>Our certificate of incorporation also provides that our Board will be divided into three classes of directors, with the classes as nearly equal in number as possible. Subject to any earlier resignation or removal in accordance with the terms of our certificate of incorporation and bylaws, our Class I directors are Mr. Carella, Dr. McClellan and Mr. Vorhoff, who will serve until our 2025 annual meeting of stockholders, our Class II directors are Ms. Bilney, Mr. Hodgson, Dr. Kosecoff and Mr. Margolis, who will serve until our 2026 annual meeting of stockholders, and our Class III directors are Ms. Jorden, Mr. Kao, Mr. Konowiecki and Ms. McCarthy, who are nominees for election at the Annual Meeting to a three-year term ending at our annual meeting of stockholders in 2027. This classification of our Board could have the effect of increasing the length of time necessary to change the composition of a majority of the Board. In general, at least two annual meetings of stockholders will be necessary for stockholders to effect a change in a majority of the members of the Board. In addition, our certificate of incorporation provides that directors may be removed for cause and only upon the affirmative vote of stockholders representing at least sixty-six and two-thirds percent (66</w:t>
      </w:r>
      <w:r>
        <w:rPr>
          <w:rFonts w:ascii="Arial" w:cs="Arial" w:eastAsia="Arial" w:hAnsi="Arial"/>
          <w:sz w:val="26"/>
          <w:szCs w:val="26"/>
          <w:color w:val="auto"/>
          <w:vertAlign w:val="superscript"/>
        </w:rPr>
        <w:t>2/3</w:t>
      </w:r>
      <w:r>
        <w:rPr>
          <w:rFonts w:ascii="Arial" w:cs="Arial" w:eastAsia="Arial" w:hAnsi="Arial"/>
          <w:sz w:val="18"/>
          <w:szCs w:val="18"/>
          <w:color w:val="auto"/>
        </w:rPr>
        <w:t>%) of the voting power of the then-outstanding shares of voting stock, at a meeting of our stockholders called for that purpose.</w:t>
      </w:r>
    </w:p>
    <w:p>
      <w:pPr>
        <w:spacing w:after="0" w:line="183" w:lineRule="exact"/>
        <w:rPr>
          <w:sz w:val="20"/>
          <w:szCs w:val="20"/>
          <w:color w:val="auto"/>
        </w:rPr>
      </w:pPr>
    </w:p>
    <w:p>
      <w:pPr>
        <w:ind w:right="200" w:firstLine="440"/>
        <w:spacing w:after="0" w:line="266" w:lineRule="auto"/>
        <w:rPr>
          <w:sz w:val="20"/>
          <w:szCs w:val="20"/>
          <w:color w:val="auto"/>
        </w:rPr>
      </w:pPr>
      <w:r>
        <w:rPr>
          <w:rFonts w:ascii="Arial" w:cs="Arial" w:eastAsia="Arial" w:hAnsi="Arial"/>
          <w:sz w:val="17"/>
          <w:szCs w:val="17"/>
          <w:color w:val="auto"/>
        </w:rPr>
        <w:t>Our Board has also determined that all directors (except Mr. Kao and Mr. Konowiecki, who both serve or previously served as employees of the Company) meet the requirements to be independent directors. In making this determination, our Board considered the relationships that each non-employee director has with the Company and all other facts and circumstances that our Board deemed relevant in determining their independence, including beneficial ownership of our common stock and affiliations with our Lead Sponsors.</w:t>
      </w:r>
    </w:p>
    <w:p>
      <w:pPr>
        <w:spacing w:after="0" w:line="159"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The Stockholders Agreement provides (x) General Atlantic the right to designate: (i) four of the nominees for election to our Board for so long as its beneficially owns at least 35% of our common stock then outstanding; (ii) three of the nominees for election to our Board for so long as it beneficially owns less than 35% but at least 25% of our common stock then outstanding; (iii) two of the nominees for election to our Board for so long as it beneficially owns less than 25% but at least 15% of our common stock then outstanding; and (iv) one of the nominees for election to our Board for so long as it beneficially owns less than 15% but at least 5% of our common stock then outstanding and (y) Warburg Pincus the right to designate one of the nominees for election to our Board for so long as Warburg Pincus beneficially owns at least 5% of our common stock then outstanding.</w:t>
      </w:r>
    </w:p>
    <w:p>
      <w:pPr>
        <w:spacing w:after="0" w:line="185" w:lineRule="exact"/>
        <w:rPr>
          <w:sz w:val="20"/>
          <w:szCs w:val="20"/>
          <w:color w:val="auto"/>
        </w:rPr>
      </w:pPr>
    </w:p>
    <w:p>
      <w:pPr>
        <w:ind w:right="100" w:firstLine="440"/>
        <w:spacing w:after="0" w:line="253" w:lineRule="auto"/>
        <w:rPr>
          <w:sz w:val="20"/>
          <w:szCs w:val="20"/>
          <w:color w:val="auto"/>
        </w:rPr>
      </w:pPr>
      <w:r>
        <w:rPr>
          <w:rFonts w:ascii="Arial" w:cs="Arial" w:eastAsia="Arial" w:hAnsi="Arial"/>
          <w:sz w:val="18"/>
          <w:szCs w:val="18"/>
          <w:color w:val="auto"/>
        </w:rPr>
        <w:t>In addition, until such time as any Lead Sponsor ceases to beneficially own at least 10% of our common stock then outstanding, such Lead Sponsor shall have the right to designate one member of each committee of the Board; provided, that any such designee shall be a director and shall be eligible to</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411" w:right="459" w:bottom="1440" w:gutter="0" w:footer="0" w:header="0"/>
          <w:type w:val="continuous"/>
        </w:sectPr>
      </w:pPr>
    </w:p>
    <w:bookmarkStart w:id="32" w:name="page33"/>
    <w:bookmarkEnd w:id="32"/>
    <w:p>
      <w:pPr>
        <w:ind w:right="1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serve on the applicable committee under applicable law or stock exchange listing standards, including any applicable independence requirements (subject in each case to any applicable exceptions, including those for newly public companies and any applicable phase-in periods).</w:t>
      </w:r>
    </w:p>
    <w:p>
      <w:pPr>
        <w:spacing w:after="0" w:line="169" w:lineRule="exact"/>
        <w:rPr>
          <w:sz w:val="20"/>
          <w:szCs w:val="20"/>
          <w:color w:val="auto"/>
        </w:rPr>
      </w:pPr>
    </w:p>
    <w:p>
      <w:pPr>
        <w:ind w:right="240" w:firstLine="440"/>
        <w:spacing w:after="0" w:line="253" w:lineRule="auto"/>
        <w:rPr>
          <w:sz w:val="20"/>
          <w:szCs w:val="20"/>
          <w:color w:val="auto"/>
        </w:rPr>
      </w:pPr>
      <w:r>
        <w:rPr>
          <w:rFonts w:ascii="Arial" w:cs="Arial" w:eastAsia="Arial" w:hAnsi="Arial"/>
          <w:sz w:val="18"/>
          <w:szCs w:val="18"/>
          <w:color w:val="auto"/>
        </w:rPr>
        <w:t>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Leadership Structure</w:t>
      </w:r>
    </w:p>
    <w:p>
      <w:pPr>
        <w:spacing w:after="0" w:line="212" w:lineRule="exact"/>
        <w:rPr>
          <w:sz w:val="20"/>
          <w:szCs w:val="20"/>
          <w:color w:val="auto"/>
        </w:rPr>
      </w:pPr>
    </w:p>
    <w:p>
      <w:pPr>
        <w:jc w:val="both"/>
        <w:ind w:right="320" w:firstLine="440"/>
        <w:spacing w:after="0" w:line="253" w:lineRule="auto"/>
        <w:rPr>
          <w:sz w:val="20"/>
          <w:szCs w:val="20"/>
          <w:color w:val="auto"/>
        </w:rPr>
      </w:pPr>
      <w:r>
        <w:rPr>
          <w:rFonts w:ascii="Arial" w:cs="Arial" w:eastAsia="Arial" w:hAnsi="Arial"/>
          <w:sz w:val="18"/>
          <w:szCs w:val="18"/>
          <w:color w:val="auto"/>
        </w:rPr>
        <w:t>We structure leadership of our Board in a manner that we believe is best suited to benefit the Company and its performance. We separate our chair of the Board (the “Board Chair”) and Chief Executive Officer to ensure that the Board maintains robust, independent processes with respect to oversight of our business and affairs. The Board Chair has the following duties: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316"/>
        </w:trPr>
        <w:tc>
          <w:tcPr>
            <w:tcW w:w="3920" w:type="dxa"/>
            <w:vAlign w:val="bottom"/>
            <w:tcBorders>
              <w:top w:val="single" w:sz="8" w:color="auto"/>
            </w:tcBorders>
            <w:shd w:val="clear" w:color="auto" w:fill="DBE5F1"/>
          </w:tcPr>
          <w:p>
            <w:pPr>
              <w:ind w:left="160"/>
              <w:spacing w:after="0"/>
              <w:rPr>
                <w:sz w:val="20"/>
                <w:szCs w:val="20"/>
                <w:color w:val="auto"/>
              </w:rPr>
            </w:pPr>
            <w:r>
              <w:rPr>
                <w:rFonts w:ascii="Arial" w:cs="Arial" w:eastAsia="Arial" w:hAnsi="Arial"/>
                <w:sz w:val="16"/>
                <w:szCs w:val="16"/>
                <w:b w:val="1"/>
                <w:bCs w:val="1"/>
                <w:i w:val="1"/>
                <w:iCs w:val="1"/>
                <w:color w:val="auto"/>
              </w:rPr>
              <w:t>Duties of our Board Chair</w:t>
            </w:r>
          </w:p>
        </w:tc>
        <w:tc>
          <w:tcPr>
            <w:tcW w:w="3740" w:type="dxa"/>
            <w:vAlign w:val="bottom"/>
            <w:tcBorders>
              <w:top w:val="single" w:sz="8" w:color="auto"/>
            </w:tcBorders>
            <w:shd w:val="clear" w:color="auto" w:fill="DBE5F1"/>
          </w:tcPr>
          <w:p>
            <w:pPr>
              <w:spacing w:after="0"/>
              <w:rPr>
                <w:sz w:val="24"/>
                <w:szCs w:val="24"/>
                <w:color w:val="auto"/>
              </w:rPr>
            </w:pPr>
          </w:p>
        </w:tc>
        <w:tc>
          <w:tcPr>
            <w:tcW w:w="3360" w:type="dxa"/>
            <w:vAlign w:val="bottom"/>
            <w:tcBorders>
              <w:top w:val="single" w:sz="8" w:color="auto"/>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92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Presides as chair of regular sessions of the</w:t>
            </w:r>
          </w:p>
        </w:tc>
        <w:tc>
          <w:tcPr>
            <w:tcW w:w="374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Meets directly with other members of the</w:t>
            </w:r>
          </w:p>
        </w:tc>
        <w:tc>
          <w:tcPr>
            <w:tcW w:w="336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Engages regularly with stockholders and</w:t>
            </w:r>
          </w:p>
        </w:tc>
        <w:tc>
          <w:tcPr>
            <w:tcW w:w="0" w:type="dxa"/>
            <w:vAlign w:val="bottom"/>
          </w:tcPr>
          <w:p>
            <w:pPr>
              <w:spacing w:after="0"/>
              <w:rPr>
                <w:sz w:val="1"/>
                <w:szCs w:val="1"/>
                <w:color w:val="auto"/>
              </w:rPr>
            </w:pPr>
          </w:p>
        </w:tc>
      </w:tr>
      <w:tr>
        <w:trPr>
          <w:trHeight w:val="189"/>
        </w:trPr>
        <w:tc>
          <w:tcPr>
            <w:tcW w:w="3920" w:type="dxa"/>
            <w:vAlign w:val="bottom"/>
            <w:shd w:val="clear" w:color="auto" w:fill="DBE5F1"/>
          </w:tcPr>
          <w:p>
            <w:pPr>
              <w:ind w:left="480"/>
              <w:spacing w:after="0"/>
              <w:rPr>
                <w:sz w:val="20"/>
                <w:szCs w:val="20"/>
                <w:color w:val="auto"/>
              </w:rPr>
            </w:pPr>
            <w:r>
              <w:rPr>
                <w:rFonts w:ascii="Arial" w:cs="Arial" w:eastAsia="Arial" w:hAnsi="Arial"/>
                <w:sz w:val="16"/>
                <w:szCs w:val="16"/>
                <w:color w:val="auto"/>
              </w:rPr>
              <w:t>Board and manages overall Board process</w:t>
            </w:r>
          </w:p>
        </w:tc>
        <w:tc>
          <w:tcPr>
            <w:tcW w:w="3740" w:type="dxa"/>
            <w:vAlign w:val="bottom"/>
            <w:shd w:val="clear" w:color="auto" w:fill="DBE5F1"/>
          </w:tcPr>
          <w:p>
            <w:pPr>
              <w:ind w:left="540"/>
              <w:spacing w:after="0"/>
              <w:rPr>
                <w:sz w:val="20"/>
                <w:szCs w:val="20"/>
                <w:color w:val="auto"/>
              </w:rPr>
            </w:pPr>
            <w:r>
              <w:rPr>
                <w:rFonts w:ascii="Arial" w:cs="Arial" w:eastAsia="Arial" w:hAnsi="Arial"/>
                <w:sz w:val="16"/>
                <w:szCs w:val="16"/>
                <w:color w:val="auto"/>
              </w:rPr>
              <w:t>Board as needed</w:t>
            </w:r>
          </w:p>
        </w:tc>
        <w:tc>
          <w:tcPr>
            <w:tcW w:w="3360" w:type="dxa"/>
            <w:vAlign w:val="bottom"/>
            <w:shd w:val="clear" w:color="auto" w:fill="DBE5F1"/>
          </w:tcPr>
          <w:p>
            <w:pPr>
              <w:ind w:left="440"/>
              <w:spacing w:after="0"/>
              <w:rPr>
                <w:sz w:val="20"/>
                <w:szCs w:val="20"/>
                <w:color w:val="auto"/>
              </w:rPr>
            </w:pPr>
            <w:r>
              <w:rPr>
                <w:rFonts w:ascii="Arial" w:cs="Arial" w:eastAsia="Arial" w:hAnsi="Arial"/>
                <w:sz w:val="16"/>
                <w:szCs w:val="16"/>
                <w:color w:val="auto"/>
              </w:rPr>
              <w:t>presides over annual meeting of</w:t>
            </w:r>
          </w:p>
        </w:tc>
        <w:tc>
          <w:tcPr>
            <w:tcW w:w="0" w:type="dxa"/>
            <w:vAlign w:val="bottom"/>
          </w:tcPr>
          <w:p>
            <w:pPr>
              <w:spacing w:after="0"/>
              <w:rPr>
                <w:sz w:val="1"/>
                <w:szCs w:val="1"/>
                <w:color w:val="auto"/>
              </w:rPr>
            </w:pPr>
          </w:p>
        </w:tc>
      </w:tr>
      <w:tr>
        <w:trPr>
          <w:trHeight w:val="215"/>
        </w:trPr>
        <w:tc>
          <w:tcPr>
            <w:tcW w:w="392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Sets Board meeting agendas and approves</w:t>
            </w:r>
          </w:p>
        </w:tc>
        <w:tc>
          <w:tcPr>
            <w:tcW w:w="3740" w:type="dxa"/>
            <w:vAlign w:val="bottom"/>
            <w:vMerge w:val="restart"/>
            <w:shd w:val="clear" w:color="auto" w:fill="DBE5F1"/>
          </w:tcPr>
          <w:p>
            <w:pPr>
              <w:ind w:left="3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Oversees board engagement and</w:t>
            </w:r>
          </w:p>
        </w:tc>
        <w:tc>
          <w:tcPr>
            <w:tcW w:w="3360" w:type="dxa"/>
            <w:vAlign w:val="bottom"/>
            <w:shd w:val="clear" w:color="auto" w:fill="DBE5F1"/>
          </w:tcPr>
          <w:p>
            <w:pPr>
              <w:ind w:left="440"/>
              <w:spacing w:after="0"/>
              <w:rPr>
                <w:sz w:val="20"/>
                <w:szCs w:val="20"/>
                <w:color w:val="auto"/>
              </w:rPr>
            </w:pPr>
            <w:r>
              <w:rPr>
                <w:rFonts w:ascii="Arial" w:cs="Arial" w:eastAsia="Arial" w:hAnsi="Arial"/>
                <w:sz w:val="16"/>
                <w:szCs w:val="16"/>
                <w:color w:val="auto"/>
              </w:rPr>
              <w:t>stockholders</w:t>
            </w:r>
          </w:p>
        </w:tc>
        <w:tc>
          <w:tcPr>
            <w:tcW w:w="0" w:type="dxa"/>
            <w:vAlign w:val="bottom"/>
          </w:tcPr>
          <w:p>
            <w:pPr>
              <w:spacing w:after="0"/>
              <w:rPr>
                <w:sz w:val="1"/>
                <w:szCs w:val="1"/>
                <w:color w:val="auto"/>
              </w:rPr>
            </w:pPr>
          </w:p>
        </w:tc>
      </w:tr>
      <w:tr>
        <w:trPr>
          <w:trHeight w:val="109"/>
        </w:trPr>
        <w:tc>
          <w:tcPr>
            <w:tcW w:w="3920" w:type="dxa"/>
            <w:vAlign w:val="bottom"/>
            <w:vMerge w:val="continue"/>
            <w:shd w:val="clear" w:color="auto" w:fill="DBE5F1"/>
          </w:tcPr>
          <w:p>
            <w:pPr>
              <w:spacing w:after="0"/>
              <w:rPr>
                <w:sz w:val="9"/>
                <w:szCs w:val="9"/>
                <w:color w:val="auto"/>
              </w:rPr>
            </w:pPr>
          </w:p>
        </w:tc>
        <w:tc>
          <w:tcPr>
            <w:tcW w:w="3740" w:type="dxa"/>
            <w:vAlign w:val="bottom"/>
            <w:vMerge w:val="continue"/>
            <w:shd w:val="clear" w:color="auto" w:fill="DBE5F1"/>
          </w:tcPr>
          <w:p>
            <w:pPr>
              <w:spacing w:after="0"/>
              <w:rPr>
                <w:sz w:val="9"/>
                <w:szCs w:val="9"/>
                <w:color w:val="auto"/>
              </w:rPr>
            </w:pPr>
          </w:p>
        </w:tc>
        <w:tc>
          <w:tcPr>
            <w:tcW w:w="3360" w:type="dxa"/>
            <w:vAlign w:val="bottom"/>
            <w:vMerge w:val="restart"/>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Partners with the Compensation</w:t>
            </w:r>
          </w:p>
        </w:tc>
        <w:tc>
          <w:tcPr>
            <w:tcW w:w="0" w:type="dxa"/>
            <w:vAlign w:val="bottom"/>
          </w:tcPr>
          <w:p>
            <w:pPr>
              <w:spacing w:after="0"/>
              <w:rPr>
                <w:sz w:val="1"/>
                <w:szCs w:val="1"/>
                <w:color w:val="auto"/>
              </w:rPr>
            </w:pPr>
          </w:p>
        </w:tc>
      </w:tr>
      <w:tr>
        <w:trPr>
          <w:trHeight w:val="189"/>
        </w:trPr>
        <w:tc>
          <w:tcPr>
            <w:tcW w:w="3920" w:type="dxa"/>
            <w:vAlign w:val="bottom"/>
            <w:shd w:val="clear" w:color="auto" w:fill="DBE5F1"/>
          </w:tcPr>
          <w:p>
            <w:pPr>
              <w:ind w:left="480"/>
              <w:spacing w:after="0"/>
              <w:rPr>
                <w:sz w:val="20"/>
                <w:szCs w:val="20"/>
                <w:color w:val="auto"/>
              </w:rPr>
            </w:pPr>
            <w:r>
              <w:rPr>
                <w:rFonts w:ascii="Arial" w:cs="Arial" w:eastAsia="Arial" w:hAnsi="Arial"/>
                <w:sz w:val="16"/>
                <w:szCs w:val="16"/>
                <w:color w:val="auto"/>
              </w:rPr>
              <w:t>materials distributed to Board</w:t>
            </w:r>
          </w:p>
        </w:tc>
        <w:tc>
          <w:tcPr>
            <w:tcW w:w="3740" w:type="dxa"/>
            <w:vAlign w:val="bottom"/>
            <w:shd w:val="clear" w:color="auto" w:fill="DBE5F1"/>
          </w:tcPr>
          <w:p>
            <w:pPr>
              <w:ind w:left="540"/>
              <w:spacing w:after="0"/>
              <w:rPr>
                <w:sz w:val="20"/>
                <w:szCs w:val="20"/>
                <w:color w:val="auto"/>
              </w:rPr>
            </w:pPr>
            <w:r>
              <w:rPr>
                <w:rFonts w:ascii="Arial" w:cs="Arial" w:eastAsia="Arial" w:hAnsi="Arial"/>
                <w:sz w:val="16"/>
                <w:szCs w:val="16"/>
                <w:color w:val="auto"/>
              </w:rPr>
              <w:t>continued education</w:t>
            </w:r>
          </w:p>
        </w:tc>
        <w:tc>
          <w:tcPr>
            <w:tcW w:w="3360" w:type="dxa"/>
            <w:vAlign w:val="bottom"/>
            <w:vMerge w:val="continue"/>
            <w:shd w:val="clear" w:color="auto" w:fill="DBE5F1"/>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2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Leads response of Board to risks and</w:t>
            </w:r>
          </w:p>
        </w:tc>
        <w:tc>
          <w:tcPr>
            <w:tcW w:w="3740" w:type="dxa"/>
            <w:vAlign w:val="bottom"/>
            <w:vMerge w:val="restart"/>
            <w:shd w:val="clear" w:color="auto" w:fill="DBE5F1"/>
          </w:tcPr>
          <w:p>
            <w:pPr>
              <w:ind w:left="3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Partners with and supports the NCGCC in</w:t>
            </w:r>
          </w:p>
        </w:tc>
        <w:tc>
          <w:tcPr>
            <w:tcW w:w="3360" w:type="dxa"/>
            <w:vAlign w:val="bottom"/>
            <w:shd w:val="clear" w:color="auto" w:fill="DBE5F1"/>
          </w:tcPr>
          <w:p>
            <w:pPr>
              <w:ind w:left="440"/>
              <w:spacing w:after="0"/>
              <w:rPr>
                <w:sz w:val="20"/>
                <w:szCs w:val="20"/>
                <w:color w:val="auto"/>
              </w:rPr>
            </w:pPr>
            <w:r>
              <w:rPr>
                <w:rFonts w:ascii="Arial" w:cs="Arial" w:eastAsia="Arial" w:hAnsi="Arial"/>
                <w:sz w:val="16"/>
                <w:szCs w:val="16"/>
                <w:color w:val="auto"/>
              </w:rPr>
              <w:t>Committee to structure and implement</w:t>
            </w:r>
          </w:p>
        </w:tc>
        <w:tc>
          <w:tcPr>
            <w:tcW w:w="0" w:type="dxa"/>
            <w:vAlign w:val="bottom"/>
          </w:tcPr>
          <w:p>
            <w:pPr>
              <w:spacing w:after="0"/>
              <w:rPr>
                <w:sz w:val="1"/>
                <w:szCs w:val="1"/>
                <w:color w:val="auto"/>
              </w:rPr>
            </w:pPr>
          </w:p>
        </w:tc>
      </w:tr>
      <w:tr>
        <w:trPr>
          <w:trHeight w:val="135"/>
        </w:trPr>
        <w:tc>
          <w:tcPr>
            <w:tcW w:w="3920" w:type="dxa"/>
            <w:vAlign w:val="bottom"/>
            <w:vMerge w:val="continue"/>
            <w:shd w:val="clear" w:color="auto" w:fill="DBE5F1"/>
          </w:tcPr>
          <w:p>
            <w:pPr>
              <w:spacing w:after="0"/>
              <w:rPr>
                <w:sz w:val="11"/>
                <w:szCs w:val="11"/>
                <w:color w:val="auto"/>
              </w:rPr>
            </w:pPr>
          </w:p>
        </w:tc>
        <w:tc>
          <w:tcPr>
            <w:tcW w:w="3740" w:type="dxa"/>
            <w:vAlign w:val="bottom"/>
            <w:vMerge w:val="continue"/>
            <w:shd w:val="clear" w:color="auto" w:fill="DBE5F1"/>
          </w:tcPr>
          <w:p>
            <w:pPr>
              <w:spacing w:after="0"/>
              <w:rPr>
                <w:sz w:val="11"/>
                <w:szCs w:val="11"/>
                <w:color w:val="auto"/>
              </w:rPr>
            </w:pPr>
          </w:p>
        </w:tc>
        <w:tc>
          <w:tcPr>
            <w:tcW w:w="3360" w:type="dxa"/>
            <w:vAlign w:val="bottom"/>
            <w:vMerge w:val="restart"/>
            <w:shd w:val="clear" w:color="auto" w:fill="DBE5F1"/>
          </w:tcPr>
          <w:p>
            <w:pPr>
              <w:ind w:left="440"/>
              <w:spacing w:after="0"/>
              <w:rPr>
                <w:sz w:val="20"/>
                <w:szCs w:val="20"/>
                <w:color w:val="auto"/>
              </w:rPr>
            </w:pPr>
            <w:r>
              <w:rPr>
                <w:rFonts w:ascii="Arial" w:cs="Arial" w:eastAsia="Arial" w:hAnsi="Arial"/>
                <w:sz w:val="16"/>
                <w:szCs w:val="16"/>
                <w:color w:val="auto"/>
              </w:rPr>
              <w:t>the annual evaluation of our CEO</w:t>
            </w:r>
          </w:p>
        </w:tc>
        <w:tc>
          <w:tcPr>
            <w:tcW w:w="0" w:type="dxa"/>
            <w:vAlign w:val="bottom"/>
          </w:tcPr>
          <w:p>
            <w:pPr>
              <w:spacing w:after="0"/>
              <w:rPr>
                <w:sz w:val="1"/>
                <w:szCs w:val="1"/>
                <w:color w:val="auto"/>
              </w:rPr>
            </w:pPr>
          </w:p>
        </w:tc>
      </w:tr>
      <w:tr>
        <w:trPr>
          <w:trHeight w:val="80"/>
        </w:trPr>
        <w:tc>
          <w:tcPr>
            <w:tcW w:w="392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opportunities and may call special meetings</w:t>
            </w:r>
          </w:p>
        </w:tc>
        <w:tc>
          <w:tcPr>
            <w:tcW w:w="374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director selection process and enterprise</w:t>
            </w:r>
          </w:p>
        </w:tc>
        <w:tc>
          <w:tcPr>
            <w:tcW w:w="3360" w:type="dxa"/>
            <w:vAlign w:val="bottom"/>
            <w:vMerge w:val="continue"/>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3920" w:type="dxa"/>
            <w:vAlign w:val="bottom"/>
            <w:vMerge w:val="continue"/>
            <w:shd w:val="clear" w:color="auto" w:fill="DBE5F1"/>
          </w:tcPr>
          <w:p>
            <w:pPr>
              <w:spacing w:after="0"/>
              <w:rPr>
                <w:sz w:val="9"/>
                <w:szCs w:val="9"/>
                <w:color w:val="auto"/>
              </w:rPr>
            </w:pPr>
          </w:p>
        </w:tc>
        <w:tc>
          <w:tcPr>
            <w:tcW w:w="3740" w:type="dxa"/>
            <w:vAlign w:val="bottom"/>
            <w:vMerge w:val="continue"/>
            <w:shd w:val="clear" w:color="auto" w:fill="DBE5F1"/>
          </w:tcPr>
          <w:p>
            <w:pPr>
              <w:spacing w:after="0"/>
              <w:rPr>
                <w:sz w:val="9"/>
                <w:szCs w:val="9"/>
                <w:color w:val="auto"/>
              </w:rPr>
            </w:pPr>
          </w:p>
        </w:tc>
        <w:tc>
          <w:tcPr>
            <w:tcW w:w="3360" w:type="dxa"/>
            <w:vAlign w:val="bottom"/>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251"/>
        </w:trPr>
        <w:tc>
          <w:tcPr>
            <w:tcW w:w="3920" w:type="dxa"/>
            <w:vAlign w:val="bottom"/>
            <w:tcBorders>
              <w:bottom w:val="single" w:sz="8" w:color="DBE5F1"/>
            </w:tcBorders>
            <w:shd w:val="clear" w:color="auto" w:fill="DBE5F1"/>
          </w:tcPr>
          <w:p>
            <w:pPr>
              <w:spacing w:after="0"/>
              <w:rPr>
                <w:sz w:val="21"/>
                <w:szCs w:val="21"/>
                <w:color w:val="auto"/>
              </w:rPr>
            </w:pPr>
          </w:p>
        </w:tc>
        <w:tc>
          <w:tcPr>
            <w:tcW w:w="3740" w:type="dxa"/>
            <w:vAlign w:val="bottom"/>
            <w:tcBorders>
              <w:bottom w:val="single" w:sz="8" w:color="DBE5F1"/>
            </w:tcBorders>
            <w:shd w:val="clear" w:color="auto" w:fill="DBE5F1"/>
          </w:tcPr>
          <w:p>
            <w:pPr>
              <w:ind w:left="540"/>
              <w:spacing w:after="0"/>
              <w:rPr>
                <w:sz w:val="20"/>
                <w:szCs w:val="20"/>
                <w:color w:val="auto"/>
              </w:rPr>
            </w:pPr>
            <w:r>
              <w:rPr>
                <w:rFonts w:ascii="Arial" w:cs="Arial" w:eastAsia="Arial" w:hAnsi="Arial"/>
                <w:sz w:val="16"/>
                <w:szCs w:val="16"/>
                <w:color w:val="auto"/>
              </w:rPr>
              <w:t>risk management</w:t>
            </w:r>
          </w:p>
        </w:tc>
        <w:tc>
          <w:tcPr>
            <w:tcW w:w="3360" w:type="dxa"/>
            <w:vAlign w:val="bottom"/>
            <w:tcBorders>
              <w:bottom w:val="single" w:sz="8" w:color="DBE5F1"/>
            </w:tcBorders>
            <w:shd w:val="clear" w:color="auto" w:fill="DBE5F1"/>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000000"/>
          </w:tcPr>
          <w:p>
            <w:pPr>
              <w:spacing w:after="0" w:line="20" w:lineRule="exact"/>
              <w:rPr>
                <w:sz w:val="1"/>
                <w:szCs w:val="1"/>
                <w:color w:val="auto"/>
              </w:rPr>
            </w:pPr>
          </w:p>
        </w:tc>
        <w:tc>
          <w:tcPr>
            <w:tcW w:w="3740" w:type="dxa"/>
            <w:vAlign w:val="bottom"/>
            <w:shd w:val="clear" w:color="auto" w:fill="000000"/>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ind w:right="40" w:firstLine="440"/>
        <w:spacing w:after="0" w:line="253" w:lineRule="auto"/>
        <w:rPr>
          <w:sz w:val="20"/>
          <w:szCs w:val="20"/>
          <w:color w:val="auto"/>
        </w:rPr>
      </w:pPr>
      <w:r>
        <w:rPr>
          <w:rFonts w:ascii="Arial" w:cs="Arial" w:eastAsia="Arial" w:hAnsi="Arial"/>
          <w:sz w:val="17"/>
          <w:szCs w:val="17"/>
          <w:color w:val="auto"/>
        </w:rPr>
        <w:t>From October 2022 to December 2023, our current Board Chair, Mr. Konowiecki, assumed a role as an executive officer leading our strategic network and business development, and accordingly he is not currently considered an independent director under Nasdaq and SEC rules. Given his longstanding role as Board Chair, his expertise in the health care industry and his strong oversight of the Company’s legal, compliance and risk management functions, among others, the Board determined that it would be appropriate and in the best interests of the Company and its stockholders for Mr. Konowiecki to serve concurrently as the Board Chair during the term of his employment. Upon Mr. Konowiecki’s appointment to the executive role, in order to reinforce the independence of our Board in its guidance of the Company’s strategic direction and its oversight role, the Board also appointed Ms. McCarthy to serve as a lead independent director (“Lead Independent Director”). In considering her appointment, the Board determined that Ms. McCarthy’s expertise, independence and integrity qualified her to serve as Lead Independent Director. The Board intends to maintain the Lead Independent Director role, which will be elected solely by the independent members of the Board, so long as the Chairman is not considered an independent director under Nasdaq and SEC rules. The Board determined that the Lead Independent Director would have the following duties and authority:</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96" w:right="4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97"/>
        </w:trPr>
        <w:tc>
          <w:tcPr>
            <w:tcW w:w="3860" w:type="dxa"/>
            <w:vAlign w:val="bottom"/>
            <w:tcBorders>
              <w:top w:val="single" w:sz="8" w:color="auto"/>
            </w:tcBorders>
            <w:shd w:val="clear" w:color="auto" w:fill="DBE5F1"/>
          </w:tcPr>
          <w:p>
            <w:pPr>
              <w:ind w:left="160"/>
              <w:spacing w:after="0"/>
              <w:rPr>
                <w:sz w:val="20"/>
                <w:szCs w:val="20"/>
                <w:color w:val="auto"/>
              </w:rPr>
            </w:pPr>
            <w:r>
              <w:rPr>
                <w:rFonts w:ascii="Arial" w:cs="Arial" w:eastAsia="Arial" w:hAnsi="Arial"/>
                <w:sz w:val="16"/>
                <w:szCs w:val="16"/>
                <w:b w:val="1"/>
                <w:bCs w:val="1"/>
                <w:i w:val="1"/>
                <w:iCs w:val="1"/>
                <w:color w:val="auto"/>
              </w:rPr>
              <w:t>Duties of our Lead Independent Director</w:t>
            </w:r>
          </w:p>
        </w:tc>
        <w:tc>
          <w:tcPr>
            <w:tcW w:w="3700" w:type="dxa"/>
            <w:vAlign w:val="bottom"/>
            <w:tcBorders>
              <w:top w:val="single" w:sz="8" w:color="auto"/>
            </w:tcBorders>
            <w:shd w:val="clear" w:color="auto" w:fill="DBE5F1"/>
          </w:tcPr>
          <w:p>
            <w:pPr>
              <w:spacing w:after="0"/>
              <w:rPr>
                <w:sz w:val="24"/>
                <w:szCs w:val="24"/>
                <w:color w:val="auto"/>
              </w:rPr>
            </w:pPr>
          </w:p>
        </w:tc>
        <w:tc>
          <w:tcPr>
            <w:tcW w:w="3460" w:type="dxa"/>
            <w:vAlign w:val="bottom"/>
            <w:tcBorders>
              <w:top w:val="single" w:sz="8" w:color="auto"/>
            </w:tcBorders>
            <w:shd w:val="clear" w:color="auto" w:fill="DBE5F1"/>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3860" w:type="dxa"/>
            <w:vAlign w:val="bottom"/>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Provide input on Board meeting agendas and</w:t>
            </w:r>
          </w:p>
        </w:tc>
        <w:tc>
          <w:tcPr>
            <w:tcW w:w="3700" w:type="dxa"/>
            <w:vAlign w:val="bottom"/>
            <w:shd w:val="clear" w:color="auto" w:fill="DBE5F1"/>
          </w:tcPr>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Serve as a liaison between our Board</w:t>
            </w:r>
          </w:p>
        </w:tc>
        <w:tc>
          <w:tcPr>
            <w:tcW w:w="3460" w:type="dxa"/>
            <w:vAlign w:val="bottom"/>
            <w:shd w:val="clear" w:color="auto" w:fill="DBE5F1"/>
          </w:tcPr>
          <w:p>
            <w:pPr>
              <w:ind w:left="3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Participate in and oversee the annual</w:t>
            </w: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480"/>
              <w:spacing w:after="0"/>
              <w:rPr>
                <w:sz w:val="20"/>
                <w:szCs w:val="20"/>
                <w:color w:val="auto"/>
              </w:rPr>
            </w:pPr>
            <w:r>
              <w:rPr>
                <w:rFonts w:ascii="Arial" w:cs="Arial" w:eastAsia="Arial" w:hAnsi="Arial"/>
                <w:sz w:val="16"/>
                <w:szCs w:val="16"/>
                <w:color w:val="auto"/>
              </w:rPr>
              <w:t>schedules and materials distributed to the</w:t>
            </w:r>
          </w:p>
        </w:tc>
        <w:tc>
          <w:tcPr>
            <w:tcW w:w="3700" w:type="dxa"/>
            <w:vAlign w:val="bottom"/>
            <w:shd w:val="clear" w:color="auto" w:fill="DBE5F1"/>
          </w:tcPr>
          <w:p>
            <w:pPr>
              <w:ind w:left="600"/>
              <w:spacing w:after="0"/>
              <w:rPr>
                <w:sz w:val="20"/>
                <w:szCs w:val="20"/>
                <w:color w:val="auto"/>
              </w:rPr>
            </w:pPr>
            <w:r>
              <w:rPr>
                <w:rFonts w:ascii="Arial" w:cs="Arial" w:eastAsia="Arial" w:hAnsi="Arial"/>
                <w:sz w:val="16"/>
                <w:szCs w:val="16"/>
                <w:color w:val="auto"/>
              </w:rPr>
              <w:t>Chair, CEO and other management, on</w:t>
            </w:r>
          </w:p>
        </w:tc>
        <w:tc>
          <w:tcPr>
            <w:tcW w:w="3460" w:type="dxa"/>
            <w:vAlign w:val="bottom"/>
            <w:shd w:val="clear" w:color="auto" w:fill="DBE5F1"/>
          </w:tcPr>
          <w:p>
            <w:pPr>
              <w:ind w:left="540"/>
              <w:spacing w:after="0"/>
              <w:rPr>
                <w:sz w:val="20"/>
                <w:szCs w:val="20"/>
                <w:color w:val="auto"/>
              </w:rPr>
            </w:pPr>
            <w:r>
              <w:rPr>
                <w:rFonts w:ascii="Arial" w:cs="Arial" w:eastAsia="Arial" w:hAnsi="Arial"/>
                <w:sz w:val="16"/>
                <w:szCs w:val="16"/>
                <w:color w:val="auto"/>
              </w:rPr>
              <w:t>evaluation of our CEO</w:t>
            </w: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480"/>
              <w:spacing w:after="0"/>
              <w:rPr>
                <w:sz w:val="20"/>
                <w:szCs w:val="20"/>
                <w:color w:val="auto"/>
              </w:rPr>
            </w:pPr>
            <w:r>
              <w:rPr>
                <w:rFonts w:ascii="Arial" w:cs="Arial" w:eastAsia="Arial" w:hAnsi="Arial"/>
                <w:sz w:val="16"/>
                <w:szCs w:val="16"/>
                <w:color w:val="auto"/>
              </w:rPr>
              <w:t>Board</w:t>
            </w:r>
          </w:p>
        </w:tc>
        <w:tc>
          <w:tcPr>
            <w:tcW w:w="3700" w:type="dxa"/>
            <w:vAlign w:val="bottom"/>
            <w:shd w:val="clear" w:color="auto" w:fill="DBE5F1"/>
          </w:tcPr>
          <w:p>
            <w:pPr>
              <w:ind w:left="600"/>
              <w:spacing w:after="0"/>
              <w:rPr>
                <w:sz w:val="20"/>
                <w:szCs w:val="20"/>
                <w:color w:val="auto"/>
              </w:rPr>
            </w:pPr>
            <w:r>
              <w:rPr>
                <w:rFonts w:ascii="Arial" w:cs="Arial" w:eastAsia="Arial" w:hAnsi="Arial"/>
                <w:sz w:val="16"/>
                <w:szCs w:val="16"/>
                <w:color w:val="auto"/>
              </w:rPr>
              <w:t>the one hand, and the independent</w:t>
            </w:r>
          </w:p>
        </w:tc>
        <w:tc>
          <w:tcPr>
            <w:tcW w:w="3460" w:type="dxa"/>
            <w:vAlign w:val="bottom"/>
            <w:vMerge w:val="restart"/>
            <w:shd w:val="clear" w:color="auto" w:fill="DBE5F1"/>
          </w:tcPr>
          <w:p>
            <w:pPr>
              <w:ind w:left="3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Consult directly with Company</w:t>
            </w:r>
          </w:p>
        </w:tc>
        <w:tc>
          <w:tcPr>
            <w:tcW w:w="0" w:type="dxa"/>
            <w:vAlign w:val="bottom"/>
          </w:tcPr>
          <w:p>
            <w:pPr>
              <w:spacing w:after="0"/>
              <w:rPr>
                <w:sz w:val="1"/>
                <w:szCs w:val="1"/>
                <w:color w:val="auto"/>
              </w:rPr>
            </w:pPr>
          </w:p>
        </w:tc>
      </w:tr>
      <w:tr>
        <w:trPr>
          <w:trHeight w:val="135"/>
        </w:trPr>
        <w:tc>
          <w:tcPr>
            <w:tcW w:w="386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Preside over periodic meetings of the</w:t>
            </w:r>
          </w:p>
        </w:tc>
        <w:tc>
          <w:tcPr>
            <w:tcW w:w="3700" w:type="dxa"/>
            <w:vAlign w:val="bottom"/>
            <w:vMerge w:val="restart"/>
            <w:shd w:val="clear" w:color="auto" w:fill="DBE5F1"/>
          </w:tcPr>
          <w:p>
            <w:pPr>
              <w:ind w:left="600"/>
              <w:spacing w:after="0"/>
              <w:rPr>
                <w:sz w:val="20"/>
                <w:szCs w:val="20"/>
                <w:color w:val="auto"/>
              </w:rPr>
            </w:pPr>
            <w:r>
              <w:rPr>
                <w:rFonts w:ascii="Arial" w:cs="Arial" w:eastAsia="Arial" w:hAnsi="Arial"/>
                <w:sz w:val="16"/>
                <w:szCs w:val="16"/>
                <w:color w:val="auto"/>
              </w:rPr>
              <w:t>directors, on the other</w:t>
            </w:r>
          </w:p>
        </w:tc>
        <w:tc>
          <w:tcPr>
            <w:tcW w:w="34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60" w:type="dxa"/>
            <w:vAlign w:val="bottom"/>
            <w:vMerge w:val="continue"/>
            <w:shd w:val="clear" w:color="auto" w:fill="DBE5F1"/>
          </w:tcPr>
          <w:p>
            <w:pPr>
              <w:spacing w:after="0"/>
              <w:rPr>
                <w:sz w:val="6"/>
                <w:szCs w:val="6"/>
                <w:color w:val="auto"/>
              </w:rPr>
            </w:pPr>
          </w:p>
        </w:tc>
        <w:tc>
          <w:tcPr>
            <w:tcW w:w="3700" w:type="dxa"/>
            <w:vAlign w:val="bottom"/>
            <w:vMerge w:val="continue"/>
            <w:shd w:val="clear" w:color="auto" w:fill="DBE5F1"/>
          </w:tcPr>
          <w:p>
            <w:pPr>
              <w:spacing w:after="0"/>
              <w:rPr>
                <w:sz w:val="6"/>
                <w:szCs w:val="6"/>
                <w:color w:val="auto"/>
              </w:rPr>
            </w:pPr>
          </w:p>
        </w:tc>
        <w:tc>
          <w:tcPr>
            <w:tcW w:w="346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management as appropriate</w:t>
            </w:r>
          </w:p>
        </w:tc>
        <w:tc>
          <w:tcPr>
            <w:tcW w:w="0" w:type="dxa"/>
            <w:vAlign w:val="bottom"/>
          </w:tcPr>
          <w:p>
            <w:pPr>
              <w:spacing w:after="0"/>
              <w:rPr>
                <w:sz w:val="1"/>
                <w:szCs w:val="1"/>
                <w:color w:val="auto"/>
              </w:rPr>
            </w:pPr>
          </w:p>
        </w:tc>
      </w:tr>
      <w:tr>
        <w:trPr>
          <w:trHeight w:val="109"/>
        </w:trPr>
        <w:tc>
          <w:tcPr>
            <w:tcW w:w="3860" w:type="dxa"/>
            <w:vAlign w:val="bottom"/>
            <w:vMerge w:val="continue"/>
            <w:shd w:val="clear" w:color="auto" w:fill="DBE5F1"/>
          </w:tcPr>
          <w:p>
            <w:pPr>
              <w:spacing w:after="0"/>
              <w:rPr>
                <w:sz w:val="9"/>
                <w:szCs w:val="9"/>
                <w:color w:val="auto"/>
              </w:rPr>
            </w:pPr>
          </w:p>
        </w:tc>
        <w:tc>
          <w:tcPr>
            <w:tcW w:w="3700" w:type="dxa"/>
            <w:vAlign w:val="bottom"/>
            <w:vMerge w:val="restart"/>
            <w:shd w:val="clear" w:color="auto" w:fill="DBE5F1"/>
          </w:tcPr>
          <w:p>
            <w:pPr>
              <w:ind w:left="36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Assume leadership role in the Board’s</w:t>
            </w:r>
          </w:p>
        </w:tc>
        <w:tc>
          <w:tcPr>
            <w:tcW w:w="3460" w:type="dxa"/>
            <w:vAlign w:val="bottom"/>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DBE5F1"/>
          </w:tcPr>
          <w:p>
            <w:pPr>
              <w:ind w:left="480"/>
              <w:spacing w:after="0"/>
              <w:rPr>
                <w:sz w:val="20"/>
                <w:szCs w:val="20"/>
                <w:color w:val="auto"/>
              </w:rPr>
            </w:pPr>
            <w:r>
              <w:rPr>
                <w:rFonts w:ascii="Arial" w:cs="Arial" w:eastAsia="Arial" w:hAnsi="Arial"/>
                <w:sz w:val="16"/>
                <w:szCs w:val="16"/>
                <w:color w:val="auto"/>
              </w:rPr>
              <w:t>Company’s independent directors</w:t>
            </w:r>
          </w:p>
        </w:tc>
        <w:tc>
          <w:tcPr>
            <w:tcW w:w="3700" w:type="dxa"/>
            <w:vAlign w:val="bottom"/>
            <w:vMerge w:val="continue"/>
            <w:shd w:val="clear" w:color="auto" w:fill="DBE5F1"/>
          </w:tcPr>
          <w:p>
            <w:pPr>
              <w:spacing w:after="0"/>
              <w:rPr>
                <w:sz w:val="16"/>
                <w:szCs w:val="16"/>
                <w:color w:val="auto"/>
              </w:rPr>
            </w:pPr>
          </w:p>
        </w:tc>
        <w:tc>
          <w:tcPr>
            <w:tcW w:w="3460" w:type="dxa"/>
            <w:vAlign w:val="bottom"/>
            <w:vMerge w:val="restart"/>
            <w:shd w:val="clear" w:color="auto" w:fill="DBE5F1"/>
          </w:tcPr>
          <w:p>
            <w:pPr>
              <w:ind w:left="3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Such additional duties as our Board may</w:t>
            </w:r>
          </w:p>
        </w:tc>
        <w:tc>
          <w:tcPr>
            <w:tcW w:w="0" w:type="dxa"/>
            <w:vAlign w:val="bottom"/>
          </w:tcPr>
          <w:p>
            <w:pPr>
              <w:spacing w:after="0"/>
              <w:rPr>
                <w:sz w:val="1"/>
                <w:szCs w:val="1"/>
                <w:color w:val="auto"/>
              </w:rPr>
            </w:pPr>
          </w:p>
        </w:tc>
      </w:tr>
      <w:tr>
        <w:trPr>
          <w:trHeight w:val="135"/>
        </w:trPr>
        <w:tc>
          <w:tcPr>
            <w:tcW w:w="3860" w:type="dxa"/>
            <w:vAlign w:val="bottom"/>
            <w:vMerge w:val="restart"/>
            <w:shd w:val="clear" w:color="auto" w:fill="DBE5F1"/>
          </w:tcPr>
          <w:p>
            <w:pPr>
              <w:ind w:left="24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Consult directly with significant stockholders,</w:t>
            </w:r>
          </w:p>
        </w:tc>
        <w:tc>
          <w:tcPr>
            <w:tcW w:w="3700" w:type="dxa"/>
            <w:vAlign w:val="bottom"/>
            <w:vMerge w:val="restart"/>
            <w:shd w:val="clear" w:color="auto" w:fill="DBE5F1"/>
          </w:tcPr>
          <w:p>
            <w:pPr>
              <w:ind w:left="600"/>
              <w:spacing w:after="0"/>
              <w:rPr>
                <w:sz w:val="20"/>
                <w:szCs w:val="20"/>
                <w:color w:val="auto"/>
              </w:rPr>
            </w:pPr>
            <w:r>
              <w:rPr>
                <w:rFonts w:ascii="Arial" w:cs="Arial" w:eastAsia="Arial" w:hAnsi="Arial"/>
                <w:sz w:val="16"/>
                <w:szCs w:val="16"/>
                <w:color w:val="auto"/>
              </w:rPr>
              <w:t>annual evaluation of its composition,</w:t>
            </w:r>
          </w:p>
        </w:tc>
        <w:tc>
          <w:tcPr>
            <w:tcW w:w="34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3860" w:type="dxa"/>
            <w:vAlign w:val="bottom"/>
            <w:vMerge w:val="continue"/>
            <w:shd w:val="clear" w:color="auto" w:fill="DBE5F1"/>
          </w:tcPr>
          <w:p>
            <w:pPr>
              <w:spacing w:after="0"/>
              <w:rPr>
                <w:sz w:val="4"/>
                <w:szCs w:val="4"/>
                <w:color w:val="auto"/>
              </w:rPr>
            </w:pPr>
          </w:p>
        </w:tc>
        <w:tc>
          <w:tcPr>
            <w:tcW w:w="3700" w:type="dxa"/>
            <w:vAlign w:val="bottom"/>
            <w:vMerge w:val="continue"/>
            <w:shd w:val="clear" w:color="auto" w:fill="DBE5F1"/>
          </w:tcPr>
          <w:p>
            <w:pPr>
              <w:spacing w:after="0"/>
              <w:rPr>
                <w:sz w:val="4"/>
                <w:szCs w:val="4"/>
                <w:color w:val="auto"/>
              </w:rPr>
            </w:pPr>
          </w:p>
        </w:tc>
        <w:tc>
          <w:tcPr>
            <w:tcW w:w="3460" w:type="dxa"/>
            <w:vAlign w:val="bottom"/>
            <w:vMerge w:val="restart"/>
            <w:shd w:val="clear" w:color="auto" w:fill="DBE5F1"/>
          </w:tcPr>
          <w:p>
            <w:pPr>
              <w:ind w:left="540"/>
              <w:spacing w:after="0"/>
              <w:rPr>
                <w:sz w:val="20"/>
                <w:szCs w:val="20"/>
                <w:color w:val="auto"/>
              </w:rPr>
            </w:pPr>
            <w:r>
              <w:rPr>
                <w:rFonts w:ascii="Arial" w:cs="Arial" w:eastAsia="Arial" w:hAnsi="Arial"/>
                <w:sz w:val="16"/>
                <w:szCs w:val="16"/>
                <w:color w:val="auto"/>
              </w:rPr>
              <w:t>otherwise determine and delegate</w:t>
            </w: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700" w:type="dxa"/>
            <w:vAlign w:val="bottom"/>
            <w:vMerge w:val="restart"/>
            <w:shd w:val="clear" w:color="auto" w:fill="DBE5F1"/>
          </w:tcPr>
          <w:p>
            <w:pPr>
              <w:ind w:left="600"/>
              <w:spacing w:after="0"/>
              <w:rPr>
                <w:sz w:val="20"/>
                <w:szCs w:val="20"/>
                <w:color w:val="auto"/>
              </w:rPr>
            </w:pPr>
            <w:r>
              <w:rPr>
                <w:rFonts w:ascii="Arial" w:cs="Arial" w:eastAsia="Arial" w:hAnsi="Arial"/>
                <w:sz w:val="16"/>
                <w:szCs w:val="16"/>
                <w:color w:val="auto"/>
              </w:rPr>
              <w:t>processes and design</w:t>
            </w:r>
          </w:p>
        </w:tc>
        <w:tc>
          <w:tcPr>
            <w:tcW w:w="3460" w:type="dxa"/>
            <w:vAlign w:val="bottom"/>
            <w:vMerge w:val="continue"/>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860" w:type="dxa"/>
            <w:vAlign w:val="bottom"/>
            <w:vMerge w:val="restart"/>
            <w:shd w:val="clear" w:color="auto" w:fill="DBE5F1"/>
          </w:tcPr>
          <w:p>
            <w:pPr>
              <w:ind w:left="480"/>
              <w:spacing w:after="0"/>
              <w:rPr>
                <w:sz w:val="20"/>
                <w:szCs w:val="20"/>
                <w:color w:val="auto"/>
              </w:rPr>
            </w:pPr>
            <w:r>
              <w:rPr>
                <w:rFonts w:ascii="Arial" w:cs="Arial" w:eastAsia="Arial" w:hAnsi="Arial"/>
                <w:sz w:val="16"/>
                <w:szCs w:val="16"/>
                <w:color w:val="auto"/>
              </w:rPr>
              <w:t>upon request</w:t>
            </w:r>
          </w:p>
        </w:tc>
        <w:tc>
          <w:tcPr>
            <w:tcW w:w="3700" w:type="dxa"/>
            <w:vAlign w:val="bottom"/>
            <w:vMerge w:val="continue"/>
            <w:shd w:val="clear" w:color="auto" w:fill="DBE5F1"/>
          </w:tcPr>
          <w:p>
            <w:pPr>
              <w:spacing w:after="0"/>
              <w:rPr>
                <w:sz w:val="6"/>
                <w:szCs w:val="6"/>
                <w:color w:val="auto"/>
              </w:rPr>
            </w:pPr>
          </w:p>
        </w:tc>
        <w:tc>
          <w:tcPr>
            <w:tcW w:w="3460" w:type="dxa"/>
            <w:vAlign w:val="bottom"/>
            <w:shd w:val="clear" w:color="auto" w:fill="DBE5F1"/>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60" w:type="dxa"/>
            <w:vAlign w:val="bottom"/>
            <w:vMerge w:val="continue"/>
            <w:shd w:val="clear" w:color="auto" w:fill="DBE5F1"/>
          </w:tcPr>
          <w:p>
            <w:pPr>
              <w:spacing w:after="0"/>
              <w:rPr>
                <w:sz w:val="11"/>
                <w:szCs w:val="11"/>
                <w:color w:val="auto"/>
              </w:rPr>
            </w:pPr>
          </w:p>
        </w:tc>
        <w:tc>
          <w:tcPr>
            <w:tcW w:w="3700" w:type="dxa"/>
            <w:vAlign w:val="bottom"/>
            <w:shd w:val="clear" w:color="auto" w:fill="DBE5F1"/>
          </w:tcPr>
          <w:p>
            <w:pPr>
              <w:spacing w:after="0"/>
              <w:rPr>
                <w:sz w:val="11"/>
                <w:szCs w:val="11"/>
                <w:color w:val="auto"/>
              </w:rPr>
            </w:pPr>
          </w:p>
        </w:tc>
        <w:tc>
          <w:tcPr>
            <w:tcW w:w="3460" w:type="dxa"/>
            <w:vAlign w:val="bottom"/>
            <w:shd w:val="clear" w:color="auto" w:fill="DBE5F1"/>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3860" w:type="dxa"/>
            <w:vAlign w:val="bottom"/>
            <w:tcBorders>
              <w:bottom w:val="single" w:sz="8" w:color="auto"/>
            </w:tcBorders>
            <w:shd w:val="clear" w:color="auto" w:fill="DBE5F1"/>
          </w:tcPr>
          <w:p>
            <w:pPr>
              <w:spacing w:after="0"/>
              <w:rPr>
                <w:sz w:val="10"/>
                <w:szCs w:val="10"/>
                <w:color w:val="auto"/>
              </w:rPr>
            </w:pPr>
          </w:p>
        </w:tc>
        <w:tc>
          <w:tcPr>
            <w:tcW w:w="3700" w:type="dxa"/>
            <w:vAlign w:val="bottom"/>
            <w:tcBorders>
              <w:bottom w:val="single" w:sz="8" w:color="auto"/>
            </w:tcBorders>
            <w:shd w:val="clear" w:color="auto" w:fill="DBE5F1"/>
          </w:tcPr>
          <w:p>
            <w:pPr>
              <w:spacing w:after="0"/>
              <w:rPr>
                <w:sz w:val="10"/>
                <w:szCs w:val="10"/>
                <w:color w:val="auto"/>
              </w:rPr>
            </w:pPr>
          </w:p>
        </w:tc>
        <w:tc>
          <w:tcPr>
            <w:tcW w:w="3460" w:type="dxa"/>
            <w:vAlign w:val="bottom"/>
            <w:tcBorders>
              <w:bottom w:val="single" w:sz="8" w:color="auto"/>
            </w:tcBorders>
            <w:shd w:val="clear" w:color="auto" w:fill="DBE5F1"/>
          </w:tcPr>
          <w:p>
            <w:pPr>
              <w:spacing w:after="0"/>
              <w:rPr>
                <w:sz w:val="10"/>
                <w:szCs w:val="1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right="580"/>
        <w:spacing w:after="0" w:line="253" w:lineRule="auto"/>
        <w:rPr>
          <w:sz w:val="20"/>
          <w:szCs w:val="20"/>
          <w:color w:val="auto"/>
        </w:rPr>
      </w:pPr>
      <w:r>
        <w:rPr>
          <w:rFonts w:ascii="Arial" w:cs="Arial" w:eastAsia="Arial" w:hAnsi="Arial"/>
          <w:sz w:val="18"/>
          <w:szCs w:val="18"/>
          <w:color w:val="auto"/>
        </w:rPr>
        <w:t>Collectively, we believe that our Board Chair and Lead Independent Director are well positioned to objectively evaluate and oversee management’s performance, ensure management accountability, implement and enforce strong corporate governance and align management with the best interests of the Company and its stockholders.</w:t>
      </w:r>
    </w:p>
    <w:p>
      <w:pPr>
        <w:spacing w:after="0" w:line="169" w:lineRule="exact"/>
        <w:rPr>
          <w:sz w:val="20"/>
          <w:szCs w:val="20"/>
          <w:color w:val="auto"/>
        </w:rPr>
      </w:pPr>
    </w:p>
    <w:p>
      <w:pPr>
        <w:ind w:right="140" w:firstLine="440"/>
        <w:spacing w:after="0"/>
        <w:rPr>
          <w:sz w:val="20"/>
          <w:szCs w:val="20"/>
          <w:color w:val="auto"/>
        </w:rPr>
      </w:pPr>
      <w:r>
        <w:rPr>
          <w:rFonts w:ascii="Arial" w:cs="Arial" w:eastAsia="Arial" w:hAnsi="Arial"/>
          <w:sz w:val="18"/>
          <w:szCs w:val="18"/>
          <w:color w:val="auto"/>
        </w:rPr>
        <w:t>The Board believes the advisability of having separate or combined Board Chair and Chief Executive Officer positions, or of appointing to Board Chair to an executive role, is dependent upon the strengths of the individual or individuals that hold these positions and the most effective means of leveraging these strengths, to lead the Board, set Board agendas, augment the Company’s strategic efforts, support management, and identify and oversee key risks in light of the challenges and circumstances facing the Company, which may change over time. At any time during which the Chief Executive Officer and Board Chair positions are combined, or during which the Board Chair is not independent, the Board would appoint a Lead Independent Director. Our stockholders would be notified promptly upon the occurrence of any changes to our current Board leadership structure. We are continually seeking stockholder input on important matters, including our governance structure, through our stockholder engagement program.</w:t>
      </w:r>
    </w:p>
    <w:p>
      <w:pPr>
        <w:spacing w:after="0" w:line="180" w:lineRule="exact"/>
        <w:rPr>
          <w:sz w:val="20"/>
          <w:szCs w:val="20"/>
          <w:color w:val="auto"/>
        </w:rPr>
      </w:pPr>
    </w:p>
    <w:p>
      <w:pPr>
        <w:ind w:right="460" w:firstLine="440"/>
        <w:spacing w:after="0" w:line="247" w:lineRule="auto"/>
        <w:rPr>
          <w:sz w:val="20"/>
          <w:szCs w:val="20"/>
          <w:color w:val="auto"/>
        </w:rPr>
      </w:pPr>
      <w:r>
        <w:rPr>
          <w:rFonts w:ascii="Arial" w:cs="Arial" w:eastAsia="Arial" w:hAnsi="Arial"/>
          <w:sz w:val="18"/>
          <w:szCs w:val="18"/>
          <w:color w:val="auto"/>
        </w:rPr>
        <w:t>The independent directors have the opportunity to meet in executive session without members of management as often as they deem appropriate, but at a minimum do so at each regularly scheduled quarterly Board meeting. Our Board leadership structure also includes active and empowered committee chairs, who lead oversight of specific risk areas, regularly provide reports and make recommendations to the Board and who consult directly with members of Company management on a variety of matters.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The Board’s Role in Risk Oversight</w:t>
      </w:r>
    </w:p>
    <w:p>
      <w:pPr>
        <w:spacing w:after="0" w:line="212" w:lineRule="exact"/>
        <w:rPr>
          <w:sz w:val="20"/>
          <w:szCs w:val="20"/>
          <w:color w:val="auto"/>
        </w:rPr>
      </w:pPr>
    </w:p>
    <w:p>
      <w:pPr>
        <w:ind w:right="20" w:firstLine="440"/>
        <w:spacing w:after="0" w:line="244" w:lineRule="auto"/>
        <w:rPr>
          <w:sz w:val="20"/>
          <w:szCs w:val="20"/>
          <w:color w:val="auto"/>
        </w:rPr>
      </w:pPr>
      <w:r>
        <w:rPr>
          <w:rFonts w:ascii="Arial" w:cs="Arial" w:eastAsia="Arial" w:hAnsi="Arial"/>
          <w:sz w:val="18"/>
          <w:szCs w:val="18"/>
          <w:color w:val="auto"/>
        </w:rPr>
        <w:t>One of our Board’s key functions is informed oversight of our risk management process. Our Board administers this oversight function directly as well as through the Board’s standing committees. Our officers are responsible for day-to-day management of the material risks that the Company takes. Management and the Board and committees view their respective risk management roles, and the collaboration amongst them in the identification, oversight, evaluation and management of risk, as paramount to the Company’s short-term viability and long-term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140970</wp:posOffset>
            </wp:positionV>
            <wp:extent cx="6995160" cy="96837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968375"/>
                    </a:xfrm>
                    <a:prstGeom prst="rect">
                      <a:avLst/>
                    </a:prstGeom>
                    <a:noFill/>
                  </pic:spPr>
                </pic:pic>
              </a:graphicData>
            </a:graphic>
          </wp:anchor>
        </w:drawing>
      </w: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Board of Directors</w:t>
      </w:r>
    </w:p>
    <w:p>
      <w:pPr>
        <w:spacing w:after="0" w:line="127"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Board as a whole has overall responsibility for risk oversight. It routinely monitors the nature and severity of significant risk exposures, potential mitigation measures and the quality and effectiveness of our enterprise risk management (“ERM”) program. On at least a quarterly basis and more frequently as needed, our Board and committees assess the Company’s risk environment, consult with management and relevant outside advisors, review and analyze key risk areas, including new business, financial, operations and compliance, and analyze regulatory developments affecting such risks. Oversight includes both short-term operational risks and long-term strategic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71755</wp:posOffset>
            </wp:positionV>
            <wp:extent cx="6995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20"/>
          </w:cols>
          <w:pgMar w:left="440" w:top="295" w:right="4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92"/>
        </w:trPr>
        <w:tc>
          <w:tcPr>
            <w:tcW w:w="3860" w:type="dxa"/>
            <w:vAlign w:val="bottom"/>
            <w:tcBorders>
              <w:top w:val="single" w:sz="8" w:color="auto"/>
            </w:tcBorders>
            <w:shd w:val="clear" w:color="auto" w:fill="DBE5F1"/>
          </w:tcPr>
          <w:p>
            <w:pPr>
              <w:ind w:left="960"/>
              <w:spacing w:after="0"/>
              <w:rPr>
                <w:sz w:val="20"/>
                <w:szCs w:val="20"/>
                <w:color w:val="auto"/>
              </w:rPr>
            </w:pPr>
            <w:r>
              <w:rPr>
                <w:rFonts w:ascii="Arial" w:cs="Arial" w:eastAsia="Arial" w:hAnsi="Arial"/>
                <w:sz w:val="18"/>
                <w:szCs w:val="18"/>
                <w:b w:val="1"/>
                <w:bCs w:val="1"/>
                <w:color w:val="auto"/>
              </w:rPr>
              <w:t>Nominating, Corporate</w:t>
            </w:r>
          </w:p>
        </w:tc>
        <w:tc>
          <w:tcPr>
            <w:tcW w:w="3640" w:type="dxa"/>
            <w:vAlign w:val="bottom"/>
            <w:tcBorders>
              <w:top w:val="single" w:sz="8" w:color="auto"/>
            </w:tcBorders>
            <w:shd w:val="clear" w:color="auto" w:fill="DBE5F1"/>
          </w:tcPr>
          <w:p>
            <w:pPr>
              <w:spacing w:after="0"/>
              <w:rPr>
                <w:sz w:val="24"/>
                <w:szCs w:val="24"/>
                <w:color w:val="auto"/>
              </w:rPr>
            </w:pPr>
          </w:p>
        </w:tc>
        <w:tc>
          <w:tcPr>
            <w:tcW w:w="3520" w:type="dxa"/>
            <w:vAlign w:val="bottom"/>
            <w:tcBorders>
              <w:top w:val="single" w:sz="8" w:color="auto"/>
            </w:tcBorders>
            <w:shd w:val="clear" w:color="auto" w:fill="DBE5F1"/>
          </w:tcPr>
          <w:p>
            <w:pPr>
              <w:spacing w:after="0"/>
              <w:rPr>
                <w:sz w:val="24"/>
                <w:szCs w:val="24"/>
                <w:color w:val="auto"/>
              </w:rPr>
            </w:pPr>
          </w:p>
        </w:tc>
      </w:tr>
      <w:tr>
        <w:trPr>
          <w:trHeight w:val="203"/>
        </w:trPr>
        <w:tc>
          <w:tcPr>
            <w:tcW w:w="3860" w:type="dxa"/>
            <w:vAlign w:val="bottom"/>
            <w:shd w:val="clear" w:color="auto" w:fill="DBE5F1"/>
          </w:tcPr>
          <w:p>
            <w:pPr>
              <w:ind w:left="780"/>
              <w:spacing w:after="0" w:line="202" w:lineRule="exact"/>
              <w:rPr>
                <w:sz w:val="20"/>
                <w:szCs w:val="20"/>
                <w:color w:val="auto"/>
              </w:rPr>
            </w:pPr>
            <w:r>
              <w:rPr>
                <w:rFonts w:ascii="Arial" w:cs="Arial" w:eastAsia="Arial" w:hAnsi="Arial"/>
                <w:sz w:val="18"/>
                <w:szCs w:val="18"/>
                <w:b w:val="1"/>
                <w:bCs w:val="1"/>
                <w:color w:val="auto"/>
              </w:rPr>
              <w:t>Governance and Compliance</w:t>
            </w:r>
          </w:p>
        </w:tc>
        <w:tc>
          <w:tcPr>
            <w:tcW w:w="3640" w:type="dxa"/>
            <w:vAlign w:val="bottom"/>
            <w:shd w:val="clear" w:color="auto" w:fill="DBE5F1"/>
          </w:tcPr>
          <w:p>
            <w:pPr>
              <w:ind w:left="1160"/>
              <w:spacing w:after="0" w:line="202" w:lineRule="exact"/>
              <w:rPr>
                <w:sz w:val="20"/>
                <w:szCs w:val="20"/>
                <w:color w:val="auto"/>
              </w:rPr>
            </w:pPr>
            <w:r>
              <w:rPr>
                <w:rFonts w:ascii="Arial" w:cs="Arial" w:eastAsia="Arial" w:hAnsi="Arial"/>
                <w:sz w:val="18"/>
                <w:szCs w:val="18"/>
                <w:b w:val="1"/>
                <w:bCs w:val="1"/>
                <w:color w:val="auto"/>
              </w:rPr>
              <w:t>Audit Committee</w:t>
            </w:r>
          </w:p>
        </w:tc>
        <w:tc>
          <w:tcPr>
            <w:tcW w:w="3520" w:type="dxa"/>
            <w:vAlign w:val="bottom"/>
            <w:shd w:val="clear" w:color="auto" w:fill="DBE5F1"/>
          </w:tcPr>
          <w:p>
            <w:pPr>
              <w:ind w:left="460"/>
              <w:spacing w:after="0" w:line="202" w:lineRule="exact"/>
              <w:rPr>
                <w:sz w:val="20"/>
                <w:szCs w:val="20"/>
                <w:color w:val="auto"/>
              </w:rPr>
            </w:pPr>
            <w:r>
              <w:rPr>
                <w:rFonts w:ascii="Arial" w:cs="Arial" w:eastAsia="Arial" w:hAnsi="Arial"/>
                <w:sz w:val="18"/>
                <w:szCs w:val="18"/>
                <w:b w:val="1"/>
                <w:bCs w:val="1"/>
                <w:color w:val="auto"/>
              </w:rPr>
              <w:t>Compensation Committee</w:t>
            </w:r>
          </w:p>
        </w:tc>
      </w:tr>
      <w:tr>
        <w:trPr>
          <w:trHeight w:val="235"/>
        </w:trPr>
        <w:tc>
          <w:tcPr>
            <w:tcW w:w="3860" w:type="dxa"/>
            <w:vAlign w:val="bottom"/>
            <w:shd w:val="clear" w:color="auto" w:fill="DBE5F1"/>
          </w:tcPr>
          <w:p>
            <w:pPr>
              <w:ind w:left="1560"/>
              <w:spacing w:after="0"/>
              <w:rPr>
                <w:sz w:val="20"/>
                <w:szCs w:val="20"/>
                <w:color w:val="auto"/>
              </w:rPr>
            </w:pPr>
            <w:r>
              <w:rPr>
                <w:rFonts w:ascii="Arial" w:cs="Arial" w:eastAsia="Arial" w:hAnsi="Arial"/>
                <w:sz w:val="18"/>
                <w:szCs w:val="18"/>
                <w:b w:val="1"/>
                <w:bCs w:val="1"/>
                <w:color w:val="auto"/>
              </w:rPr>
              <w:t>Committee</w:t>
            </w:r>
          </w:p>
        </w:tc>
        <w:tc>
          <w:tcPr>
            <w:tcW w:w="3640" w:type="dxa"/>
            <w:vAlign w:val="bottom"/>
            <w:shd w:val="clear" w:color="auto" w:fill="DBE5F1"/>
          </w:tcPr>
          <w:p>
            <w:pPr>
              <w:spacing w:after="0"/>
              <w:rPr>
                <w:sz w:val="20"/>
                <w:szCs w:val="20"/>
                <w:color w:val="auto"/>
              </w:rPr>
            </w:pPr>
          </w:p>
        </w:tc>
        <w:tc>
          <w:tcPr>
            <w:tcW w:w="3520" w:type="dxa"/>
            <w:vAlign w:val="bottom"/>
            <w:shd w:val="clear" w:color="auto" w:fill="DBE5F1"/>
          </w:tcPr>
          <w:p>
            <w:pPr>
              <w:spacing w:after="0"/>
              <w:rPr>
                <w:sz w:val="20"/>
                <w:szCs w:val="20"/>
                <w:color w:val="auto"/>
              </w:rPr>
            </w:pPr>
          </w:p>
        </w:tc>
      </w:tr>
      <w:tr>
        <w:trPr>
          <w:trHeight w:val="296"/>
        </w:trPr>
        <w:tc>
          <w:tcPr>
            <w:tcW w:w="386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Has primary responsibility for oversight of our</w:t>
            </w:r>
          </w:p>
        </w:tc>
        <w:tc>
          <w:tcPr>
            <w:tcW w:w="36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Oversees our major financial risk exposures</w:t>
            </w:r>
          </w:p>
        </w:tc>
        <w:tc>
          <w:tcPr>
            <w:tcW w:w="352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Assesses and monitors risks related to our</w:t>
            </w:r>
          </w:p>
        </w:tc>
      </w:tr>
      <w:tr>
        <w:trPr>
          <w:trHeight w:val="189"/>
        </w:trPr>
        <w:tc>
          <w:tcPr>
            <w:tcW w:w="3860" w:type="dxa"/>
            <w:vAlign w:val="bottom"/>
            <w:shd w:val="clear" w:color="auto" w:fill="DBE5F1"/>
          </w:tcPr>
          <w:p>
            <w:pPr>
              <w:ind w:left="320"/>
              <w:spacing w:after="0"/>
              <w:rPr>
                <w:sz w:val="20"/>
                <w:szCs w:val="20"/>
                <w:color w:val="auto"/>
              </w:rPr>
            </w:pPr>
            <w:r>
              <w:rPr>
                <w:rFonts w:ascii="Arial" w:cs="Arial" w:eastAsia="Arial" w:hAnsi="Arial"/>
                <w:sz w:val="16"/>
                <w:szCs w:val="16"/>
                <w:color w:val="auto"/>
              </w:rPr>
              <w:t>ERM program, consults with management and</w:t>
            </w:r>
          </w:p>
        </w:tc>
        <w:tc>
          <w:tcPr>
            <w:tcW w:w="3640" w:type="dxa"/>
            <w:vAlign w:val="bottom"/>
            <w:shd w:val="clear" w:color="auto" w:fill="DBE5F1"/>
          </w:tcPr>
          <w:p>
            <w:pPr>
              <w:ind w:left="440"/>
              <w:spacing w:after="0"/>
              <w:rPr>
                <w:sz w:val="20"/>
                <w:szCs w:val="20"/>
                <w:color w:val="auto"/>
              </w:rPr>
            </w:pPr>
            <w:r>
              <w:rPr>
                <w:rFonts w:ascii="Arial" w:cs="Arial" w:eastAsia="Arial" w:hAnsi="Arial"/>
                <w:sz w:val="16"/>
                <w:szCs w:val="16"/>
                <w:color w:val="auto"/>
              </w:rPr>
              <w:t>and management actions to monitor and</w:t>
            </w:r>
          </w:p>
        </w:tc>
        <w:tc>
          <w:tcPr>
            <w:tcW w:w="3520" w:type="dxa"/>
            <w:vAlign w:val="bottom"/>
            <w:shd w:val="clear" w:color="auto" w:fill="DBE5F1"/>
          </w:tcPr>
          <w:p>
            <w:pPr>
              <w:ind w:left="440"/>
              <w:spacing w:after="0"/>
              <w:rPr>
                <w:sz w:val="20"/>
                <w:szCs w:val="20"/>
                <w:color w:val="auto"/>
              </w:rPr>
            </w:pPr>
            <w:r>
              <w:rPr>
                <w:rFonts w:ascii="Arial" w:cs="Arial" w:eastAsia="Arial" w:hAnsi="Arial"/>
                <w:sz w:val="16"/>
                <w:szCs w:val="16"/>
                <w:color w:val="auto"/>
              </w:rPr>
              <w:t>compensation policies and programs, such</w:t>
            </w:r>
          </w:p>
        </w:tc>
      </w:tr>
      <w:tr>
        <w:trPr>
          <w:trHeight w:val="215"/>
        </w:trPr>
        <w:tc>
          <w:tcPr>
            <w:tcW w:w="3860" w:type="dxa"/>
            <w:vAlign w:val="bottom"/>
            <w:shd w:val="clear" w:color="auto" w:fill="DBE5F1"/>
          </w:tcPr>
          <w:p>
            <w:pPr>
              <w:ind w:left="320"/>
              <w:spacing w:after="0"/>
              <w:rPr>
                <w:sz w:val="20"/>
                <w:szCs w:val="20"/>
                <w:color w:val="auto"/>
              </w:rPr>
            </w:pPr>
            <w:r>
              <w:rPr>
                <w:rFonts w:ascii="Arial" w:cs="Arial" w:eastAsia="Arial" w:hAnsi="Arial"/>
                <w:sz w:val="16"/>
                <w:szCs w:val="16"/>
                <w:color w:val="auto"/>
              </w:rPr>
              <w:t>other Board committees as needed.</w:t>
            </w:r>
          </w:p>
        </w:tc>
        <w:tc>
          <w:tcPr>
            <w:tcW w:w="3640" w:type="dxa"/>
            <w:vAlign w:val="bottom"/>
            <w:shd w:val="clear" w:color="auto" w:fill="DBE5F1"/>
          </w:tcPr>
          <w:p>
            <w:pPr>
              <w:ind w:left="440"/>
              <w:spacing w:after="0"/>
              <w:rPr>
                <w:sz w:val="20"/>
                <w:szCs w:val="20"/>
                <w:color w:val="auto"/>
              </w:rPr>
            </w:pPr>
            <w:r>
              <w:rPr>
                <w:rFonts w:ascii="Arial" w:cs="Arial" w:eastAsia="Arial" w:hAnsi="Arial"/>
                <w:sz w:val="16"/>
                <w:szCs w:val="16"/>
                <w:color w:val="auto"/>
              </w:rPr>
              <w:t>control these exposures.</w:t>
            </w:r>
          </w:p>
        </w:tc>
        <w:tc>
          <w:tcPr>
            <w:tcW w:w="3520" w:type="dxa"/>
            <w:vAlign w:val="bottom"/>
            <w:shd w:val="clear" w:color="auto" w:fill="DBE5F1"/>
          </w:tcPr>
          <w:p>
            <w:pPr>
              <w:ind w:left="440"/>
              <w:spacing w:after="0"/>
              <w:rPr>
                <w:sz w:val="20"/>
                <w:szCs w:val="20"/>
                <w:color w:val="auto"/>
              </w:rPr>
            </w:pPr>
            <w:r>
              <w:rPr>
                <w:rFonts w:ascii="Arial" w:cs="Arial" w:eastAsia="Arial" w:hAnsi="Arial"/>
                <w:sz w:val="16"/>
                <w:szCs w:val="16"/>
                <w:color w:val="auto"/>
              </w:rPr>
              <w:t>as retention risk.</w:t>
            </w:r>
          </w:p>
        </w:tc>
      </w:tr>
      <w:tr>
        <w:trPr>
          <w:trHeight w:val="298"/>
        </w:trPr>
        <w:tc>
          <w:tcPr>
            <w:tcW w:w="386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Oversees governance risks, such as director</w:t>
            </w:r>
          </w:p>
        </w:tc>
        <w:tc>
          <w:tcPr>
            <w:tcW w:w="36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Oversees the performance of our external</w:t>
            </w:r>
          </w:p>
        </w:tc>
        <w:tc>
          <w:tcPr>
            <w:tcW w:w="352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Oversees management incentives and</w:t>
            </w:r>
          </w:p>
        </w:tc>
      </w:tr>
      <w:tr>
        <w:trPr>
          <w:trHeight w:val="215"/>
        </w:trPr>
        <w:tc>
          <w:tcPr>
            <w:tcW w:w="3860" w:type="dxa"/>
            <w:vAlign w:val="bottom"/>
            <w:shd w:val="clear" w:color="auto" w:fill="DBE5F1"/>
          </w:tcPr>
          <w:p>
            <w:pPr>
              <w:ind w:left="320"/>
              <w:spacing w:after="0"/>
              <w:rPr>
                <w:sz w:val="20"/>
                <w:szCs w:val="20"/>
                <w:color w:val="auto"/>
              </w:rPr>
            </w:pPr>
            <w:r>
              <w:rPr>
                <w:rFonts w:ascii="Arial" w:cs="Arial" w:eastAsia="Arial" w:hAnsi="Arial"/>
                <w:sz w:val="16"/>
                <w:szCs w:val="16"/>
                <w:color w:val="auto"/>
              </w:rPr>
              <w:t>independence and conflicts of interest.</w:t>
            </w:r>
          </w:p>
        </w:tc>
        <w:tc>
          <w:tcPr>
            <w:tcW w:w="3640" w:type="dxa"/>
            <w:vAlign w:val="bottom"/>
            <w:shd w:val="clear" w:color="auto" w:fill="DBE5F1"/>
          </w:tcPr>
          <w:p>
            <w:pPr>
              <w:ind w:left="440"/>
              <w:spacing w:after="0"/>
              <w:rPr>
                <w:sz w:val="20"/>
                <w:szCs w:val="20"/>
                <w:color w:val="auto"/>
              </w:rPr>
            </w:pPr>
            <w:r>
              <w:rPr>
                <w:rFonts w:ascii="Arial" w:cs="Arial" w:eastAsia="Arial" w:hAnsi="Arial"/>
                <w:sz w:val="16"/>
                <w:szCs w:val="16"/>
                <w:color w:val="auto"/>
              </w:rPr>
              <w:t>auditors and internal audit function.</w:t>
            </w:r>
          </w:p>
        </w:tc>
        <w:tc>
          <w:tcPr>
            <w:tcW w:w="3520" w:type="dxa"/>
            <w:vAlign w:val="bottom"/>
            <w:shd w:val="clear" w:color="auto" w:fill="DBE5F1"/>
          </w:tcPr>
          <w:p>
            <w:pPr>
              <w:ind w:left="440"/>
              <w:spacing w:after="0"/>
              <w:rPr>
                <w:sz w:val="20"/>
                <w:szCs w:val="20"/>
                <w:color w:val="auto"/>
              </w:rPr>
            </w:pPr>
            <w:r>
              <w:rPr>
                <w:rFonts w:ascii="Arial" w:cs="Arial" w:eastAsia="Arial" w:hAnsi="Arial"/>
                <w:sz w:val="16"/>
                <w:szCs w:val="16"/>
                <w:color w:val="auto"/>
              </w:rPr>
              <w:t>potential for excessive risk taking.</w:t>
            </w:r>
          </w:p>
        </w:tc>
      </w:tr>
      <w:tr>
        <w:trPr>
          <w:trHeight w:val="298"/>
        </w:trPr>
        <w:tc>
          <w:tcPr>
            <w:tcW w:w="3860" w:type="dxa"/>
            <w:vAlign w:val="bottom"/>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Monitors our health care and other legal</w:t>
            </w:r>
          </w:p>
        </w:tc>
        <w:tc>
          <w:tcPr>
            <w:tcW w:w="364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Monitors risk related to data privacy and</w:t>
            </w:r>
          </w:p>
        </w:tc>
        <w:tc>
          <w:tcPr>
            <w:tcW w:w="3520" w:type="dxa"/>
            <w:vAlign w:val="bottom"/>
            <w:shd w:val="clear" w:color="auto" w:fill="DBE5F1"/>
          </w:tcPr>
          <w:p>
            <w:pPr>
              <w:ind w:left="2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Responsible for management succession</w:t>
            </w:r>
          </w:p>
        </w:tc>
      </w:tr>
      <w:tr>
        <w:trPr>
          <w:trHeight w:val="189"/>
        </w:trPr>
        <w:tc>
          <w:tcPr>
            <w:tcW w:w="3860" w:type="dxa"/>
            <w:vAlign w:val="bottom"/>
            <w:shd w:val="clear" w:color="auto" w:fill="DBE5F1"/>
          </w:tcPr>
          <w:p>
            <w:pPr>
              <w:ind w:left="320"/>
              <w:spacing w:after="0"/>
              <w:rPr>
                <w:sz w:val="20"/>
                <w:szCs w:val="20"/>
                <w:color w:val="auto"/>
              </w:rPr>
            </w:pPr>
            <w:r>
              <w:rPr>
                <w:rFonts w:ascii="Arial" w:cs="Arial" w:eastAsia="Arial" w:hAnsi="Arial"/>
                <w:sz w:val="16"/>
                <w:szCs w:val="16"/>
                <w:color w:val="auto"/>
              </w:rPr>
              <w:t>compliance activities, including regulatory audits</w:t>
            </w:r>
          </w:p>
        </w:tc>
        <w:tc>
          <w:tcPr>
            <w:tcW w:w="3640" w:type="dxa"/>
            <w:vAlign w:val="bottom"/>
            <w:shd w:val="clear" w:color="auto" w:fill="DBE5F1"/>
          </w:tcPr>
          <w:p>
            <w:pPr>
              <w:ind w:left="440"/>
              <w:spacing w:after="0"/>
              <w:rPr>
                <w:sz w:val="20"/>
                <w:szCs w:val="20"/>
                <w:color w:val="auto"/>
              </w:rPr>
            </w:pPr>
            <w:r>
              <w:rPr>
                <w:rFonts w:ascii="Arial" w:cs="Arial" w:eastAsia="Arial" w:hAnsi="Arial"/>
                <w:sz w:val="16"/>
                <w:szCs w:val="16"/>
                <w:color w:val="auto"/>
              </w:rPr>
              <w:t>cybersecurity.</w:t>
            </w:r>
          </w:p>
        </w:tc>
        <w:tc>
          <w:tcPr>
            <w:tcW w:w="3520" w:type="dxa"/>
            <w:vAlign w:val="bottom"/>
            <w:shd w:val="clear" w:color="auto" w:fill="DBE5F1"/>
          </w:tcPr>
          <w:p>
            <w:pPr>
              <w:ind w:left="440"/>
              <w:spacing w:after="0"/>
              <w:rPr>
                <w:sz w:val="20"/>
                <w:szCs w:val="20"/>
                <w:color w:val="auto"/>
              </w:rPr>
            </w:pPr>
            <w:r>
              <w:rPr>
                <w:rFonts w:ascii="Arial" w:cs="Arial" w:eastAsia="Arial" w:hAnsi="Arial"/>
                <w:sz w:val="16"/>
                <w:szCs w:val="16"/>
                <w:color w:val="auto"/>
              </w:rPr>
              <w:t>risk and planning.</w:t>
            </w:r>
          </w:p>
        </w:tc>
      </w:tr>
      <w:tr>
        <w:trPr>
          <w:trHeight w:val="215"/>
        </w:trPr>
        <w:tc>
          <w:tcPr>
            <w:tcW w:w="3860" w:type="dxa"/>
            <w:vAlign w:val="bottom"/>
            <w:shd w:val="clear" w:color="auto" w:fill="DBE5F1"/>
          </w:tcPr>
          <w:p>
            <w:pPr>
              <w:ind w:left="320"/>
              <w:spacing w:after="0"/>
              <w:rPr>
                <w:sz w:val="20"/>
                <w:szCs w:val="20"/>
                <w:color w:val="auto"/>
              </w:rPr>
            </w:pPr>
            <w:r>
              <w:rPr>
                <w:rFonts w:ascii="Arial" w:cs="Arial" w:eastAsia="Arial" w:hAnsi="Arial"/>
                <w:sz w:val="16"/>
                <w:szCs w:val="16"/>
                <w:color w:val="auto"/>
              </w:rPr>
              <w:t>and other touchpoints.</w:t>
            </w:r>
          </w:p>
        </w:tc>
        <w:tc>
          <w:tcPr>
            <w:tcW w:w="3640" w:type="dxa"/>
            <w:vAlign w:val="bottom"/>
            <w:shd w:val="clear" w:color="auto" w:fill="DBE5F1"/>
          </w:tcPr>
          <w:p>
            <w:pPr>
              <w:spacing w:after="0"/>
              <w:rPr>
                <w:sz w:val="18"/>
                <w:szCs w:val="18"/>
                <w:color w:val="auto"/>
              </w:rPr>
            </w:pPr>
          </w:p>
        </w:tc>
        <w:tc>
          <w:tcPr>
            <w:tcW w:w="3520" w:type="dxa"/>
            <w:vAlign w:val="bottom"/>
            <w:shd w:val="clear" w:color="auto" w:fill="DBE5F1"/>
          </w:tcPr>
          <w:p>
            <w:pPr>
              <w:spacing w:after="0"/>
              <w:rPr>
                <w:sz w:val="18"/>
                <w:szCs w:val="18"/>
                <w:color w:val="auto"/>
              </w:rPr>
            </w:pPr>
          </w:p>
        </w:tc>
      </w:tr>
      <w:tr>
        <w:trPr>
          <w:trHeight w:val="124"/>
        </w:trPr>
        <w:tc>
          <w:tcPr>
            <w:tcW w:w="3860" w:type="dxa"/>
            <w:vAlign w:val="bottom"/>
            <w:tcBorders>
              <w:bottom w:val="single" w:sz="8" w:color="auto"/>
            </w:tcBorders>
            <w:shd w:val="clear" w:color="auto" w:fill="DBE5F1"/>
          </w:tcPr>
          <w:p>
            <w:pPr>
              <w:spacing w:after="0"/>
              <w:rPr>
                <w:sz w:val="10"/>
                <w:szCs w:val="10"/>
                <w:color w:val="auto"/>
              </w:rPr>
            </w:pPr>
          </w:p>
        </w:tc>
        <w:tc>
          <w:tcPr>
            <w:tcW w:w="3640" w:type="dxa"/>
            <w:vAlign w:val="bottom"/>
            <w:tcBorders>
              <w:bottom w:val="single" w:sz="8" w:color="auto"/>
            </w:tcBorders>
            <w:shd w:val="clear" w:color="auto" w:fill="DBE5F1"/>
          </w:tcPr>
          <w:p>
            <w:pPr>
              <w:spacing w:after="0"/>
              <w:rPr>
                <w:sz w:val="10"/>
                <w:szCs w:val="10"/>
                <w:color w:val="auto"/>
              </w:rPr>
            </w:pPr>
          </w:p>
        </w:tc>
        <w:tc>
          <w:tcPr>
            <w:tcW w:w="3520" w:type="dxa"/>
            <w:vAlign w:val="bottom"/>
            <w:tcBorders>
              <w:bottom w:val="single" w:sz="8" w:color="auto"/>
            </w:tcBorders>
            <w:shd w:val="clear" w:color="auto" w:fill="DBE5F1"/>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2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231140</wp:posOffset>
            </wp:positionV>
            <wp:extent cx="6995160" cy="934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93472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000"/>
        <w:spacing w:after="0"/>
        <w:rPr>
          <w:sz w:val="20"/>
          <w:szCs w:val="20"/>
          <w:color w:val="auto"/>
        </w:rPr>
      </w:pPr>
      <w:r>
        <w:rPr>
          <w:rFonts w:ascii="Arial" w:cs="Arial" w:eastAsia="Arial" w:hAnsi="Arial"/>
          <w:sz w:val="16"/>
          <w:szCs w:val="16"/>
          <w:b w:val="1"/>
          <w:bCs w:val="1"/>
          <w:color w:val="auto"/>
        </w:rPr>
        <w:t>Management</w:t>
      </w:r>
    </w:p>
    <w:p>
      <w:pPr>
        <w:spacing w:after="0" w:line="1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Manages day-to-day risk and regularly confers with the Board and committees regarding the risks and risk management processes.</w:t>
      </w:r>
    </w:p>
    <w:p>
      <w:pPr>
        <w:spacing w:after="0" w:line="139" w:lineRule="exact"/>
        <w:rPr>
          <w:sz w:val="20"/>
          <w:szCs w:val="20"/>
          <w:color w:val="auto"/>
        </w:rPr>
      </w:pPr>
    </w:p>
    <w:p>
      <w:pPr>
        <w:ind w:left="320" w:right="220" w:hanging="242"/>
        <w:spacing w:after="0" w:line="274" w:lineRule="auto"/>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Systematically monitors risk exposure and mitigation planning through an ERM committee, a broad, interdepartmental group led by the Company’s</w:t>
      </w:r>
      <w:r>
        <w:rPr>
          <w:rFonts w:ascii="Times New Roman" w:cs="Times New Roman" w:eastAsia="Times New Roman" w:hAnsi="Times New Roman"/>
          <w:sz w:val="16"/>
          <w:szCs w:val="16"/>
          <w:color w:val="auto"/>
        </w:rPr>
        <w:t xml:space="preserve"> </w:t>
      </w:r>
      <w:r>
        <w:rPr>
          <w:rFonts w:ascii="Arial" w:cs="Arial" w:eastAsia="Arial" w:hAnsi="Arial"/>
          <w:sz w:val="16"/>
          <w:szCs w:val="16"/>
          <w:color w:val="auto"/>
        </w:rPr>
        <w:t>Chief Compliance &amp; Privacy Officer and Director, Enterprise Risk Management, and including, among others, our CEO, CFO and at least one independent member of the Board.</w:t>
      </w:r>
    </w:p>
    <w:p>
      <w:pPr>
        <w:spacing w:after="0" w:line="308" w:lineRule="exact"/>
        <w:rPr>
          <w:sz w:val="20"/>
          <w:szCs w:val="20"/>
          <w:color w:val="auto"/>
        </w:rPr>
      </w:pPr>
    </w:p>
    <w:p>
      <w:pPr>
        <w:ind w:right="200" w:firstLine="440"/>
        <w:spacing w:after="0" w:line="244" w:lineRule="auto"/>
        <w:rPr>
          <w:sz w:val="20"/>
          <w:szCs w:val="20"/>
          <w:color w:val="auto"/>
        </w:rPr>
      </w:pPr>
      <w:r>
        <w:rPr>
          <w:rFonts w:ascii="Arial" w:cs="Arial" w:eastAsia="Arial" w:hAnsi="Arial"/>
          <w:sz w:val="18"/>
          <w:szCs w:val="18"/>
          <w:color w:val="auto"/>
        </w:rPr>
        <w:t>Both our Board and our Board committees receive periodic and incidental reports as matters may arise directly from our Chief Compliance and Privacy Officer, our General Counsel, and our accounting personnel overseeing our internal audit function. Our Chief Compliance and Privacy Officer reports to our President, Markets, and our General Counsel reports to our Chief Executive Officer. Such reports include information regarding potential violations of our Code of Conduct, our ethics hotline activity and other complaints we may receive regarding potential ethics violations or our financial controls, accounting and other auditing matters.</w:t>
      </w:r>
    </w:p>
    <w:p>
      <w:pPr>
        <w:spacing w:after="0" w:line="176" w:lineRule="exact"/>
        <w:rPr>
          <w:sz w:val="20"/>
          <w:szCs w:val="20"/>
          <w:color w:val="auto"/>
        </w:rPr>
      </w:pPr>
    </w:p>
    <w:p>
      <w:pPr>
        <w:ind w:right="40" w:firstLine="440"/>
        <w:spacing w:after="0" w:line="247" w:lineRule="auto"/>
        <w:rPr>
          <w:sz w:val="20"/>
          <w:szCs w:val="20"/>
          <w:color w:val="auto"/>
        </w:rPr>
      </w:pPr>
      <w:r>
        <w:rPr>
          <w:rFonts w:ascii="Arial" w:cs="Arial" w:eastAsia="Arial" w:hAnsi="Arial"/>
          <w:sz w:val="18"/>
          <w:szCs w:val="18"/>
          <w:color w:val="auto"/>
        </w:rPr>
        <w:t>Our approach to risk oversight takes into account the immediacy of the risk assessed and its potential severity. Management and our committee chairs are responsible for promptly reporting findings regarding material risk exposures to the Board. Our Board, with leadership from the NCGCC, assesses, at least annually, our committee structure and the appropriateness of delegation of particular areas of risk oversight to such committees.</w:t>
      </w:r>
    </w:p>
    <w:p>
      <w:pPr>
        <w:spacing w:after="0" w:line="174" w:lineRule="exact"/>
        <w:rPr>
          <w:sz w:val="20"/>
          <w:szCs w:val="20"/>
          <w:color w:val="auto"/>
        </w:rPr>
      </w:pPr>
    </w:p>
    <w:p>
      <w:pPr>
        <w:ind w:right="420" w:firstLine="440"/>
        <w:spacing w:after="0" w:line="275" w:lineRule="auto"/>
        <w:rPr>
          <w:sz w:val="20"/>
          <w:szCs w:val="20"/>
          <w:color w:val="auto"/>
        </w:rPr>
      </w:pPr>
      <w:r>
        <w:rPr>
          <w:rFonts w:ascii="Arial" w:cs="Arial" w:eastAsia="Arial" w:hAnsi="Arial"/>
          <w:sz w:val="17"/>
          <w:szCs w:val="17"/>
          <w:color w:val="auto"/>
        </w:rPr>
        <w:t>The Company’s risk oversight process is also integrated into the Company’s disclosure controls and procedures, including risk disclosures contained within our Annual Report on Form 10-K. The Company utilizes a cross-functional enterprise team to review and draft the Company’s disclosures, including a Disclosure Committee that provides reports to executive management and the Board.</w:t>
      </w:r>
    </w:p>
    <w:p>
      <w:pPr>
        <w:spacing w:after="0" w:line="152" w:lineRule="exact"/>
        <w:rPr>
          <w:sz w:val="20"/>
          <w:szCs w:val="20"/>
          <w:color w:val="auto"/>
        </w:rPr>
      </w:pPr>
    </w:p>
    <w:p>
      <w:pPr>
        <w:ind w:right="140" w:firstLine="440"/>
        <w:spacing w:after="0" w:line="247" w:lineRule="auto"/>
        <w:rPr>
          <w:sz w:val="20"/>
          <w:szCs w:val="20"/>
          <w:color w:val="auto"/>
        </w:rPr>
      </w:pPr>
      <w:r>
        <w:rPr>
          <w:rFonts w:ascii="Arial" w:cs="Arial" w:eastAsia="Arial" w:hAnsi="Arial"/>
          <w:sz w:val="18"/>
          <w:szCs w:val="18"/>
          <w:color w:val="auto"/>
        </w:rPr>
        <w:t>Management and the Board and Board Committees engage outside advisors where appropriate to assist in the identification, oversight, evaluation and management of the risks facing the Company. These outside advisors include the Company’s independent registered public accounting firm, external legal counsel and insurance providers, and the independent compensation consultant retained by the Compensation Committee.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20"/>
          </w:cols>
          <w:pgMar w:left="440" w:top="295" w:right="4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Board Committees</w:t>
      </w:r>
    </w:p>
    <w:p>
      <w:pPr>
        <w:spacing w:after="0" w:line="104" w:lineRule="exact"/>
        <w:rPr>
          <w:sz w:val="20"/>
          <w:szCs w:val="20"/>
          <w:color w:val="auto"/>
        </w:rPr>
      </w:pPr>
    </w:p>
    <w:p>
      <w:pPr>
        <w:ind w:right="300" w:firstLine="440"/>
        <w:spacing w:after="0" w:line="271" w:lineRule="auto"/>
        <w:rPr>
          <w:sz w:val="20"/>
          <w:szCs w:val="20"/>
          <w:color w:val="auto"/>
        </w:rPr>
      </w:pPr>
      <w:r>
        <w:rPr>
          <w:rFonts w:ascii="Arial" w:cs="Arial" w:eastAsia="Arial" w:hAnsi="Arial"/>
          <w:sz w:val="18"/>
          <w:szCs w:val="18"/>
          <w:color w:val="auto"/>
        </w:rPr>
        <w:t>The composition, duties and responsibilities of our committees are as set forth below. In the future, our Board may establish other committees, as it deems appropriate, to assist it with its responsibilities.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360" w:type="dxa"/>
            <w:vAlign w:val="bottom"/>
            <w:vMerge w:val="restart"/>
          </w:tcPr>
          <w:p>
            <w:pPr>
              <w:jc w:val="center"/>
              <w:ind w:left="519"/>
              <w:spacing w:after="0"/>
              <w:rPr>
                <w:sz w:val="20"/>
                <w:szCs w:val="20"/>
                <w:color w:val="auto"/>
              </w:rPr>
            </w:pPr>
            <w:r>
              <w:rPr>
                <w:rFonts w:ascii="Arial" w:cs="Arial" w:eastAsia="Arial" w:hAnsi="Arial"/>
                <w:sz w:val="16"/>
                <w:szCs w:val="16"/>
                <w:b w:val="1"/>
                <w:bCs w:val="1"/>
                <w:color w:val="auto"/>
              </w:rPr>
              <w:t>Compensation</w:t>
            </w:r>
          </w:p>
        </w:tc>
        <w:tc>
          <w:tcPr>
            <w:tcW w:w="520" w:type="dxa"/>
            <w:vAlign w:val="bottom"/>
          </w:tcPr>
          <w:p>
            <w:pPr>
              <w:spacing w:after="0"/>
              <w:rPr>
                <w:sz w:val="16"/>
                <w:szCs w:val="16"/>
                <w:color w:val="auto"/>
              </w:rPr>
            </w:pPr>
          </w:p>
        </w:tc>
        <w:tc>
          <w:tcPr>
            <w:tcW w:w="2720" w:type="dxa"/>
            <w:vAlign w:val="bottom"/>
          </w:tcPr>
          <w:p>
            <w:pPr>
              <w:jc w:val="center"/>
              <w:spacing w:after="0"/>
              <w:rPr>
                <w:sz w:val="20"/>
                <w:szCs w:val="20"/>
                <w:color w:val="auto"/>
              </w:rPr>
            </w:pPr>
            <w:r>
              <w:rPr>
                <w:rFonts w:ascii="Arial" w:cs="Arial" w:eastAsia="Arial" w:hAnsi="Arial"/>
                <w:sz w:val="16"/>
                <w:szCs w:val="16"/>
                <w:b w:val="1"/>
                <w:bCs w:val="1"/>
                <w:color w:val="auto"/>
              </w:rPr>
              <w:t>Nominating, Corporate</w:t>
            </w:r>
          </w:p>
        </w:tc>
        <w:tc>
          <w:tcPr>
            <w:tcW w:w="0" w:type="dxa"/>
            <w:vAlign w:val="bottom"/>
          </w:tcPr>
          <w:p>
            <w:pPr>
              <w:spacing w:after="0"/>
              <w:rPr>
                <w:sz w:val="1"/>
                <w:szCs w:val="1"/>
                <w:color w:val="auto"/>
              </w:rPr>
            </w:pPr>
          </w:p>
        </w:tc>
      </w:tr>
      <w:tr>
        <w:trPr>
          <w:trHeight w:val="176"/>
        </w:trPr>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272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Governance &amp;</w:t>
            </w:r>
          </w:p>
        </w:tc>
        <w:tc>
          <w:tcPr>
            <w:tcW w:w="0" w:type="dxa"/>
            <w:vAlign w:val="bottom"/>
          </w:tcPr>
          <w:p>
            <w:pPr>
              <w:spacing w:after="0"/>
              <w:rPr>
                <w:sz w:val="1"/>
                <w:szCs w:val="1"/>
                <w:color w:val="auto"/>
              </w:rPr>
            </w:pPr>
          </w:p>
        </w:tc>
      </w:tr>
      <w:tr>
        <w:trPr>
          <w:trHeight w:val="224"/>
        </w:trPr>
        <w:tc>
          <w:tcPr>
            <w:tcW w:w="100" w:type="dxa"/>
            <w:vAlign w:val="bottom"/>
            <w:tcBorders>
              <w:bottom w:val="single" w:sz="8" w:color="1F497D"/>
            </w:tcBorders>
          </w:tcPr>
          <w:p>
            <w:pPr>
              <w:spacing w:after="0"/>
              <w:rPr>
                <w:sz w:val="20"/>
                <w:szCs w:val="20"/>
                <w:color w:val="auto"/>
              </w:rPr>
            </w:pPr>
            <w:r>
              <w:rPr>
                <w:rFonts w:ascii="Arial" w:cs="Arial" w:eastAsia="Arial" w:hAnsi="Arial"/>
                <w:sz w:val="11"/>
                <w:szCs w:val="11"/>
                <w:b w:val="1"/>
                <w:bCs w:val="1"/>
                <w:color w:val="auto"/>
                <w:w w:val="72"/>
              </w:rPr>
              <w:t> </w:t>
            </w:r>
          </w:p>
        </w:tc>
        <w:tc>
          <w:tcPr>
            <w:tcW w:w="1220" w:type="dxa"/>
            <w:vAlign w:val="bottom"/>
            <w:tcBorders>
              <w:bottom w:val="single" w:sz="8" w:color="1F497D"/>
            </w:tcBorders>
          </w:tcPr>
          <w:p>
            <w:pPr>
              <w:ind w:left="60"/>
              <w:spacing w:after="0"/>
              <w:rPr>
                <w:sz w:val="20"/>
                <w:szCs w:val="20"/>
                <w:color w:val="auto"/>
              </w:rPr>
            </w:pPr>
            <w:r>
              <w:rPr>
                <w:rFonts w:ascii="Arial" w:cs="Arial" w:eastAsia="Arial" w:hAnsi="Arial"/>
                <w:sz w:val="16"/>
                <w:szCs w:val="16"/>
                <w:b w:val="1"/>
                <w:bCs w:val="1"/>
                <w:color w:val="auto"/>
              </w:rPr>
              <w:t>Board Member</w:t>
            </w:r>
          </w:p>
        </w:tc>
        <w:tc>
          <w:tcPr>
            <w:tcW w:w="1240" w:type="dxa"/>
            <w:vAlign w:val="bottom"/>
            <w:tcBorders>
              <w:bottom w:val="single" w:sz="8" w:color="1F497D"/>
            </w:tcBorders>
          </w:tcPr>
          <w:p>
            <w:pPr>
              <w:spacing w:after="0"/>
              <w:rPr>
                <w:sz w:val="19"/>
                <w:szCs w:val="19"/>
                <w:color w:val="auto"/>
              </w:rPr>
            </w:pPr>
          </w:p>
        </w:tc>
        <w:tc>
          <w:tcPr>
            <w:tcW w:w="760" w:type="dxa"/>
            <w:vAlign w:val="bottom"/>
            <w:tcBorders>
              <w:bottom w:val="single" w:sz="8" w:color="1F497D"/>
            </w:tcBorders>
          </w:tcPr>
          <w:p>
            <w:pPr>
              <w:spacing w:after="0"/>
              <w:rPr>
                <w:sz w:val="19"/>
                <w:szCs w:val="19"/>
                <w:color w:val="auto"/>
              </w:rPr>
            </w:pPr>
          </w:p>
        </w:tc>
        <w:tc>
          <w:tcPr>
            <w:tcW w:w="1400" w:type="dxa"/>
            <w:vAlign w:val="bottom"/>
            <w:tcBorders>
              <w:bottom w:val="single" w:sz="8" w:color="1F497D"/>
            </w:tcBorders>
          </w:tcPr>
          <w:p>
            <w:pPr>
              <w:jc w:val="center"/>
              <w:spacing w:after="0"/>
              <w:rPr>
                <w:sz w:val="20"/>
                <w:szCs w:val="20"/>
                <w:color w:val="auto"/>
              </w:rPr>
            </w:pPr>
            <w:r>
              <w:rPr>
                <w:rFonts w:ascii="Arial" w:cs="Arial" w:eastAsia="Arial" w:hAnsi="Arial"/>
                <w:sz w:val="16"/>
                <w:szCs w:val="16"/>
                <w:b w:val="1"/>
                <w:bCs w:val="1"/>
                <w:color w:val="auto"/>
              </w:rPr>
              <w:t>Audit Committee</w:t>
            </w:r>
          </w:p>
        </w:tc>
        <w:tc>
          <w:tcPr>
            <w:tcW w:w="700" w:type="dxa"/>
            <w:vAlign w:val="bottom"/>
            <w:tcBorders>
              <w:bottom w:val="single" w:sz="8" w:color="1F497D"/>
            </w:tcBorders>
          </w:tcPr>
          <w:p>
            <w:pPr>
              <w:spacing w:after="0"/>
              <w:rPr>
                <w:sz w:val="19"/>
                <w:szCs w:val="19"/>
                <w:color w:val="auto"/>
              </w:rPr>
            </w:pPr>
          </w:p>
        </w:tc>
        <w:tc>
          <w:tcPr>
            <w:tcW w:w="2360" w:type="dxa"/>
            <w:vAlign w:val="bottom"/>
            <w:tcBorders>
              <w:bottom w:val="single" w:sz="8" w:color="1F497D"/>
            </w:tcBorders>
          </w:tcPr>
          <w:p>
            <w:pPr>
              <w:jc w:val="center"/>
              <w:ind w:left="519"/>
              <w:spacing w:after="0"/>
              <w:rPr>
                <w:sz w:val="20"/>
                <w:szCs w:val="20"/>
                <w:color w:val="auto"/>
              </w:rPr>
            </w:pPr>
            <w:r>
              <w:rPr>
                <w:rFonts w:ascii="Arial" w:cs="Arial" w:eastAsia="Arial" w:hAnsi="Arial"/>
                <w:sz w:val="16"/>
                <w:szCs w:val="16"/>
                <w:b w:val="1"/>
                <w:bCs w:val="1"/>
                <w:color w:val="auto"/>
              </w:rPr>
              <w:t>Committee</w:t>
            </w:r>
          </w:p>
        </w:tc>
        <w:tc>
          <w:tcPr>
            <w:tcW w:w="520" w:type="dxa"/>
            <w:vAlign w:val="bottom"/>
            <w:tcBorders>
              <w:bottom w:val="single" w:sz="8" w:color="1F497D"/>
            </w:tcBorders>
          </w:tcPr>
          <w:p>
            <w:pPr>
              <w:spacing w:after="0"/>
              <w:rPr>
                <w:sz w:val="19"/>
                <w:szCs w:val="19"/>
                <w:color w:val="auto"/>
              </w:rPr>
            </w:pPr>
          </w:p>
        </w:tc>
        <w:tc>
          <w:tcPr>
            <w:tcW w:w="2720" w:type="dxa"/>
            <w:vAlign w:val="bottom"/>
            <w:tcBorders>
              <w:bottom w:val="single" w:sz="8" w:color="1F497D"/>
            </w:tcBorders>
          </w:tcPr>
          <w:p>
            <w:pPr>
              <w:jc w:val="center"/>
              <w:spacing w:after="0"/>
              <w:rPr>
                <w:sz w:val="20"/>
                <w:szCs w:val="20"/>
                <w:color w:val="auto"/>
              </w:rPr>
            </w:pPr>
            <w:r>
              <w:rPr>
                <w:rFonts w:ascii="Arial" w:cs="Arial" w:eastAsia="Arial" w:hAnsi="Arial"/>
                <w:sz w:val="16"/>
                <w:szCs w:val="16"/>
                <w:b w:val="1"/>
                <w:bCs w:val="1"/>
                <w:color w:val="auto"/>
              </w:rPr>
              <w:t>Compliance Committee</w:t>
            </w:r>
          </w:p>
        </w:tc>
        <w:tc>
          <w:tcPr>
            <w:tcW w:w="0" w:type="dxa"/>
            <w:vAlign w:val="bottom"/>
          </w:tcPr>
          <w:p>
            <w:pPr>
              <w:spacing w:after="0"/>
              <w:rPr>
                <w:sz w:val="1"/>
                <w:szCs w:val="1"/>
                <w:color w:val="auto"/>
              </w:rPr>
            </w:pPr>
          </w:p>
        </w:tc>
      </w:tr>
      <w:tr>
        <w:trPr>
          <w:trHeight w:val="189"/>
        </w:trPr>
        <w:tc>
          <w:tcPr>
            <w:tcW w:w="100" w:type="dxa"/>
            <w:vAlign w:val="bottom"/>
            <w:tcBorders>
              <w:bottom w:val="single" w:sz="8" w:color="1F497D"/>
            </w:tcBorders>
            <w:shd w:val="clear" w:color="auto" w:fill="DBE5F1"/>
          </w:tcPr>
          <w:p>
            <w:pPr>
              <w:spacing w:after="0"/>
              <w:rPr>
                <w:sz w:val="16"/>
                <w:szCs w:val="16"/>
                <w:color w:val="auto"/>
              </w:rPr>
            </w:pPr>
          </w:p>
        </w:tc>
        <w:tc>
          <w:tcPr>
            <w:tcW w:w="1220" w:type="dxa"/>
            <w:vAlign w:val="bottom"/>
            <w:tcBorders>
              <w:bottom w:val="single" w:sz="8" w:color="1F497D"/>
            </w:tcBorders>
            <w:shd w:val="clear" w:color="auto" w:fill="DBE5F1"/>
          </w:tcPr>
          <w:p>
            <w:pPr>
              <w:ind w:left="40"/>
              <w:spacing w:after="0"/>
              <w:rPr>
                <w:sz w:val="20"/>
                <w:szCs w:val="20"/>
                <w:color w:val="auto"/>
              </w:rPr>
            </w:pPr>
            <w:r>
              <w:rPr>
                <w:rFonts w:ascii="Arial" w:cs="Arial" w:eastAsia="Arial" w:hAnsi="Arial"/>
                <w:sz w:val="16"/>
                <w:szCs w:val="16"/>
                <w:color w:val="auto"/>
              </w:rPr>
              <w:t>Jody Bilney</w:t>
            </w:r>
          </w:p>
        </w:tc>
        <w:tc>
          <w:tcPr>
            <w:tcW w:w="1240" w:type="dxa"/>
            <w:vAlign w:val="bottom"/>
            <w:tcBorders>
              <w:bottom w:val="single" w:sz="8" w:color="1F497D"/>
              <w:right w:val="single" w:sz="8" w:color="1F497D"/>
            </w:tcBorders>
            <w:shd w:val="clear" w:color="auto" w:fill="DBE5F1"/>
          </w:tcPr>
          <w:p>
            <w:pPr>
              <w:spacing w:after="0"/>
              <w:rPr>
                <w:sz w:val="16"/>
                <w:szCs w:val="16"/>
                <w:color w:val="auto"/>
              </w:rPr>
            </w:pPr>
          </w:p>
        </w:tc>
        <w:tc>
          <w:tcPr>
            <w:tcW w:w="760" w:type="dxa"/>
            <w:vAlign w:val="bottom"/>
            <w:tcBorders>
              <w:bottom w:val="single" w:sz="8" w:color="1F497D"/>
            </w:tcBorders>
            <w:shd w:val="clear" w:color="auto" w:fill="DBE5F1"/>
          </w:tcPr>
          <w:p>
            <w:pPr>
              <w:spacing w:after="0"/>
              <w:rPr>
                <w:sz w:val="16"/>
                <w:szCs w:val="16"/>
                <w:color w:val="auto"/>
              </w:rPr>
            </w:pPr>
          </w:p>
        </w:tc>
        <w:tc>
          <w:tcPr>
            <w:tcW w:w="1400" w:type="dxa"/>
            <w:vAlign w:val="bottom"/>
            <w:tcBorders>
              <w:bottom w:val="single" w:sz="8" w:color="1F497D"/>
            </w:tcBorders>
            <w:shd w:val="clear" w:color="auto" w:fill="DBE5F1"/>
          </w:tcPr>
          <w:p>
            <w:pPr>
              <w:spacing w:after="0"/>
              <w:rPr>
                <w:sz w:val="16"/>
                <w:szCs w:val="16"/>
                <w:color w:val="auto"/>
              </w:rPr>
            </w:pPr>
          </w:p>
        </w:tc>
        <w:tc>
          <w:tcPr>
            <w:tcW w:w="700" w:type="dxa"/>
            <w:vAlign w:val="bottom"/>
            <w:tcBorders>
              <w:bottom w:val="single" w:sz="8" w:color="1F497D"/>
              <w:right w:val="single" w:sz="8" w:color="1F497D"/>
            </w:tcBorders>
            <w:shd w:val="clear" w:color="auto" w:fill="DBE5F1"/>
          </w:tcPr>
          <w:p>
            <w:pPr>
              <w:spacing w:after="0"/>
              <w:rPr>
                <w:sz w:val="16"/>
                <w:szCs w:val="16"/>
                <w:color w:val="auto"/>
              </w:rPr>
            </w:pPr>
          </w:p>
        </w:tc>
        <w:tc>
          <w:tcPr>
            <w:tcW w:w="2360" w:type="dxa"/>
            <w:vAlign w:val="bottom"/>
            <w:tcBorders>
              <w:bottom w:val="single" w:sz="8" w:color="1F497D"/>
            </w:tcBorders>
            <w:shd w:val="clear" w:color="auto" w:fill="DBE5F1"/>
          </w:tcPr>
          <w:p>
            <w:pPr>
              <w:spacing w:after="0"/>
              <w:rPr>
                <w:sz w:val="16"/>
                <w:szCs w:val="16"/>
                <w:color w:val="auto"/>
              </w:rPr>
            </w:pPr>
          </w:p>
        </w:tc>
        <w:tc>
          <w:tcPr>
            <w:tcW w:w="520" w:type="dxa"/>
            <w:vAlign w:val="bottom"/>
            <w:tcBorders>
              <w:bottom w:val="single" w:sz="8" w:color="1F497D"/>
              <w:right w:val="single" w:sz="8" w:color="1F497D"/>
            </w:tcBorders>
            <w:shd w:val="clear" w:color="auto" w:fill="DBE5F1"/>
          </w:tcPr>
          <w:p>
            <w:pPr>
              <w:spacing w:after="0"/>
              <w:rPr>
                <w:sz w:val="16"/>
                <w:szCs w:val="16"/>
                <w:color w:val="auto"/>
              </w:rPr>
            </w:pPr>
          </w:p>
        </w:tc>
        <w:tc>
          <w:tcPr>
            <w:tcW w:w="2720" w:type="dxa"/>
            <w:vAlign w:val="bottom"/>
            <w:tcBorders>
              <w:bottom w:val="single" w:sz="8" w:color="1F497D"/>
            </w:tcBorders>
            <w:shd w:val="clear" w:color="auto" w:fill="DBE5F1"/>
          </w:tcPr>
          <w:p>
            <w:pPr>
              <w:jc w:val="center"/>
              <w:spacing w:after="0"/>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tcPr>
          <w:p>
            <w:pPr>
              <w:spacing w:after="0"/>
              <w:rPr>
                <w:sz w:val="15"/>
                <w:szCs w:val="15"/>
                <w:color w:val="auto"/>
              </w:rPr>
            </w:pPr>
          </w:p>
        </w:tc>
        <w:tc>
          <w:tcPr>
            <w:tcW w:w="1220" w:type="dxa"/>
            <w:vAlign w:val="bottom"/>
            <w:tcBorders>
              <w:bottom w:val="single" w:sz="8" w:color="1F497D"/>
            </w:tcBorders>
          </w:tcPr>
          <w:p>
            <w:pPr>
              <w:ind w:left="40"/>
              <w:spacing w:after="0" w:line="183" w:lineRule="exact"/>
              <w:rPr>
                <w:sz w:val="20"/>
                <w:szCs w:val="20"/>
                <w:color w:val="auto"/>
              </w:rPr>
            </w:pPr>
            <w:r>
              <w:rPr>
                <w:rFonts w:ascii="Arial" w:cs="Arial" w:eastAsia="Arial" w:hAnsi="Arial"/>
                <w:sz w:val="16"/>
                <w:szCs w:val="16"/>
                <w:color w:val="auto"/>
              </w:rPr>
              <w:t>Thomas Carella</w:t>
            </w:r>
          </w:p>
        </w:tc>
        <w:tc>
          <w:tcPr>
            <w:tcW w:w="1240" w:type="dxa"/>
            <w:vAlign w:val="bottom"/>
            <w:tcBorders>
              <w:bottom w:val="single" w:sz="8" w:color="1F497D"/>
              <w:right w:val="single" w:sz="8" w:color="1F497D"/>
            </w:tcBorders>
          </w:tcPr>
          <w:p>
            <w:pPr>
              <w:spacing w:after="0"/>
              <w:rPr>
                <w:sz w:val="15"/>
                <w:szCs w:val="15"/>
                <w:color w:val="auto"/>
              </w:rPr>
            </w:pPr>
          </w:p>
        </w:tc>
        <w:tc>
          <w:tcPr>
            <w:tcW w:w="760" w:type="dxa"/>
            <w:vAlign w:val="bottom"/>
            <w:tcBorders>
              <w:bottom w:val="single" w:sz="8" w:color="1F497D"/>
            </w:tcBorders>
          </w:tcPr>
          <w:p>
            <w:pPr>
              <w:spacing w:after="0"/>
              <w:rPr>
                <w:sz w:val="15"/>
                <w:szCs w:val="15"/>
                <w:color w:val="auto"/>
              </w:rPr>
            </w:pPr>
          </w:p>
        </w:tc>
        <w:tc>
          <w:tcPr>
            <w:tcW w:w="1400" w:type="dxa"/>
            <w:vAlign w:val="bottom"/>
            <w:tcBorders>
              <w:bottom w:val="single" w:sz="8" w:color="1F497D"/>
            </w:tcBorders>
          </w:tcPr>
          <w:p>
            <w:pPr>
              <w:spacing w:after="0"/>
              <w:rPr>
                <w:sz w:val="15"/>
                <w:szCs w:val="15"/>
                <w:color w:val="auto"/>
              </w:rPr>
            </w:pPr>
          </w:p>
        </w:tc>
        <w:tc>
          <w:tcPr>
            <w:tcW w:w="700" w:type="dxa"/>
            <w:vAlign w:val="bottom"/>
            <w:tcBorders>
              <w:bottom w:val="single" w:sz="8" w:color="1F497D"/>
              <w:right w:val="single" w:sz="8" w:color="1F497D"/>
            </w:tcBorders>
          </w:tcPr>
          <w:p>
            <w:pPr>
              <w:spacing w:after="0"/>
              <w:rPr>
                <w:sz w:val="15"/>
                <w:szCs w:val="15"/>
                <w:color w:val="auto"/>
              </w:rPr>
            </w:pPr>
          </w:p>
        </w:tc>
        <w:tc>
          <w:tcPr>
            <w:tcW w:w="2360" w:type="dxa"/>
            <w:vAlign w:val="bottom"/>
            <w:tcBorders>
              <w:bottom w:val="single" w:sz="8" w:color="1F497D"/>
            </w:tcBorders>
          </w:tcPr>
          <w:p>
            <w:pPr>
              <w:jc w:val="center"/>
              <w:ind w:left="499"/>
              <w:spacing w:after="0" w:line="183" w:lineRule="exact"/>
              <w:rPr>
                <w:sz w:val="20"/>
                <w:szCs w:val="20"/>
                <w:color w:val="auto"/>
              </w:rPr>
            </w:pPr>
            <w:r>
              <w:rPr>
                <w:rFonts w:ascii="Arial" w:cs="Arial" w:eastAsia="Arial" w:hAnsi="Arial"/>
                <w:sz w:val="16"/>
                <w:szCs w:val="16"/>
                <w:color w:val="auto"/>
              </w:rPr>
              <w:t>M</w:t>
            </w:r>
          </w:p>
        </w:tc>
        <w:tc>
          <w:tcPr>
            <w:tcW w:w="520" w:type="dxa"/>
            <w:vAlign w:val="bottom"/>
            <w:tcBorders>
              <w:bottom w:val="single" w:sz="8" w:color="1F497D"/>
              <w:right w:val="single" w:sz="8" w:color="1F497D"/>
            </w:tcBorders>
          </w:tcPr>
          <w:p>
            <w:pPr>
              <w:spacing w:after="0"/>
              <w:rPr>
                <w:sz w:val="15"/>
                <w:szCs w:val="15"/>
                <w:color w:val="auto"/>
              </w:rPr>
            </w:pPr>
          </w:p>
        </w:tc>
        <w:tc>
          <w:tcPr>
            <w:tcW w:w="2720" w:type="dxa"/>
            <w:vAlign w:val="bottom"/>
            <w:tcBorders>
              <w:bottom w:val="single" w:sz="8" w:color="1F497D"/>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shd w:val="clear" w:color="auto" w:fill="DBE5F1"/>
          </w:tcPr>
          <w:p>
            <w:pPr>
              <w:spacing w:after="0"/>
              <w:rPr>
                <w:sz w:val="15"/>
                <w:szCs w:val="15"/>
                <w:color w:val="auto"/>
              </w:rPr>
            </w:pPr>
          </w:p>
        </w:tc>
        <w:tc>
          <w:tcPr>
            <w:tcW w:w="1220" w:type="dxa"/>
            <w:vAlign w:val="bottom"/>
            <w:tcBorders>
              <w:bottom w:val="single" w:sz="8" w:color="1F497D"/>
            </w:tcBorders>
            <w:shd w:val="clear" w:color="auto" w:fill="DBE5F1"/>
          </w:tcPr>
          <w:p>
            <w:pPr>
              <w:ind w:left="40"/>
              <w:spacing w:after="0" w:line="183" w:lineRule="exact"/>
              <w:rPr>
                <w:sz w:val="20"/>
                <w:szCs w:val="20"/>
                <w:color w:val="auto"/>
              </w:rPr>
            </w:pPr>
            <w:r>
              <w:rPr>
                <w:rFonts w:ascii="Arial" w:cs="Arial" w:eastAsia="Arial" w:hAnsi="Arial"/>
                <w:sz w:val="16"/>
                <w:szCs w:val="16"/>
                <w:color w:val="auto"/>
              </w:rPr>
              <w:t>David Hodgson</w:t>
            </w:r>
          </w:p>
        </w:tc>
        <w:tc>
          <w:tcPr>
            <w:tcW w:w="1240" w:type="dxa"/>
            <w:vAlign w:val="bottom"/>
            <w:tcBorders>
              <w:bottom w:val="single" w:sz="8" w:color="1F497D"/>
              <w:right w:val="single" w:sz="8" w:color="1F497D"/>
            </w:tcBorders>
            <w:shd w:val="clear" w:color="auto" w:fill="DBE5F1"/>
          </w:tcPr>
          <w:p>
            <w:pPr>
              <w:spacing w:after="0"/>
              <w:rPr>
                <w:sz w:val="15"/>
                <w:szCs w:val="15"/>
                <w:color w:val="auto"/>
              </w:rPr>
            </w:pPr>
          </w:p>
        </w:tc>
        <w:tc>
          <w:tcPr>
            <w:tcW w:w="760" w:type="dxa"/>
            <w:vAlign w:val="bottom"/>
            <w:tcBorders>
              <w:bottom w:val="single" w:sz="8" w:color="1F497D"/>
            </w:tcBorders>
            <w:shd w:val="clear" w:color="auto" w:fill="DBE5F1"/>
          </w:tcPr>
          <w:p>
            <w:pPr>
              <w:spacing w:after="0"/>
              <w:rPr>
                <w:sz w:val="15"/>
                <w:szCs w:val="15"/>
                <w:color w:val="auto"/>
              </w:rPr>
            </w:pPr>
          </w:p>
        </w:tc>
        <w:tc>
          <w:tcPr>
            <w:tcW w:w="1400" w:type="dxa"/>
            <w:vAlign w:val="bottom"/>
            <w:tcBorders>
              <w:bottom w:val="single" w:sz="8" w:color="1F497D"/>
            </w:tcBorders>
            <w:shd w:val="clear" w:color="auto" w:fill="DBE5F1"/>
          </w:tcPr>
          <w:p>
            <w:pPr>
              <w:spacing w:after="0"/>
              <w:rPr>
                <w:sz w:val="15"/>
                <w:szCs w:val="15"/>
                <w:color w:val="auto"/>
              </w:rPr>
            </w:pPr>
          </w:p>
        </w:tc>
        <w:tc>
          <w:tcPr>
            <w:tcW w:w="700" w:type="dxa"/>
            <w:vAlign w:val="bottom"/>
            <w:tcBorders>
              <w:bottom w:val="single" w:sz="8" w:color="1F497D"/>
              <w:right w:val="single" w:sz="8" w:color="1F497D"/>
            </w:tcBorders>
            <w:shd w:val="clear" w:color="auto" w:fill="DBE5F1"/>
          </w:tcPr>
          <w:p>
            <w:pPr>
              <w:spacing w:after="0"/>
              <w:rPr>
                <w:sz w:val="15"/>
                <w:szCs w:val="15"/>
                <w:color w:val="auto"/>
              </w:rPr>
            </w:pPr>
          </w:p>
        </w:tc>
        <w:tc>
          <w:tcPr>
            <w:tcW w:w="2360" w:type="dxa"/>
            <w:vAlign w:val="bottom"/>
            <w:tcBorders>
              <w:bottom w:val="single" w:sz="8" w:color="1F497D"/>
            </w:tcBorders>
            <w:shd w:val="clear" w:color="auto" w:fill="DBE5F1"/>
          </w:tcPr>
          <w:p>
            <w:pPr>
              <w:spacing w:after="0"/>
              <w:rPr>
                <w:sz w:val="15"/>
                <w:szCs w:val="15"/>
                <w:color w:val="auto"/>
              </w:rPr>
            </w:pPr>
          </w:p>
        </w:tc>
        <w:tc>
          <w:tcPr>
            <w:tcW w:w="520" w:type="dxa"/>
            <w:vAlign w:val="bottom"/>
            <w:tcBorders>
              <w:bottom w:val="single" w:sz="8" w:color="1F497D"/>
              <w:right w:val="single" w:sz="8" w:color="1F497D"/>
            </w:tcBorders>
            <w:shd w:val="clear" w:color="auto" w:fill="DBE5F1"/>
          </w:tcPr>
          <w:p>
            <w:pPr>
              <w:spacing w:after="0"/>
              <w:rPr>
                <w:sz w:val="15"/>
                <w:szCs w:val="15"/>
                <w:color w:val="auto"/>
              </w:rPr>
            </w:pPr>
          </w:p>
        </w:tc>
        <w:tc>
          <w:tcPr>
            <w:tcW w:w="2720" w:type="dxa"/>
            <w:vAlign w:val="bottom"/>
            <w:tcBorders>
              <w:bottom w:val="single" w:sz="8" w:color="1F497D"/>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C</w:t>
            </w: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tcPr>
          <w:p>
            <w:pPr>
              <w:spacing w:after="0"/>
              <w:rPr>
                <w:sz w:val="15"/>
                <w:szCs w:val="15"/>
                <w:color w:val="auto"/>
              </w:rPr>
            </w:pPr>
          </w:p>
        </w:tc>
        <w:tc>
          <w:tcPr>
            <w:tcW w:w="1220" w:type="dxa"/>
            <w:vAlign w:val="bottom"/>
            <w:tcBorders>
              <w:bottom w:val="single" w:sz="8" w:color="1F497D"/>
            </w:tcBorders>
          </w:tcPr>
          <w:p>
            <w:pPr>
              <w:ind w:left="40"/>
              <w:spacing w:after="0" w:line="183" w:lineRule="exact"/>
              <w:rPr>
                <w:sz w:val="20"/>
                <w:szCs w:val="20"/>
                <w:color w:val="auto"/>
              </w:rPr>
            </w:pPr>
            <w:r>
              <w:rPr>
                <w:rFonts w:ascii="Arial" w:cs="Arial" w:eastAsia="Arial" w:hAnsi="Arial"/>
                <w:sz w:val="16"/>
                <w:szCs w:val="16"/>
                <w:color w:val="auto"/>
              </w:rPr>
              <w:t>Yon Jorden</w:t>
            </w:r>
          </w:p>
        </w:tc>
        <w:tc>
          <w:tcPr>
            <w:tcW w:w="1240" w:type="dxa"/>
            <w:vAlign w:val="bottom"/>
            <w:tcBorders>
              <w:bottom w:val="single" w:sz="8" w:color="1F497D"/>
              <w:right w:val="single" w:sz="8" w:color="1F497D"/>
            </w:tcBorders>
          </w:tcPr>
          <w:p>
            <w:pPr>
              <w:spacing w:after="0"/>
              <w:rPr>
                <w:sz w:val="15"/>
                <w:szCs w:val="15"/>
                <w:color w:val="auto"/>
              </w:rPr>
            </w:pPr>
          </w:p>
        </w:tc>
        <w:tc>
          <w:tcPr>
            <w:tcW w:w="760" w:type="dxa"/>
            <w:vAlign w:val="bottom"/>
            <w:tcBorders>
              <w:bottom w:val="single" w:sz="8" w:color="1F497D"/>
            </w:tcBorders>
          </w:tcPr>
          <w:p>
            <w:pPr>
              <w:spacing w:after="0"/>
              <w:rPr>
                <w:sz w:val="15"/>
                <w:szCs w:val="15"/>
                <w:color w:val="auto"/>
              </w:rPr>
            </w:pPr>
          </w:p>
        </w:tc>
        <w:tc>
          <w:tcPr>
            <w:tcW w:w="1400" w:type="dxa"/>
            <w:vAlign w:val="bottom"/>
            <w:tcBorders>
              <w:bottom w:val="single" w:sz="8" w:color="1F497D"/>
            </w:tcBorders>
          </w:tcPr>
          <w:p>
            <w:pPr>
              <w:jc w:val="center"/>
              <w:spacing w:after="0" w:line="183" w:lineRule="exact"/>
              <w:rPr>
                <w:sz w:val="20"/>
                <w:szCs w:val="20"/>
                <w:color w:val="auto"/>
              </w:rPr>
            </w:pPr>
            <w:r>
              <w:rPr>
                <w:rFonts w:ascii="Arial" w:cs="Arial" w:eastAsia="Arial" w:hAnsi="Arial"/>
                <w:sz w:val="16"/>
                <w:szCs w:val="16"/>
                <w:color w:val="auto"/>
                <w:w w:val="98"/>
              </w:rPr>
              <w:t>M#</w:t>
            </w:r>
          </w:p>
        </w:tc>
        <w:tc>
          <w:tcPr>
            <w:tcW w:w="700" w:type="dxa"/>
            <w:vAlign w:val="bottom"/>
            <w:tcBorders>
              <w:bottom w:val="single" w:sz="8" w:color="1F497D"/>
              <w:right w:val="single" w:sz="8" w:color="1F497D"/>
            </w:tcBorders>
          </w:tcPr>
          <w:p>
            <w:pPr>
              <w:spacing w:after="0"/>
              <w:rPr>
                <w:sz w:val="15"/>
                <w:szCs w:val="15"/>
                <w:color w:val="auto"/>
              </w:rPr>
            </w:pPr>
          </w:p>
        </w:tc>
        <w:tc>
          <w:tcPr>
            <w:tcW w:w="2360" w:type="dxa"/>
            <w:vAlign w:val="bottom"/>
            <w:tcBorders>
              <w:bottom w:val="single" w:sz="8" w:color="1F497D"/>
            </w:tcBorders>
          </w:tcPr>
          <w:p>
            <w:pPr>
              <w:spacing w:after="0"/>
              <w:rPr>
                <w:sz w:val="15"/>
                <w:szCs w:val="15"/>
                <w:color w:val="auto"/>
              </w:rPr>
            </w:pPr>
          </w:p>
        </w:tc>
        <w:tc>
          <w:tcPr>
            <w:tcW w:w="520" w:type="dxa"/>
            <w:vAlign w:val="bottom"/>
            <w:tcBorders>
              <w:bottom w:val="single" w:sz="8" w:color="1F497D"/>
              <w:right w:val="single" w:sz="8" w:color="1F497D"/>
            </w:tcBorders>
          </w:tcPr>
          <w:p>
            <w:pPr>
              <w:spacing w:after="0"/>
              <w:rPr>
                <w:sz w:val="15"/>
                <w:szCs w:val="15"/>
                <w:color w:val="auto"/>
              </w:rPr>
            </w:pPr>
          </w:p>
        </w:tc>
        <w:tc>
          <w:tcPr>
            <w:tcW w:w="2720" w:type="dxa"/>
            <w:vAlign w:val="bottom"/>
            <w:tcBorders>
              <w:bottom w:val="single" w:sz="8" w:color="1F497D"/>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shd w:val="clear" w:color="auto" w:fill="DBE5F1"/>
          </w:tcPr>
          <w:p>
            <w:pPr>
              <w:spacing w:after="0"/>
              <w:rPr>
                <w:sz w:val="15"/>
                <w:szCs w:val="15"/>
                <w:color w:val="auto"/>
              </w:rPr>
            </w:pPr>
          </w:p>
        </w:tc>
        <w:tc>
          <w:tcPr>
            <w:tcW w:w="1220" w:type="dxa"/>
            <w:vAlign w:val="bottom"/>
            <w:tcBorders>
              <w:bottom w:val="single" w:sz="8" w:color="1F497D"/>
            </w:tcBorders>
            <w:shd w:val="clear" w:color="auto" w:fill="DBE5F1"/>
          </w:tcPr>
          <w:p>
            <w:pPr>
              <w:ind w:left="40"/>
              <w:spacing w:after="0" w:line="183" w:lineRule="exact"/>
              <w:rPr>
                <w:sz w:val="20"/>
                <w:szCs w:val="20"/>
                <w:color w:val="auto"/>
              </w:rPr>
            </w:pPr>
            <w:r>
              <w:rPr>
                <w:rFonts w:ascii="Arial" w:cs="Arial" w:eastAsia="Arial" w:hAnsi="Arial"/>
                <w:sz w:val="16"/>
                <w:szCs w:val="16"/>
                <w:color w:val="auto"/>
              </w:rPr>
              <w:t>John Kao</w:t>
            </w:r>
          </w:p>
        </w:tc>
        <w:tc>
          <w:tcPr>
            <w:tcW w:w="1240" w:type="dxa"/>
            <w:vAlign w:val="bottom"/>
            <w:tcBorders>
              <w:bottom w:val="single" w:sz="8" w:color="1F497D"/>
              <w:right w:val="single" w:sz="8" w:color="1F497D"/>
            </w:tcBorders>
            <w:shd w:val="clear" w:color="auto" w:fill="DBE5F1"/>
          </w:tcPr>
          <w:p>
            <w:pPr>
              <w:spacing w:after="0"/>
              <w:rPr>
                <w:sz w:val="15"/>
                <w:szCs w:val="15"/>
                <w:color w:val="auto"/>
              </w:rPr>
            </w:pPr>
          </w:p>
        </w:tc>
        <w:tc>
          <w:tcPr>
            <w:tcW w:w="760" w:type="dxa"/>
            <w:vAlign w:val="bottom"/>
            <w:tcBorders>
              <w:bottom w:val="single" w:sz="8" w:color="1F497D"/>
            </w:tcBorders>
            <w:shd w:val="clear" w:color="auto" w:fill="DBE5F1"/>
          </w:tcPr>
          <w:p>
            <w:pPr>
              <w:spacing w:after="0"/>
              <w:rPr>
                <w:sz w:val="15"/>
                <w:szCs w:val="15"/>
                <w:color w:val="auto"/>
              </w:rPr>
            </w:pPr>
          </w:p>
        </w:tc>
        <w:tc>
          <w:tcPr>
            <w:tcW w:w="1400" w:type="dxa"/>
            <w:vAlign w:val="bottom"/>
            <w:tcBorders>
              <w:bottom w:val="single" w:sz="8" w:color="1F497D"/>
            </w:tcBorders>
            <w:shd w:val="clear" w:color="auto" w:fill="DBE5F1"/>
          </w:tcPr>
          <w:p>
            <w:pPr>
              <w:spacing w:after="0"/>
              <w:rPr>
                <w:sz w:val="15"/>
                <w:szCs w:val="15"/>
                <w:color w:val="auto"/>
              </w:rPr>
            </w:pPr>
          </w:p>
        </w:tc>
        <w:tc>
          <w:tcPr>
            <w:tcW w:w="700" w:type="dxa"/>
            <w:vAlign w:val="bottom"/>
            <w:tcBorders>
              <w:bottom w:val="single" w:sz="8" w:color="1F497D"/>
              <w:right w:val="single" w:sz="8" w:color="1F497D"/>
            </w:tcBorders>
            <w:shd w:val="clear" w:color="auto" w:fill="DBE5F1"/>
          </w:tcPr>
          <w:p>
            <w:pPr>
              <w:spacing w:after="0"/>
              <w:rPr>
                <w:sz w:val="15"/>
                <w:szCs w:val="15"/>
                <w:color w:val="auto"/>
              </w:rPr>
            </w:pPr>
          </w:p>
        </w:tc>
        <w:tc>
          <w:tcPr>
            <w:tcW w:w="2360" w:type="dxa"/>
            <w:vAlign w:val="bottom"/>
            <w:tcBorders>
              <w:bottom w:val="single" w:sz="8" w:color="1F497D"/>
            </w:tcBorders>
            <w:shd w:val="clear" w:color="auto" w:fill="DBE5F1"/>
          </w:tcPr>
          <w:p>
            <w:pPr>
              <w:spacing w:after="0"/>
              <w:rPr>
                <w:sz w:val="15"/>
                <w:szCs w:val="15"/>
                <w:color w:val="auto"/>
              </w:rPr>
            </w:pPr>
          </w:p>
        </w:tc>
        <w:tc>
          <w:tcPr>
            <w:tcW w:w="520" w:type="dxa"/>
            <w:vAlign w:val="bottom"/>
            <w:tcBorders>
              <w:bottom w:val="single" w:sz="8" w:color="1F497D"/>
              <w:right w:val="single" w:sz="8" w:color="1F497D"/>
            </w:tcBorders>
            <w:shd w:val="clear" w:color="auto" w:fill="DBE5F1"/>
          </w:tcPr>
          <w:p>
            <w:pPr>
              <w:spacing w:after="0"/>
              <w:rPr>
                <w:sz w:val="15"/>
                <w:szCs w:val="15"/>
                <w:color w:val="auto"/>
              </w:rPr>
            </w:pPr>
          </w:p>
        </w:tc>
        <w:tc>
          <w:tcPr>
            <w:tcW w:w="2720" w:type="dxa"/>
            <w:vAlign w:val="bottom"/>
            <w:tcBorders>
              <w:bottom w:val="single" w:sz="8" w:color="1F497D"/>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tcPr>
          <w:p>
            <w:pPr>
              <w:spacing w:after="0"/>
              <w:rPr>
                <w:sz w:val="15"/>
                <w:szCs w:val="15"/>
                <w:color w:val="auto"/>
              </w:rPr>
            </w:pPr>
          </w:p>
        </w:tc>
        <w:tc>
          <w:tcPr>
            <w:tcW w:w="2460" w:type="dxa"/>
            <w:vAlign w:val="bottom"/>
            <w:tcBorders>
              <w:bottom w:val="single" w:sz="8" w:color="1F497D"/>
              <w:right w:val="single" w:sz="8" w:color="1F497D"/>
            </w:tcBorders>
            <w:gridSpan w:val="2"/>
          </w:tcPr>
          <w:p>
            <w:pPr>
              <w:ind w:left="40"/>
              <w:spacing w:after="0" w:line="183" w:lineRule="exact"/>
              <w:rPr>
                <w:sz w:val="20"/>
                <w:szCs w:val="20"/>
                <w:color w:val="auto"/>
              </w:rPr>
            </w:pPr>
            <w:r>
              <w:rPr>
                <w:rFonts w:ascii="Arial" w:cs="Arial" w:eastAsia="Arial" w:hAnsi="Arial"/>
                <w:sz w:val="16"/>
                <w:szCs w:val="16"/>
                <w:color w:val="auto"/>
              </w:rPr>
              <w:t>Joseph Konowiecki</w:t>
            </w:r>
          </w:p>
        </w:tc>
        <w:tc>
          <w:tcPr>
            <w:tcW w:w="760" w:type="dxa"/>
            <w:vAlign w:val="bottom"/>
            <w:tcBorders>
              <w:bottom w:val="single" w:sz="8" w:color="1F497D"/>
            </w:tcBorders>
          </w:tcPr>
          <w:p>
            <w:pPr>
              <w:spacing w:after="0"/>
              <w:rPr>
                <w:sz w:val="15"/>
                <w:szCs w:val="15"/>
                <w:color w:val="auto"/>
              </w:rPr>
            </w:pPr>
          </w:p>
        </w:tc>
        <w:tc>
          <w:tcPr>
            <w:tcW w:w="1400" w:type="dxa"/>
            <w:vAlign w:val="bottom"/>
            <w:tcBorders>
              <w:bottom w:val="single" w:sz="8" w:color="1F497D"/>
            </w:tcBorders>
          </w:tcPr>
          <w:p>
            <w:pPr>
              <w:spacing w:after="0"/>
              <w:rPr>
                <w:sz w:val="15"/>
                <w:szCs w:val="15"/>
                <w:color w:val="auto"/>
              </w:rPr>
            </w:pPr>
          </w:p>
        </w:tc>
        <w:tc>
          <w:tcPr>
            <w:tcW w:w="700" w:type="dxa"/>
            <w:vAlign w:val="bottom"/>
            <w:tcBorders>
              <w:bottom w:val="single" w:sz="8" w:color="1F497D"/>
              <w:right w:val="single" w:sz="8" w:color="1F497D"/>
            </w:tcBorders>
          </w:tcPr>
          <w:p>
            <w:pPr>
              <w:spacing w:after="0"/>
              <w:rPr>
                <w:sz w:val="15"/>
                <w:szCs w:val="15"/>
                <w:color w:val="auto"/>
              </w:rPr>
            </w:pPr>
          </w:p>
        </w:tc>
        <w:tc>
          <w:tcPr>
            <w:tcW w:w="2360" w:type="dxa"/>
            <w:vAlign w:val="bottom"/>
            <w:tcBorders>
              <w:bottom w:val="single" w:sz="8" w:color="1F497D"/>
            </w:tcBorders>
          </w:tcPr>
          <w:p>
            <w:pPr>
              <w:spacing w:after="0"/>
              <w:rPr>
                <w:sz w:val="15"/>
                <w:szCs w:val="15"/>
                <w:color w:val="auto"/>
              </w:rPr>
            </w:pPr>
          </w:p>
        </w:tc>
        <w:tc>
          <w:tcPr>
            <w:tcW w:w="520" w:type="dxa"/>
            <w:vAlign w:val="bottom"/>
            <w:tcBorders>
              <w:bottom w:val="single" w:sz="8" w:color="1F497D"/>
              <w:right w:val="single" w:sz="8" w:color="1F497D"/>
            </w:tcBorders>
          </w:tcPr>
          <w:p>
            <w:pPr>
              <w:spacing w:after="0"/>
              <w:rPr>
                <w:sz w:val="15"/>
                <w:szCs w:val="15"/>
                <w:color w:val="auto"/>
              </w:rPr>
            </w:pPr>
          </w:p>
        </w:tc>
        <w:tc>
          <w:tcPr>
            <w:tcW w:w="2720" w:type="dxa"/>
            <w:vAlign w:val="bottom"/>
            <w:tcBorders>
              <w:bottom w:val="single" w:sz="8" w:color="1F497D"/>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shd w:val="clear" w:color="auto" w:fill="DBE5F1"/>
          </w:tcPr>
          <w:p>
            <w:pPr>
              <w:spacing w:after="0"/>
              <w:rPr>
                <w:sz w:val="15"/>
                <w:szCs w:val="15"/>
                <w:color w:val="auto"/>
              </w:rPr>
            </w:pPr>
          </w:p>
        </w:tc>
        <w:tc>
          <w:tcPr>
            <w:tcW w:w="2460" w:type="dxa"/>
            <w:vAlign w:val="bottom"/>
            <w:tcBorders>
              <w:bottom w:val="single" w:sz="8" w:color="1F497D"/>
              <w:right w:val="single" w:sz="8" w:color="1F497D"/>
            </w:tcBorders>
            <w:gridSpan w:val="2"/>
            <w:shd w:val="clear" w:color="auto" w:fill="DBE5F1"/>
          </w:tcPr>
          <w:p>
            <w:pPr>
              <w:ind w:left="40"/>
              <w:spacing w:after="0" w:line="183" w:lineRule="exact"/>
              <w:rPr>
                <w:sz w:val="20"/>
                <w:szCs w:val="20"/>
                <w:color w:val="auto"/>
              </w:rPr>
            </w:pPr>
            <w:r>
              <w:rPr>
                <w:rFonts w:ascii="Arial" w:cs="Arial" w:eastAsia="Arial" w:hAnsi="Arial"/>
                <w:sz w:val="16"/>
                <w:szCs w:val="16"/>
                <w:color w:val="auto"/>
              </w:rPr>
              <w:t>Jacqueline Kosecoff</w:t>
            </w:r>
          </w:p>
        </w:tc>
        <w:tc>
          <w:tcPr>
            <w:tcW w:w="760" w:type="dxa"/>
            <w:vAlign w:val="bottom"/>
            <w:tcBorders>
              <w:bottom w:val="single" w:sz="8" w:color="1F497D"/>
            </w:tcBorders>
            <w:shd w:val="clear" w:color="auto" w:fill="DBE5F1"/>
          </w:tcPr>
          <w:p>
            <w:pPr>
              <w:spacing w:after="0"/>
              <w:rPr>
                <w:sz w:val="15"/>
                <w:szCs w:val="15"/>
                <w:color w:val="auto"/>
              </w:rPr>
            </w:pPr>
          </w:p>
        </w:tc>
        <w:tc>
          <w:tcPr>
            <w:tcW w:w="1400" w:type="dxa"/>
            <w:vAlign w:val="bottom"/>
            <w:tcBorders>
              <w:bottom w:val="single" w:sz="8" w:color="1F497D"/>
            </w:tcBorders>
            <w:shd w:val="clear" w:color="auto" w:fill="DBE5F1"/>
          </w:tcPr>
          <w:p>
            <w:pPr>
              <w:spacing w:after="0"/>
              <w:rPr>
                <w:sz w:val="15"/>
                <w:szCs w:val="15"/>
                <w:color w:val="auto"/>
              </w:rPr>
            </w:pPr>
          </w:p>
        </w:tc>
        <w:tc>
          <w:tcPr>
            <w:tcW w:w="700" w:type="dxa"/>
            <w:vAlign w:val="bottom"/>
            <w:tcBorders>
              <w:bottom w:val="single" w:sz="8" w:color="1F497D"/>
              <w:right w:val="single" w:sz="8" w:color="1F497D"/>
            </w:tcBorders>
            <w:shd w:val="clear" w:color="auto" w:fill="DBE5F1"/>
          </w:tcPr>
          <w:p>
            <w:pPr>
              <w:spacing w:after="0"/>
              <w:rPr>
                <w:sz w:val="15"/>
                <w:szCs w:val="15"/>
                <w:color w:val="auto"/>
              </w:rPr>
            </w:pPr>
          </w:p>
        </w:tc>
        <w:tc>
          <w:tcPr>
            <w:tcW w:w="2360" w:type="dxa"/>
            <w:vAlign w:val="bottom"/>
            <w:tcBorders>
              <w:bottom w:val="single" w:sz="8" w:color="1F497D"/>
            </w:tcBorders>
            <w:shd w:val="clear" w:color="auto" w:fill="DBE5F1"/>
          </w:tcPr>
          <w:p>
            <w:pPr>
              <w:jc w:val="center"/>
              <w:ind w:left="499"/>
              <w:spacing w:after="0" w:line="183" w:lineRule="exact"/>
              <w:rPr>
                <w:sz w:val="20"/>
                <w:szCs w:val="20"/>
                <w:color w:val="auto"/>
              </w:rPr>
            </w:pPr>
            <w:r>
              <w:rPr>
                <w:rFonts w:ascii="Arial" w:cs="Arial" w:eastAsia="Arial" w:hAnsi="Arial"/>
                <w:sz w:val="16"/>
                <w:szCs w:val="16"/>
                <w:color w:val="auto"/>
              </w:rPr>
              <w:t>M</w:t>
            </w:r>
          </w:p>
        </w:tc>
        <w:tc>
          <w:tcPr>
            <w:tcW w:w="520" w:type="dxa"/>
            <w:vAlign w:val="bottom"/>
            <w:tcBorders>
              <w:bottom w:val="single" w:sz="8" w:color="1F497D"/>
              <w:right w:val="single" w:sz="8" w:color="1F497D"/>
            </w:tcBorders>
            <w:shd w:val="clear" w:color="auto" w:fill="DBE5F1"/>
          </w:tcPr>
          <w:p>
            <w:pPr>
              <w:spacing w:after="0"/>
              <w:rPr>
                <w:sz w:val="15"/>
                <w:szCs w:val="15"/>
                <w:color w:val="auto"/>
              </w:rPr>
            </w:pPr>
          </w:p>
        </w:tc>
        <w:tc>
          <w:tcPr>
            <w:tcW w:w="2720" w:type="dxa"/>
            <w:vAlign w:val="bottom"/>
            <w:tcBorders>
              <w:bottom w:val="single" w:sz="8" w:color="1F497D"/>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M</w:t>
            </w: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tcPr>
          <w:p>
            <w:pPr>
              <w:spacing w:after="0"/>
              <w:rPr>
                <w:sz w:val="15"/>
                <w:szCs w:val="15"/>
                <w:color w:val="auto"/>
              </w:rPr>
            </w:pPr>
          </w:p>
        </w:tc>
        <w:tc>
          <w:tcPr>
            <w:tcW w:w="1220" w:type="dxa"/>
            <w:vAlign w:val="bottom"/>
            <w:tcBorders>
              <w:bottom w:val="single" w:sz="8" w:color="1F497D"/>
            </w:tcBorders>
          </w:tcPr>
          <w:p>
            <w:pPr>
              <w:ind w:left="40"/>
              <w:spacing w:after="0" w:line="183" w:lineRule="exact"/>
              <w:rPr>
                <w:sz w:val="20"/>
                <w:szCs w:val="20"/>
                <w:color w:val="auto"/>
              </w:rPr>
            </w:pPr>
            <w:r>
              <w:rPr>
                <w:rFonts w:ascii="Arial" w:cs="Arial" w:eastAsia="Arial" w:hAnsi="Arial"/>
                <w:sz w:val="16"/>
                <w:szCs w:val="16"/>
                <w:color w:val="auto"/>
              </w:rPr>
              <w:t>Jeffrey Margolis</w:t>
            </w:r>
          </w:p>
        </w:tc>
        <w:tc>
          <w:tcPr>
            <w:tcW w:w="1240" w:type="dxa"/>
            <w:vAlign w:val="bottom"/>
            <w:tcBorders>
              <w:bottom w:val="single" w:sz="8" w:color="1F497D"/>
              <w:right w:val="single" w:sz="8" w:color="1F497D"/>
            </w:tcBorders>
          </w:tcPr>
          <w:p>
            <w:pPr>
              <w:spacing w:after="0"/>
              <w:rPr>
                <w:sz w:val="15"/>
                <w:szCs w:val="15"/>
                <w:color w:val="auto"/>
              </w:rPr>
            </w:pPr>
          </w:p>
        </w:tc>
        <w:tc>
          <w:tcPr>
            <w:tcW w:w="760" w:type="dxa"/>
            <w:vAlign w:val="bottom"/>
            <w:tcBorders>
              <w:bottom w:val="single" w:sz="8" w:color="1F497D"/>
            </w:tcBorders>
          </w:tcPr>
          <w:p>
            <w:pPr>
              <w:spacing w:after="0"/>
              <w:rPr>
                <w:sz w:val="15"/>
                <w:szCs w:val="15"/>
                <w:color w:val="auto"/>
              </w:rPr>
            </w:pPr>
          </w:p>
        </w:tc>
        <w:tc>
          <w:tcPr>
            <w:tcW w:w="1400" w:type="dxa"/>
            <w:vAlign w:val="bottom"/>
            <w:tcBorders>
              <w:bottom w:val="single" w:sz="8" w:color="1F497D"/>
            </w:tcBorders>
          </w:tcPr>
          <w:p>
            <w:pPr>
              <w:jc w:val="center"/>
              <w:spacing w:after="0" w:line="183" w:lineRule="exact"/>
              <w:rPr>
                <w:sz w:val="20"/>
                <w:szCs w:val="20"/>
                <w:color w:val="auto"/>
              </w:rPr>
            </w:pPr>
            <w:r>
              <w:rPr>
                <w:rFonts w:ascii="Arial" w:cs="Arial" w:eastAsia="Arial" w:hAnsi="Arial"/>
                <w:sz w:val="16"/>
                <w:szCs w:val="16"/>
                <w:color w:val="auto"/>
              </w:rPr>
              <w:t>C#</w:t>
            </w:r>
          </w:p>
        </w:tc>
        <w:tc>
          <w:tcPr>
            <w:tcW w:w="700" w:type="dxa"/>
            <w:vAlign w:val="bottom"/>
            <w:tcBorders>
              <w:bottom w:val="single" w:sz="8" w:color="1F497D"/>
              <w:right w:val="single" w:sz="8" w:color="1F497D"/>
            </w:tcBorders>
          </w:tcPr>
          <w:p>
            <w:pPr>
              <w:spacing w:after="0"/>
              <w:rPr>
                <w:sz w:val="15"/>
                <w:szCs w:val="15"/>
                <w:color w:val="auto"/>
              </w:rPr>
            </w:pPr>
          </w:p>
        </w:tc>
        <w:tc>
          <w:tcPr>
            <w:tcW w:w="2360" w:type="dxa"/>
            <w:vAlign w:val="bottom"/>
            <w:tcBorders>
              <w:bottom w:val="single" w:sz="8" w:color="1F497D"/>
            </w:tcBorders>
          </w:tcPr>
          <w:p>
            <w:pPr>
              <w:spacing w:after="0"/>
              <w:rPr>
                <w:sz w:val="15"/>
                <w:szCs w:val="15"/>
                <w:color w:val="auto"/>
              </w:rPr>
            </w:pPr>
          </w:p>
        </w:tc>
        <w:tc>
          <w:tcPr>
            <w:tcW w:w="520" w:type="dxa"/>
            <w:vAlign w:val="bottom"/>
            <w:tcBorders>
              <w:bottom w:val="single" w:sz="8" w:color="1F497D"/>
              <w:right w:val="single" w:sz="8" w:color="1F497D"/>
            </w:tcBorders>
          </w:tcPr>
          <w:p>
            <w:pPr>
              <w:spacing w:after="0"/>
              <w:rPr>
                <w:sz w:val="15"/>
                <w:szCs w:val="15"/>
                <w:color w:val="auto"/>
              </w:rPr>
            </w:pPr>
          </w:p>
        </w:tc>
        <w:tc>
          <w:tcPr>
            <w:tcW w:w="2720" w:type="dxa"/>
            <w:vAlign w:val="bottom"/>
            <w:tcBorders>
              <w:bottom w:val="single" w:sz="8" w:color="1F497D"/>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shd w:val="clear" w:color="auto" w:fill="DBE5F1"/>
          </w:tcPr>
          <w:p>
            <w:pPr>
              <w:spacing w:after="0"/>
              <w:rPr>
                <w:sz w:val="15"/>
                <w:szCs w:val="15"/>
                <w:color w:val="auto"/>
              </w:rPr>
            </w:pPr>
          </w:p>
        </w:tc>
        <w:tc>
          <w:tcPr>
            <w:tcW w:w="2460" w:type="dxa"/>
            <w:vAlign w:val="bottom"/>
            <w:tcBorders>
              <w:bottom w:val="single" w:sz="8" w:color="1F497D"/>
              <w:right w:val="single" w:sz="8" w:color="1F497D"/>
            </w:tcBorders>
            <w:gridSpan w:val="2"/>
            <w:shd w:val="clear" w:color="auto" w:fill="DBE5F1"/>
          </w:tcPr>
          <w:p>
            <w:pPr>
              <w:ind w:left="40"/>
              <w:spacing w:after="0" w:line="183" w:lineRule="exact"/>
              <w:rPr>
                <w:sz w:val="20"/>
                <w:szCs w:val="20"/>
                <w:color w:val="auto"/>
              </w:rPr>
            </w:pPr>
            <w:r>
              <w:rPr>
                <w:rFonts w:ascii="Arial" w:cs="Arial" w:eastAsia="Arial" w:hAnsi="Arial"/>
                <w:sz w:val="16"/>
                <w:szCs w:val="16"/>
                <w:color w:val="auto"/>
              </w:rPr>
              <w:t>Margaret McCarthy</w:t>
            </w:r>
          </w:p>
        </w:tc>
        <w:tc>
          <w:tcPr>
            <w:tcW w:w="760" w:type="dxa"/>
            <w:vAlign w:val="bottom"/>
            <w:tcBorders>
              <w:bottom w:val="single" w:sz="8" w:color="1F497D"/>
            </w:tcBorders>
            <w:shd w:val="clear" w:color="auto" w:fill="DBE5F1"/>
          </w:tcPr>
          <w:p>
            <w:pPr>
              <w:spacing w:after="0"/>
              <w:rPr>
                <w:sz w:val="15"/>
                <w:szCs w:val="15"/>
                <w:color w:val="auto"/>
              </w:rPr>
            </w:pPr>
          </w:p>
        </w:tc>
        <w:tc>
          <w:tcPr>
            <w:tcW w:w="1400" w:type="dxa"/>
            <w:vAlign w:val="bottom"/>
            <w:tcBorders>
              <w:bottom w:val="single" w:sz="8" w:color="1F497D"/>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M</w:t>
            </w:r>
          </w:p>
        </w:tc>
        <w:tc>
          <w:tcPr>
            <w:tcW w:w="700" w:type="dxa"/>
            <w:vAlign w:val="bottom"/>
            <w:tcBorders>
              <w:bottom w:val="single" w:sz="8" w:color="1F497D"/>
              <w:right w:val="single" w:sz="8" w:color="1F497D"/>
            </w:tcBorders>
            <w:shd w:val="clear" w:color="auto" w:fill="DBE5F1"/>
          </w:tcPr>
          <w:p>
            <w:pPr>
              <w:spacing w:after="0"/>
              <w:rPr>
                <w:sz w:val="15"/>
                <w:szCs w:val="15"/>
                <w:color w:val="auto"/>
              </w:rPr>
            </w:pPr>
          </w:p>
        </w:tc>
        <w:tc>
          <w:tcPr>
            <w:tcW w:w="2360" w:type="dxa"/>
            <w:vAlign w:val="bottom"/>
            <w:tcBorders>
              <w:bottom w:val="single" w:sz="8" w:color="1F497D"/>
            </w:tcBorders>
            <w:shd w:val="clear" w:color="auto" w:fill="DBE5F1"/>
          </w:tcPr>
          <w:p>
            <w:pPr>
              <w:spacing w:after="0"/>
              <w:rPr>
                <w:sz w:val="15"/>
                <w:szCs w:val="15"/>
                <w:color w:val="auto"/>
              </w:rPr>
            </w:pPr>
          </w:p>
        </w:tc>
        <w:tc>
          <w:tcPr>
            <w:tcW w:w="520" w:type="dxa"/>
            <w:vAlign w:val="bottom"/>
            <w:tcBorders>
              <w:bottom w:val="single" w:sz="8" w:color="1F497D"/>
              <w:right w:val="single" w:sz="8" w:color="1F497D"/>
            </w:tcBorders>
            <w:shd w:val="clear" w:color="auto" w:fill="DBE5F1"/>
          </w:tcPr>
          <w:p>
            <w:pPr>
              <w:spacing w:after="0"/>
              <w:rPr>
                <w:sz w:val="15"/>
                <w:szCs w:val="15"/>
                <w:color w:val="auto"/>
              </w:rPr>
            </w:pPr>
          </w:p>
        </w:tc>
        <w:tc>
          <w:tcPr>
            <w:tcW w:w="2720" w:type="dxa"/>
            <w:vAlign w:val="bottom"/>
            <w:tcBorders>
              <w:bottom w:val="single" w:sz="8" w:color="1F497D"/>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tcPr>
          <w:p>
            <w:pPr>
              <w:spacing w:after="0"/>
              <w:rPr>
                <w:sz w:val="15"/>
                <w:szCs w:val="15"/>
                <w:color w:val="auto"/>
              </w:rPr>
            </w:pPr>
          </w:p>
        </w:tc>
        <w:tc>
          <w:tcPr>
            <w:tcW w:w="1220" w:type="dxa"/>
            <w:vAlign w:val="bottom"/>
            <w:tcBorders>
              <w:bottom w:val="single" w:sz="8" w:color="1F497D"/>
            </w:tcBorders>
          </w:tcPr>
          <w:p>
            <w:pPr>
              <w:ind w:left="40"/>
              <w:spacing w:after="0" w:line="183" w:lineRule="exact"/>
              <w:rPr>
                <w:sz w:val="20"/>
                <w:szCs w:val="20"/>
                <w:color w:val="auto"/>
              </w:rPr>
            </w:pPr>
            <w:r>
              <w:rPr>
                <w:rFonts w:ascii="Arial" w:cs="Arial" w:eastAsia="Arial" w:hAnsi="Arial"/>
                <w:sz w:val="16"/>
                <w:szCs w:val="16"/>
                <w:color w:val="auto"/>
              </w:rPr>
              <w:t>Mark McClellan</w:t>
            </w:r>
          </w:p>
        </w:tc>
        <w:tc>
          <w:tcPr>
            <w:tcW w:w="1240" w:type="dxa"/>
            <w:vAlign w:val="bottom"/>
            <w:tcBorders>
              <w:bottom w:val="single" w:sz="8" w:color="1F497D"/>
              <w:right w:val="single" w:sz="8" w:color="1F497D"/>
            </w:tcBorders>
          </w:tcPr>
          <w:p>
            <w:pPr>
              <w:spacing w:after="0"/>
              <w:rPr>
                <w:sz w:val="15"/>
                <w:szCs w:val="15"/>
                <w:color w:val="auto"/>
              </w:rPr>
            </w:pPr>
          </w:p>
        </w:tc>
        <w:tc>
          <w:tcPr>
            <w:tcW w:w="760" w:type="dxa"/>
            <w:vAlign w:val="bottom"/>
            <w:tcBorders>
              <w:bottom w:val="single" w:sz="8" w:color="1F497D"/>
            </w:tcBorders>
          </w:tcPr>
          <w:p>
            <w:pPr>
              <w:spacing w:after="0"/>
              <w:rPr>
                <w:sz w:val="15"/>
                <w:szCs w:val="15"/>
                <w:color w:val="auto"/>
              </w:rPr>
            </w:pPr>
          </w:p>
        </w:tc>
        <w:tc>
          <w:tcPr>
            <w:tcW w:w="1400" w:type="dxa"/>
            <w:vAlign w:val="bottom"/>
            <w:tcBorders>
              <w:bottom w:val="single" w:sz="8" w:color="1F497D"/>
            </w:tcBorders>
          </w:tcPr>
          <w:p>
            <w:pPr>
              <w:spacing w:after="0"/>
              <w:rPr>
                <w:sz w:val="15"/>
                <w:szCs w:val="15"/>
                <w:color w:val="auto"/>
              </w:rPr>
            </w:pPr>
          </w:p>
        </w:tc>
        <w:tc>
          <w:tcPr>
            <w:tcW w:w="700" w:type="dxa"/>
            <w:vAlign w:val="bottom"/>
            <w:tcBorders>
              <w:bottom w:val="single" w:sz="8" w:color="1F497D"/>
              <w:right w:val="single" w:sz="8" w:color="1F497D"/>
            </w:tcBorders>
          </w:tcPr>
          <w:p>
            <w:pPr>
              <w:spacing w:after="0"/>
              <w:rPr>
                <w:sz w:val="15"/>
                <w:szCs w:val="15"/>
                <w:color w:val="auto"/>
              </w:rPr>
            </w:pPr>
          </w:p>
        </w:tc>
        <w:tc>
          <w:tcPr>
            <w:tcW w:w="2360" w:type="dxa"/>
            <w:vAlign w:val="bottom"/>
            <w:tcBorders>
              <w:bottom w:val="single" w:sz="8" w:color="1F497D"/>
            </w:tcBorders>
          </w:tcPr>
          <w:p>
            <w:pPr>
              <w:spacing w:after="0"/>
              <w:rPr>
                <w:sz w:val="15"/>
                <w:szCs w:val="15"/>
                <w:color w:val="auto"/>
              </w:rPr>
            </w:pPr>
          </w:p>
        </w:tc>
        <w:tc>
          <w:tcPr>
            <w:tcW w:w="520" w:type="dxa"/>
            <w:vAlign w:val="bottom"/>
            <w:tcBorders>
              <w:bottom w:val="single" w:sz="8" w:color="1F497D"/>
              <w:right w:val="single" w:sz="8" w:color="1F497D"/>
            </w:tcBorders>
          </w:tcPr>
          <w:p>
            <w:pPr>
              <w:spacing w:after="0"/>
              <w:rPr>
                <w:sz w:val="15"/>
                <w:szCs w:val="15"/>
                <w:color w:val="auto"/>
              </w:rPr>
            </w:pPr>
          </w:p>
        </w:tc>
        <w:tc>
          <w:tcPr>
            <w:tcW w:w="2720" w:type="dxa"/>
            <w:vAlign w:val="bottom"/>
            <w:tcBorders>
              <w:bottom w:val="single" w:sz="8" w:color="1F497D"/>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0" w:type="dxa"/>
            <w:vAlign w:val="bottom"/>
            <w:tcBorders>
              <w:bottom w:val="single" w:sz="8" w:color="1F497D"/>
            </w:tcBorders>
            <w:shd w:val="clear" w:color="auto" w:fill="DBE5F1"/>
          </w:tcPr>
          <w:p>
            <w:pPr>
              <w:spacing w:after="0"/>
              <w:rPr>
                <w:sz w:val="15"/>
                <w:szCs w:val="15"/>
                <w:color w:val="auto"/>
              </w:rPr>
            </w:pPr>
          </w:p>
        </w:tc>
        <w:tc>
          <w:tcPr>
            <w:tcW w:w="1220" w:type="dxa"/>
            <w:vAlign w:val="bottom"/>
            <w:tcBorders>
              <w:bottom w:val="single" w:sz="8" w:color="1F497D"/>
            </w:tcBorders>
            <w:shd w:val="clear" w:color="auto" w:fill="DBE5F1"/>
          </w:tcPr>
          <w:p>
            <w:pPr>
              <w:ind w:left="40"/>
              <w:spacing w:after="0" w:line="183" w:lineRule="exact"/>
              <w:rPr>
                <w:sz w:val="20"/>
                <w:szCs w:val="20"/>
                <w:color w:val="auto"/>
              </w:rPr>
            </w:pPr>
            <w:r>
              <w:rPr>
                <w:rFonts w:ascii="Arial" w:cs="Arial" w:eastAsia="Arial" w:hAnsi="Arial"/>
                <w:sz w:val="16"/>
                <w:szCs w:val="16"/>
                <w:color w:val="auto"/>
              </w:rPr>
              <w:t>Robbert Vorhoff</w:t>
            </w:r>
          </w:p>
        </w:tc>
        <w:tc>
          <w:tcPr>
            <w:tcW w:w="1240" w:type="dxa"/>
            <w:vAlign w:val="bottom"/>
            <w:tcBorders>
              <w:bottom w:val="single" w:sz="8" w:color="1F497D"/>
              <w:right w:val="single" w:sz="8" w:color="1F497D"/>
            </w:tcBorders>
            <w:shd w:val="clear" w:color="auto" w:fill="DBE5F1"/>
          </w:tcPr>
          <w:p>
            <w:pPr>
              <w:spacing w:after="0"/>
              <w:rPr>
                <w:sz w:val="15"/>
                <w:szCs w:val="15"/>
                <w:color w:val="auto"/>
              </w:rPr>
            </w:pPr>
          </w:p>
        </w:tc>
        <w:tc>
          <w:tcPr>
            <w:tcW w:w="760" w:type="dxa"/>
            <w:vAlign w:val="bottom"/>
            <w:tcBorders>
              <w:bottom w:val="single" w:sz="8" w:color="1F497D"/>
            </w:tcBorders>
            <w:shd w:val="clear" w:color="auto" w:fill="DBE5F1"/>
          </w:tcPr>
          <w:p>
            <w:pPr>
              <w:spacing w:after="0"/>
              <w:rPr>
                <w:sz w:val="15"/>
                <w:szCs w:val="15"/>
                <w:color w:val="auto"/>
              </w:rPr>
            </w:pPr>
          </w:p>
        </w:tc>
        <w:tc>
          <w:tcPr>
            <w:tcW w:w="1400" w:type="dxa"/>
            <w:vAlign w:val="bottom"/>
            <w:tcBorders>
              <w:bottom w:val="single" w:sz="8" w:color="1F497D"/>
            </w:tcBorders>
            <w:shd w:val="clear" w:color="auto" w:fill="DBE5F1"/>
          </w:tcPr>
          <w:p>
            <w:pPr>
              <w:spacing w:after="0"/>
              <w:rPr>
                <w:sz w:val="15"/>
                <w:szCs w:val="15"/>
                <w:color w:val="auto"/>
              </w:rPr>
            </w:pPr>
          </w:p>
        </w:tc>
        <w:tc>
          <w:tcPr>
            <w:tcW w:w="700" w:type="dxa"/>
            <w:vAlign w:val="bottom"/>
            <w:tcBorders>
              <w:bottom w:val="single" w:sz="8" w:color="1F497D"/>
              <w:right w:val="single" w:sz="8" w:color="1F497D"/>
            </w:tcBorders>
            <w:shd w:val="clear" w:color="auto" w:fill="DBE5F1"/>
          </w:tcPr>
          <w:p>
            <w:pPr>
              <w:spacing w:after="0"/>
              <w:rPr>
                <w:sz w:val="15"/>
                <w:szCs w:val="15"/>
                <w:color w:val="auto"/>
              </w:rPr>
            </w:pPr>
          </w:p>
        </w:tc>
        <w:tc>
          <w:tcPr>
            <w:tcW w:w="2360" w:type="dxa"/>
            <w:vAlign w:val="bottom"/>
            <w:tcBorders>
              <w:bottom w:val="single" w:sz="8" w:color="1F497D"/>
            </w:tcBorders>
            <w:shd w:val="clear" w:color="auto" w:fill="DBE5F1"/>
          </w:tcPr>
          <w:p>
            <w:pPr>
              <w:jc w:val="center"/>
              <w:ind w:left="519"/>
              <w:spacing w:after="0" w:line="183" w:lineRule="exact"/>
              <w:rPr>
                <w:sz w:val="20"/>
                <w:szCs w:val="20"/>
                <w:color w:val="auto"/>
              </w:rPr>
            </w:pPr>
            <w:r>
              <w:rPr>
                <w:rFonts w:ascii="Arial" w:cs="Arial" w:eastAsia="Arial" w:hAnsi="Arial"/>
                <w:sz w:val="16"/>
                <w:szCs w:val="16"/>
                <w:color w:val="auto"/>
              </w:rPr>
              <w:t>C</w:t>
            </w:r>
          </w:p>
        </w:tc>
        <w:tc>
          <w:tcPr>
            <w:tcW w:w="520" w:type="dxa"/>
            <w:vAlign w:val="bottom"/>
            <w:tcBorders>
              <w:bottom w:val="single" w:sz="8" w:color="1F497D"/>
              <w:right w:val="single" w:sz="8" w:color="1F497D"/>
            </w:tcBorders>
            <w:shd w:val="clear" w:color="auto" w:fill="DBE5F1"/>
          </w:tcPr>
          <w:p>
            <w:pPr>
              <w:spacing w:after="0"/>
              <w:rPr>
                <w:sz w:val="15"/>
                <w:szCs w:val="15"/>
                <w:color w:val="auto"/>
              </w:rPr>
            </w:pPr>
          </w:p>
        </w:tc>
        <w:tc>
          <w:tcPr>
            <w:tcW w:w="2720" w:type="dxa"/>
            <w:vAlign w:val="bottom"/>
            <w:tcBorders>
              <w:bottom w:val="single" w:sz="8" w:color="1F497D"/>
            </w:tcBorders>
            <w:shd w:val="clear" w:color="auto" w:fill="DBE5F1"/>
          </w:tcPr>
          <w:p>
            <w:pPr>
              <w:spacing w:after="0"/>
              <w:rPr>
                <w:sz w:val="15"/>
                <w:szCs w:val="15"/>
                <w:color w:val="auto"/>
              </w:rPr>
            </w:pPr>
          </w:p>
        </w:tc>
        <w:tc>
          <w:tcPr>
            <w:tcW w:w="0" w:type="dxa"/>
            <w:vAlign w:val="bottom"/>
          </w:tcPr>
          <w:p>
            <w:pPr>
              <w:spacing w:after="0"/>
              <w:rPr>
                <w:sz w:val="1"/>
                <w:szCs w:val="1"/>
                <w:color w:val="auto"/>
              </w:rPr>
            </w:pPr>
          </w:p>
        </w:tc>
      </w:tr>
      <w:tr>
        <w:trPr>
          <w:trHeight w:val="457"/>
        </w:trPr>
        <w:tc>
          <w:tcPr>
            <w:tcW w:w="100" w:type="dxa"/>
            <w:vAlign w:val="bottom"/>
          </w:tcPr>
          <w:p>
            <w:pPr>
              <w:spacing w:after="0"/>
              <w:rPr>
                <w:sz w:val="20"/>
                <w:szCs w:val="20"/>
                <w:color w:val="auto"/>
              </w:rPr>
            </w:pPr>
            <w:r>
              <w:rPr>
                <w:rFonts w:ascii="Arial" w:cs="Arial" w:eastAsia="Arial" w:hAnsi="Arial"/>
                <w:sz w:val="11"/>
                <w:szCs w:val="11"/>
                <w:color w:val="auto"/>
                <w:w w:val="72"/>
              </w:rPr>
              <w:t> </w:t>
            </w:r>
          </w:p>
        </w:tc>
        <w:tc>
          <w:tcPr>
            <w:tcW w:w="1220" w:type="dxa"/>
            <w:vAlign w:val="bottom"/>
          </w:tcPr>
          <w:p>
            <w:pPr>
              <w:ind w:left="80"/>
              <w:spacing w:after="0"/>
              <w:rPr>
                <w:sz w:val="20"/>
                <w:szCs w:val="20"/>
                <w:color w:val="auto"/>
              </w:rPr>
            </w:pPr>
            <w:r>
              <w:rPr>
                <w:rFonts w:ascii="Arial" w:cs="Arial" w:eastAsia="Arial" w:hAnsi="Arial"/>
                <w:sz w:val="18"/>
                <w:szCs w:val="18"/>
                <w:color w:val="auto"/>
              </w:rPr>
              <w:t xml:space="preserve">       </w:t>
            </w:r>
          </w:p>
        </w:tc>
        <w:tc>
          <w:tcPr>
            <w:tcW w:w="2000" w:type="dxa"/>
            <w:vAlign w:val="bottom"/>
            <w:gridSpan w:val="2"/>
          </w:tcPr>
          <w:p>
            <w:pPr>
              <w:ind w:left="20"/>
              <w:spacing w:after="0"/>
              <w:rPr>
                <w:sz w:val="20"/>
                <w:szCs w:val="20"/>
                <w:color w:val="auto"/>
              </w:rPr>
            </w:pPr>
            <w:r>
              <w:rPr>
                <w:rFonts w:ascii="Arial" w:cs="Arial" w:eastAsia="Arial" w:hAnsi="Arial"/>
                <w:sz w:val="18"/>
                <w:szCs w:val="18"/>
                <w:i w:val="1"/>
                <w:iCs w:val="1"/>
                <w:color w:val="auto"/>
              </w:rPr>
              <w:t>M = Committee Member</w:t>
            </w:r>
          </w:p>
        </w:tc>
        <w:tc>
          <w:tcPr>
            <w:tcW w:w="1400" w:type="dxa"/>
            <w:vAlign w:val="bottom"/>
          </w:tcPr>
          <w:p>
            <w:pPr>
              <w:spacing w:after="0"/>
              <w:rPr>
                <w:sz w:val="24"/>
                <w:szCs w:val="24"/>
                <w:color w:val="auto"/>
              </w:rPr>
            </w:pPr>
          </w:p>
        </w:tc>
        <w:tc>
          <w:tcPr>
            <w:tcW w:w="3060" w:type="dxa"/>
            <w:vAlign w:val="bottom"/>
            <w:gridSpan w:val="2"/>
          </w:tcPr>
          <w:p>
            <w:pPr>
              <w:ind w:left="20"/>
              <w:spacing w:after="0"/>
              <w:rPr>
                <w:sz w:val="20"/>
                <w:szCs w:val="20"/>
                <w:color w:val="auto"/>
              </w:rPr>
            </w:pPr>
            <w:r>
              <w:rPr>
                <w:rFonts w:ascii="Arial" w:cs="Arial" w:eastAsia="Arial" w:hAnsi="Arial"/>
                <w:sz w:val="18"/>
                <w:szCs w:val="18"/>
                <w:i w:val="1"/>
                <w:iCs w:val="1"/>
                <w:color w:val="auto"/>
              </w:rPr>
              <w:t>C = Committee Chair</w:t>
            </w:r>
          </w:p>
        </w:tc>
        <w:tc>
          <w:tcPr>
            <w:tcW w:w="3240" w:type="dxa"/>
            <w:vAlign w:val="bottom"/>
            <w:gridSpan w:val="2"/>
          </w:tcPr>
          <w:p>
            <w:pPr>
              <w:ind w:left="340"/>
              <w:spacing w:after="0"/>
              <w:rPr>
                <w:sz w:val="20"/>
                <w:szCs w:val="20"/>
                <w:color w:val="auto"/>
              </w:rPr>
            </w:pPr>
            <w:r>
              <w:rPr>
                <w:rFonts w:ascii="Arial" w:cs="Arial" w:eastAsia="Arial" w:hAnsi="Arial"/>
                <w:sz w:val="18"/>
                <w:szCs w:val="18"/>
                <w:i w:val="1"/>
                <w:iCs w:val="1"/>
                <w:color w:val="auto"/>
              </w:rPr>
              <w:t># = Financial Expert</w:t>
            </w:r>
          </w:p>
        </w:tc>
        <w:tc>
          <w:tcPr>
            <w:tcW w:w="0" w:type="dxa"/>
            <w:vAlign w:val="bottom"/>
          </w:tcPr>
          <w:p>
            <w:pPr>
              <w:spacing w:after="0"/>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Audit Committee</w:t>
      </w:r>
    </w:p>
    <w:p>
      <w:pPr>
        <w:spacing w:after="0" w:line="210" w:lineRule="exact"/>
        <w:rPr>
          <w:sz w:val="20"/>
          <w:szCs w:val="20"/>
          <w:color w:val="auto"/>
        </w:rPr>
      </w:pPr>
    </w:p>
    <w:p>
      <w:pPr>
        <w:ind w:right="40" w:firstLine="440"/>
        <w:spacing w:after="0" w:line="239" w:lineRule="auto"/>
        <w:rPr>
          <w:sz w:val="20"/>
          <w:szCs w:val="20"/>
          <w:color w:val="auto"/>
        </w:rPr>
      </w:pPr>
      <w:r>
        <w:rPr>
          <w:rFonts w:ascii="Arial" w:cs="Arial" w:eastAsia="Arial" w:hAnsi="Arial"/>
          <w:sz w:val="18"/>
          <w:szCs w:val="18"/>
          <w:color w:val="auto"/>
        </w:rPr>
        <w:t>Our Audit Committee is composed of Ms. Jorden, Mr. Margolis and Ms. McCarthy, with Mr. Margolis serving as chair of the committee. We comply with the audit committee requirements of the SEC and Nasdaq, which require that the Audit Committee be composed entirely of independent directors. Our Board has determined that each of the current members of the Audit Committee meet the independence requirements of Rule 10A-3 under the Exchange Act and the applicable listing standards of Nasdaq. In addition, our Board has determined that each of Mr. Margolis and Ms. Jorden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Furthermore, by virtue of their designation as “audit committee financial experts,” Mr. Margolis and Ms. Jorden meet the applicable “financial sophistication” requirement of the Nasdaq listing standards.</w:t>
      </w:r>
    </w:p>
    <w:p>
      <w:pPr>
        <w:spacing w:after="0" w:line="183" w:lineRule="exact"/>
        <w:rPr>
          <w:sz w:val="20"/>
          <w:szCs w:val="20"/>
          <w:color w:val="auto"/>
        </w:rPr>
      </w:pPr>
    </w:p>
    <w:p>
      <w:pPr>
        <w:ind w:right="2240" w:firstLine="440"/>
        <w:spacing w:after="0" w:line="271" w:lineRule="auto"/>
        <w:rPr>
          <w:sz w:val="20"/>
          <w:szCs w:val="20"/>
          <w:color w:val="auto"/>
        </w:rPr>
      </w:pPr>
      <w:r>
        <w:rPr>
          <w:rFonts w:ascii="Arial" w:cs="Arial" w:eastAsia="Arial" w:hAnsi="Arial"/>
          <w:sz w:val="18"/>
          <w:szCs w:val="18"/>
          <w:color w:val="auto"/>
        </w:rPr>
        <w:t>The written charter for our Audit Committee is available on the investor relations section of our website at https://ir.alignmenthealth.com/. The Audit Committee’s responsibilities include:</w:t>
      </w:r>
    </w:p>
    <w:p>
      <w:pPr>
        <w:spacing w:after="0" w:line="181" w:lineRule="exact"/>
        <w:rPr>
          <w:sz w:val="20"/>
          <w:szCs w:val="20"/>
          <w:color w:val="auto"/>
        </w:rPr>
      </w:pPr>
    </w:p>
    <w:p>
      <w:pPr>
        <w:ind w:left="960" w:right="86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qualifications, performance and independence of our independent registered public accounting firm;</w:t>
      </w:r>
    </w:p>
    <w:p>
      <w:pPr>
        <w:spacing w:after="0" w:line="180" w:lineRule="exact"/>
        <w:rPr>
          <w:rFonts w:ascii="Arial" w:cs="Arial" w:eastAsia="Arial" w:hAnsi="Arial"/>
          <w:sz w:val="18"/>
          <w:szCs w:val="18"/>
          <w:color w:val="auto"/>
        </w:rPr>
      </w:pPr>
    </w:p>
    <w:p>
      <w:pPr>
        <w:ind w:left="960" w:right="32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pre-approving audit and permissible non-audit services, and the terms of such services, to be provided by our independent registered public accounting firm;</w:t>
      </w:r>
    </w:p>
    <w:p>
      <w:pPr>
        <w:spacing w:after="0" w:line="180" w:lineRule="exact"/>
        <w:rPr>
          <w:rFonts w:ascii="Arial" w:cs="Arial" w:eastAsia="Arial" w:hAnsi="Arial"/>
          <w:sz w:val="18"/>
          <w:szCs w:val="18"/>
          <w:color w:val="auto"/>
        </w:rPr>
      </w:pPr>
    </w:p>
    <w:p>
      <w:pPr>
        <w:ind w:left="960" w:right="48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discussing the scope and results of the audits with our independent registered public accounting firm and reviewing, with management and that accounting firm, our interim and year-end operating results;</w:t>
      </w:r>
    </w:p>
    <w:p>
      <w:pPr>
        <w:spacing w:after="0" w:line="180" w:lineRule="exact"/>
        <w:rPr>
          <w:rFonts w:ascii="Arial" w:cs="Arial" w:eastAsia="Arial" w:hAnsi="Arial"/>
          <w:sz w:val="18"/>
          <w:szCs w:val="18"/>
          <w:color w:val="auto"/>
        </w:rPr>
      </w:pPr>
    </w:p>
    <w:p>
      <w:pPr>
        <w:ind w:left="960" w:right="24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discussing with management and the independent registered public accounting firm our annual and quarterly financial statements and related disclosures as well as critical accounting policies and practices used by us;</w:t>
      </w:r>
    </w:p>
    <w:p>
      <w:pPr>
        <w:spacing w:after="0" w:line="180"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the adequacy of our internal control over financial reporting;</w:t>
      </w:r>
    </w:p>
    <w:p>
      <w:pPr>
        <w:spacing w:after="0" w:line="238"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20"/>
          </w:cols>
          <w:pgMar w:left="440" w:top="296" w:right="439" w:bottom="1440" w:gutter="0" w:footer="0" w:header="0"/>
        </w:sectPr>
      </w:pPr>
    </w:p>
    <w:bookmarkStart w:id="36" w:name="page37"/>
    <w:bookmarkEnd w:id="36"/>
    <w:p>
      <w:pPr>
        <w:ind w:left="960" w:right="240" w:hanging="424"/>
        <w:spacing w:after="0" w:line="271"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monitoring our compliance with legal and regulatory requirements as they relate to our financial statements and accounting matters;</w:t>
      </w:r>
    </w:p>
    <w:p>
      <w:pPr>
        <w:spacing w:after="0" w:line="180"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all matters related to the Company’s program, policies, and procedures related to information technology systems, data protection and cyber security;</w:t>
      </w:r>
    </w:p>
    <w:p>
      <w:pPr>
        <w:spacing w:after="0" w:line="180"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the adequacy and effectiveness of our disclosure controls and procedures;</w:t>
      </w:r>
    </w:p>
    <w:p>
      <w:pPr>
        <w:spacing w:after="0" w:line="238"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rules of the SEC to be included in our annual proxy statement; and</w:t>
      </w:r>
    </w:p>
    <w:p>
      <w:pPr>
        <w:spacing w:after="0" w:line="238"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all related party transactions for potential conflict of interest situations and approving all such transactions.</w:t>
      </w:r>
    </w:p>
    <w:p>
      <w:pPr>
        <w:spacing w:after="0" w:line="212" w:lineRule="exact"/>
        <w:rPr>
          <w:sz w:val="20"/>
          <w:szCs w:val="20"/>
          <w:color w:val="auto"/>
        </w:rPr>
      </w:pPr>
    </w:p>
    <w:p>
      <w:pPr>
        <w:ind w:right="220" w:firstLine="440"/>
        <w:spacing w:after="0" w:line="271" w:lineRule="auto"/>
        <w:rPr>
          <w:sz w:val="20"/>
          <w:szCs w:val="20"/>
          <w:color w:val="auto"/>
        </w:rPr>
      </w:pPr>
      <w:r>
        <w:rPr>
          <w:rFonts w:ascii="Arial" w:cs="Arial" w:eastAsia="Arial" w:hAnsi="Arial"/>
          <w:sz w:val="18"/>
          <w:szCs w:val="18"/>
          <w:color w:val="auto"/>
        </w:rPr>
        <w:t>The Audit Committee has the sole authority, at its discretion, to engage independent counsel and other advisors as the committee deems necessary to carry out its duties.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Compensation Committee</w:t>
      </w:r>
    </w:p>
    <w:p>
      <w:pPr>
        <w:spacing w:after="0" w:line="210" w:lineRule="exact"/>
        <w:rPr>
          <w:sz w:val="20"/>
          <w:szCs w:val="20"/>
          <w:color w:val="auto"/>
        </w:rPr>
      </w:pPr>
    </w:p>
    <w:p>
      <w:pPr>
        <w:jc w:val="both"/>
        <w:ind w:right="300" w:firstLine="440"/>
        <w:spacing w:after="0" w:line="253" w:lineRule="auto"/>
        <w:rPr>
          <w:sz w:val="20"/>
          <w:szCs w:val="20"/>
          <w:color w:val="auto"/>
        </w:rPr>
      </w:pPr>
      <w:r>
        <w:rPr>
          <w:rFonts w:ascii="Arial" w:cs="Arial" w:eastAsia="Arial" w:hAnsi="Arial"/>
          <w:sz w:val="18"/>
          <w:szCs w:val="18"/>
          <w:color w:val="auto"/>
        </w:rPr>
        <w:t>Our Compensation Committee is composed of Mr. Carella, Ms. Kosecoff and Mr. Vorhoff, with Mr. Vorhoff serving as chair of the committee. All members of our Compensation Committee are independent as defined by Section 10(c) of the Exchange Act, Rule 10C under the Exchange Act and the applicable Nasdaq rules.</w:t>
      </w:r>
    </w:p>
    <w:p>
      <w:pPr>
        <w:spacing w:after="0" w:line="169" w:lineRule="exact"/>
        <w:rPr>
          <w:sz w:val="20"/>
          <w:szCs w:val="20"/>
          <w:color w:val="auto"/>
        </w:rPr>
      </w:pPr>
    </w:p>
    <w:p>
      <w:pPr>
        <w:ind w:right="620" w:firstLine="440"/>
        <w:spacing w:after="0" w:line="271" w:lineRule="auto"/>
        <w:rPr>
          <w:sz w:val="20"/>
          <w:szCs w:val="20"/>
          <w:color w:val="auto"/>
        </w:rPr>
      </w:pPr>
      <w:r>
        <w:rPr>
          <w:rFonts w:ascii="Arial" w:cs="Arial" w:eastAsia="Arial" w:hAnsi="Arial"/>
          <w:sz w:val="18"/>
          <w:szCs w:val="18"/>
          <w:color w:val="auto"/>
        </w:rPr>
        <w:t>The written charter for our Compensation Committee is available on the investor relations section of our corporate website at https://ir.alignmenthealth.com/. The Compensation Committee’s responsibilities include:</w:t>
      </w:r>
    </w:p>
    <w:p>
      <w:pPr>
        <w:spacing w:after="0" w:line="181" w:lineRule="exact"/>
        <w:rPr>
          <w:sz w:val="20"/>
          <w:szCs w:val="20"/>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annually reviewing and approving corporate goals and objectives relevant to the compensation of our executive officers;</w:t>
      </w:r>
    </w:p>
    <w:p>
      <w:pPr>
        <w:spacing w:after="0" w:line="238" w:lineRule="exact"/>
        <w:rPr>
          <w:rFonts w:ascii="Arial" w:cs="Arial" w:eastAsia="Arial" w:hAnsi="Arial"/>
          <w:sz w:val="18"/>
          <w:szCs w:val="18"/>
          <w:color w:val="auto"/>
        </w:rPr>
      </w:pPr>
    </w:p>
    <w:p>
      <w:pPr>
        <w:ind w:left="960" w:right="480" w:hanging="424"/>
        <w:spacing w:after="0" w:line="271"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evaluating the performance of our executive officers in light of such corporate goals and objectives and determining and approving the compensation of our executive officers;</w:t>
      </w:r>
    </w:p>
    <w:p>
      <w:pPr>
        <w:spacing w:after="0" w:line="180" w:lineRule="exact"/>
        <w:rPr>
          <w:rFonts w:ascii="Arial" w:cs="Arial" w:eastAsia="Arial" w:hAnsi="Arial"/>
          <w:sz w:val="18"/>
          <w:szCs w:val="18"/>
          <w:color w:val="auto"/>
        </w:rPr>
      </w:pPr>
    </w:p>
    <w:p>
      <w:pPr>
        <w:ind w:left="960" w:right="380" w:hanging="424"/>
        <w:spacing w:after="0" w:line="271"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conducting the independence assessment outlined in applicable rules with respect to any compensation consultant, legal counsel or other advisor retained by the compensation committee;</w:t>
      </w:r>
    </w:p>
    <w:p>
      <w:pPr>
        <w:spacing w:after="0" w:line="180"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overseeing and administering our compensation and similar plans;</w:t>
      </w:r>
    </w:p>
    <w:p>
      <w:pPr>
        <w:spacing w:after="0" w:line="238" w:lineRule="exact"/>
        <w:rPr>
          <w:rFonts w:ascii="Arial" w:cs="Arial" w:eastAsia="Arial" w:hAnsi="Arial"/>
          <w:sz w:val="18"/>
          <w:szCs w:val="18"/>
          <w:color w:val="auto"/>
        </w:rPr>
      </w:pPr>
    </w:p>
    <w:p>
      <w:pPr>
        <w:ind w:left="960" w:hanging="424"/>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with respect to director compensation; and</w:t>
      </w:r>
    </w:p>
    <w:p>
      <w:pPr>
        <w:spacing w:after="0" w:line="238" w:lineRule="exact"/>
        <w:rPr>
          <w:rFonts w:ascii="Arial" w:cs="Arial" w:eastAsia="Arial" w:hAnsi="Arial"/>
          <w:sz w:val="18"/>
          <w:szCs w:val="18"/>
          <w:color w:val="auto"/>
        </w:rPr>
      </w:pPr>
    </w:p>
    <w:p>
      <w:pPr>
        <w:ind w:left="960" w:right="520" w:hanging="424"/>
        <w:spacing w:after="0" w:line="271"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discussion and analysis and other compensation-related disclosure to be included in our annual proxy statement or Annual Report on Form 10-K.</w:t>
      </w:r>
    </w:p>
    <w:p>
      <w:pPr>
        <w:spacing w:after="0" w:line="154" w:lineRule="exact"/>
        <w:rPr>
          <w:sz w:val="20"/>
          <w:szCs w:val="20"/>
          <w:color w:val="auto"/>
        </w:rPr>
      </w:pPr>
    </w:p>
    <w:p>
      <w:pPr>
        <w:ind w:right="80" w:firstLine="440"/>
        <w:spacing w:after="0" w:line="247" w:lineRule="auto"/>
        <w:rPr>
          <w:sz w:val="20"/>
          <w:szCs w:val="20"/>
          <w:color w:val="auto"/>
        </w:rPr>
      </w:pPr>
      <w:r>
        <w:rPr>
          <w:rFonts w:ascii="Arial" w:cs="Arial" w:eastAsia="Arial" w:hAnsi="Arial"/>
          <w:sz w:val="18"/>
          <w:szCs w:val="18"/>
          <w:color w:val="auto"/>
        </w:rPr>
        <w:t>The Compensation Committee has the sole authority, at its discretion, to retain and terminate compensation consultants to assist in the evaluation of director or executive officer compensation and the sole authority to approve the fees and other retention terms of such compensation consultants. The Compensation Committee may also retain independent counsel and other independent advisors to assist it in carrying out its responsibilities.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60"/>
          </w:cols>
          <w:pgMar w:left="440" w:top="296" w:right="49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Nominating, Corporate Governance and Compliance Committee</w:t>
      </w:r>
    </w:p>
    <w:p>
      <w:pPr>
        <w:spacing w:after="0" w:line="210" w:lineRule="exact"/>
        <w:rPr>
          <w:sz w:val="20"/>
          <w:szCs w:val="20"/>
          <w:color w:val="auto"/>
        </w:rPr>
      </w:pPr>
    </w:p>
    <w:p>
      <w:pPr>
        <w:ind w:right="320" w:firstLine="440"/>
        <w:spacing w:after="0" w:line="271" w:lineRule="auto"/>
        <w:rPr>
          <w:sz w:val="20"/>
          <w:szCs w:val="20"/>
          <w:color w:val="auto"/>
        </w:rPr>
      </w:pPr>
      <w:r>
        <w:rPr>
          <w:rFonts w:ascii="Arial" w:cs="Arial" w:eastAsia="Arial" w:hAnsi="Arial"/>
          <w:sz w:val="18"/>
          <w:szCs w:val="18"/>
          <w:color w:val="auto"/>
        </w:rPr>
        <w:t>Our NCGCC is composed of Ms. Bilney, Mr. Hodgson, and Ms. Kosecoff, with Mr. Hodgson serving as chair of the committee. All members of our NCGCC are independent as defined by applicable Nasdaq rules.</w:t>
      </w:r>
    </w:p>
    <w:p>
      <w:pPr>
        <w:spacing w:after="0" w:line="154" w:lineRule="exact"/>
        <w:rPr>
          <w:sz w:val="20"/>
          <w:szCs w:val="20"/>
          <w:color w:val="auto"/>
        </w:rPr>
      </w:pPr>
    </w:p>
    <w:p>
      <w:pPr>
        <w:ind w:right="2120" w:firstLine="440"/>
        <w:spacing w:after="0" w:line="271" w:lineRule="auto"/>
        <w:rPr>
          <w:sz w:val="20"/>
          <w:szCs w:val="20"/>
          <w:color w:val="auto"/>
        </w:rPr>
      </w:pPr>
      <w:r>
        <w:rPr>
          <w:rFonts w:ascii="Arial" w:cs="Arial" w:eastAsia="Arial" w:hAnsi="Arial"/>
          <w:sz w:val="18"/>
          <w:szCs w:val="18"/>
          <w:color w:val="auto"/>
        </w:rPr>
        <w:t>The written charter for our NCGCC is available at the investor relations section of our corporate website at https://ir.alignmenthealth.com/. The NCGCC’s responsibilities include:</w:t>
      </w:r>
    </w:p>
    <w:p>
      <w:pPr>
        <w:spacing w:after="0" w:line="181" w:lineRule="exact"/>
        <w:rPr>
          <w:sz w:val="20"/>
          <w:szCs w:val="20"/>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recommending to our Board criteria for board and committee membership;</w:t>
      </w:r>
    </w:p>
    <w:p>
      <w:pPr>
        <w:spacing w:after="0" w:line="238" w:lineRule="exact"/>
        <w:rPr>
          <w:rFonts w:ascii="Arial" w:cs="Arial" w:eastAsia="Arial" w:hAnsi="Arial"/>
          <w:sz w:val="18"/>
          <w:szCs w:val="18"/>
          <w:color w:val="auto"/>
        </w:rPr>
      </w:pPr>
    </w:p>
    <w:p>
      <w:pPr>
        <w:ind w:left="960" w:right="20" w:hanging="424"/>
        <w:spacing w:after="0" w:line="271"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subject to the rights of the Lead Sponsors under the Stockholders Agreement, identifying and recommending to our Board the persons to be nominated for election as directors and to each of our Board’s committees;</w:t>
      </w:r>
    </w:p>
    <w:p>
      <w:pPr>
        <w:spacing w:after="0" w:line="18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developing and recommending to our Board best practices and corporate governance principles;</w:t>
      </w:r>
    </w:p>
    <w:p>
      <w:pPr>
        <w:spacing w:after="0" w:line="238"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reviewing and recommending to our Board the functions, duties and compositions of the committees of our Board;</w:t>
      </w:r>
    </w:p>
    <w:p>
      <w:pPr>
        <w:spacing w:after="0" w:line="238" w:lineRule="exact"/>
        <w:rPr>
          <w:rFonts w:ascii="Arial" w:cs="Arial" w:eastAsia="Arial" w:hAnsi="Arial"/>
          <w:sz w:val="18"/>
          <w:szCs w:val="18"/>
          <w:color w:val="auto"/>
        </w:rPr>
      </w:pPr>
    </w:p>
    <w:p>
      <w:pPr>
        <w:ind w:left="960" w:right="340" w:hanging="424"/>
        <w:spacing w:after="0" w:line="271"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Company’s major risk exposures, including financial, operational, privacy, security, business continuity and legal and regulatory risks and the Company’s risk assessment and risk management policies;</w:t>
      </w:r>
    </w:p>
    <w:p>
      <w:pPr>
        <w:spacing w:after="0" w:line="180" w:lineRule="exact"/>
        <w:rPr>
          <w:rFonts w:ascii="Arial" w:cs="Arial" w:eastAsia="Arial" w:hAnsi="Arial"/>
          <w:sz w:val="18"/>
          <w:szCs w:val="18"/>
          <w:color w:val="auto"/>
        </w:rPr>
      </w:pPr>
    </w:p>
    <w:p>
      <w:pPr>
        <w:ind w:left="960" w:hanging="424"/>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Company’s strategy, initiatives, risks, opportunities and related reporting on material ESG matters;</w:t>
      </w:r>
    </w:p>
    <w:p>
      <w:pPr>
        <w:spacing w:after="0" w:line="238" w:lineRule="exact"/>
        <w:rPr>
          <w:rFonts w:ascii="Arial" w:cs="Arial" w:eastAsia="Arial" w:hAnsi="Arial"/>
          <w:sz w:val="18"/>
          <w:szCs w:val="18"/>
          <w:color w:val="auto"/>
        </w:rPr>
      </w:pPr>
    </w:p>
    <w:p>
      <w:pPr>
        <w:ind w:left="960" w:right="140" w:hanging="424"/>
        <w:spacing w:after="0" w:line="271"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overseeing the annual evaluation of the Board and its committees and reporting the results of such evaluation, including any recommendations for proposed changes, to the Board; and</w:t>
      </w:r>
    </w:p>
    <w:p>
      <w:pPr>
        <w:spacing w:after="0" w:line="180" w:lineRule="exact"/>
        <w:rPr>
          <w:rFonts w:ascii="Arial" w:cs="Arial" w:eastAsia="Arial" w:hAnsi="Arial"/>
          <w:sz w:val="18"/>
          <w:szCs w:val="18"/>
          <w:color w:val="auto"/>
        </w:rPr>
      </w:pPr>
    </w:p>
    <w:p>
      <w:pPr>
        <w:ind w:left="960" w:right="460" w:hanging="424"/>
        <w:spacing w:after="0" w:line="301" w:lineRule="auto"/>
        <w:tabs>
          <w:tab w:leader="none" w:pos="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overseeing compliance with the laws and regulations applicable to the Company’s business, including, without limitation, Centers for Medicare and Medicaid Services rules, fraud and abuse laws, and state health plan licensure requirements.</w:t>
      </w:r>
    </w:p>
    <w:p>
      <w:pPr>
        <w:spacing w:after="0" w:line="131" w:lineRule="exact"/>
        <w:rPr>
          <w:sz w:val="20"/>
          <w:szCs w:val="20"/>
          <w:color w:val="auto"/>
        </w:rPr>
      </w:pPr>
    </w:p>
    <w:p>
      <w:pPr>
        <w:ind w:right="200" w:firstLine="440"/>
        <w:spacing w:after="0" w:line="253" w:lineRule="auto"/>
        <w:rPr>
          <w:sz w:val="20"/>
          <w:szCs w:val="20"/>
          <w:color w:val="auto"/>
        </w:rPr>
      </w:pPr>
      <w:r>
        <w:rPr>
          <w:rFonts w:ascii="Arial" w:cs="Arial" w:eastAsia="Arial" w:hAnsi="Arial"/>
          <w:sz w:val="18"/>
          <w:szCs w:val="18"/>
          <w:color w:val="auto"/>
        </w:rPr>
        <w:t>The NCGCC has the sole authority, at its discretion, to retain and terminate any search firm to assist in the identification of director candidates and the sole authority to set the fees and other retention terms of such search firms. The committee may also retain independent counsel and other independent advisors to assist it in carrying out its responsibilities.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Oversight of Environmental, Social and Governance Matters</w:t>
      </w:r>
    </w:p>
    <w:p>
      <w:pPr>
        <w:spacing w:after="0" w:line="212"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Following the closing of our initial public offering (“IPO”) in March 2021, we began to more formally align our ESG efforts with our long-standing commitment to operating our business in a socially responsible and sustainable manner that takes into account the interests of all our stakeholders. Our Board has formally designated our NCGCC with the responsibility for Board-level oversight of the Company’s ESG strategy, practices and reporting. In addition, our executive management team established an ESG steering committee to guide the integration of our ESG efforts with our long-term business strategy.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440" w:top="298" w:right="47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Our Mission and Values</w:t>
      </w:r>
    </w:p>
    <w:p>
      <w:pPr>
        <w:spacing w:after="0" w:line="102" w:lineRule="exact"/>
        <w:rPr>
          <w:sz w:val="20"/>
          <w:szCs w:val="20"/>
          <w:color w:val="auto"/>
        </w:rPr>
      </w:pPr>
    </w:p>
    <w:p>
      <w:pPr>
        <w:ind w:right="380" w:firstLine="440"/>
        <w:spacing w:after="0" w:line="271" w:lineRule="auto"/>
        <w:rPr>
          <w:sz w:val="20"/>
          <w:szCs w:val="20"/>
          <w:color w:val="auto"/>
        </w:rPr>
      </w:pPr>
      <w:r>
        <w:rPr>
          <w:rFonts w:ascii="Arial" w:cs="Arial" w:eastAsia="Arial" w:hAnsi="Arial"/>
          <w:sz w:val="18"/>
          <w:szCs w:val="18"/>
          <w:color w:val="auto"/>
        </w:rPr>
        <w:t>Alignment Healthcare was founded in 2013 with one mission in mind: improving healthcare one senior at a time. We pursue this mission by relentlessly focusing on our core values:</w:t>
      </w:r>
    </w:p>
    <w:p>
      <w:pPr>
        <w:spacing w:after="0" w:line="181" w:lineRule="exact"/>
        <w:rPr>
          <w:sz w:val="20"/>
          <w:szCs w:val="20"/>
          <w:color w:val="auto"/>
        </w:rPr>
      </w:pPr>
    </w:p>
    <w:p>
      <w:pPr>
        <w:ind w:left="860" w:hanging="432"/>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always put the senior first;</w:t>
      </w:r>
    </w:p>
    <w:p>
      <w:pPr>
        <w:spacing w:after="0" w:line="238" w:lineRule="exact"/>
        <w:rPr>
          <w:rFonts w:ascii="Arial" w:cs="Arial" w:eastAsia="Arial" w:hAnsi="Arial"/>
          <w:sz w:val="18"/>
          <w:szCs w:val="18"/>
          <w:color w:val="auto"/>
        </w:rPr>
      </w:pPr>
    </w:p>
    <w:p>
      <w:pPr>
        <w:ind w:left="860" w:hanging="432"/>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support the doctor;</w:t>
      </w:r>
    </w:p>
    <w:p>
      <w:pPr>
        <w:spacing w:after="0" w:line="238" w:lineRule="exact"/>
        <w:rPr>
          <w:rFonts w:ascii="Arial" w:cs="Arial" w:eastAsia="Arial" w:hAnsi="Arial"/>
          <w:sz w:val="18"/>
          <w:szCs w:val="18"/>
          <w:color w:val="auto"/>
        </w:rPr>
      </w:pPr>
    </w:p>
    <w:p>
      <w:pPr>
        <w:ind w:left="860" w:hanging="432"/>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use data and technology to improve care; and</w:t>
      </w:r>
    </w:p>
    <w:p>
      <w:pPr>
        <w:spacing w:after="0" w:line="238" w:lineRule="exact"/>
        <w:rPr>
          <w:rFonts w:ascii="Arial" w:cs="Arial" w:eastAsia="Arial" w:hAnsi="Arial"/>
          <w:sz w:val="18"/>
          <w:szCs w:val="18"/>
          <w:color w:val="auto"/>
        </w:rPr>
      </w:pPr>
    </w:p>
    <w:p>
      <w:pPr>
        <w:ind w:left="860" w:hanging="432"/>
        <w:spacing w:after="0"/>
        <w:tabs>
          <w:tab w:leader="none" w:pos="8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act with a serving heart.</w:t>
      </w:r>
    </w:p>
    <w:p>
      <w:pPr>
        <w:spacing w:after="0" w:line="212" w:lineRule="exact"/>
        <w:rPr>
          <w:sz w:val="20"/>
          <w:szCs w:val="20"/>
          <w:color w:val="auto"/>
        </w:rPr>
      </w:pPr>
    </w:p>
    <w:p>
      <w:pPr>
        <w:ind w:right="40" w:firstLine="440"/>
        <w:spacing w:after="0" w:line="244" w:lineRule="auto"/>
        <w:rPr>
          <w:sz w:val="20"/>
          <w:szCs w:val="20"/>
          <w:color w:val="auto"/>
        </w:rPr>
      </w:pPr>
      <w:r>
        <w:rPr>
          <w:rFonts w:ascii="Arial" w:cs="Arial" w:eastAsia="Arial" w:hAnsi="Arial"/>
          <w:sz w:val="18"/>
          <w:szCs w:val="18"/>
          <w:color w:val="auto"/>
        </w:rPr>
        <w:t>We created Alignment based on the frustrating experiences we had when our parents and other loved ones needed health care. We saw firsthand the complexity they faced as seniors attempting to navigate care delivery and insurance without an advocate to create an integrated consumer experience that provides holistic and quality care at an affordable price. Our parents and seniors across the country are systemically and disproportionately impacted by the absence of care coordination, poor information transparency and misaligned incentives that characterize the health care system.</w:t>
      </w:r>
    </w:p>
    <w:p>
      <w:pPr>
        <w:spacing w:after="0" w:line="176" w:lineRule="exact"/>
        <w:rPr>
          <w:sz w:val="20"/>
          <w:szCs w:val="20"/>
          <w:color w:val="auto"/>
        </w:rPr>
      </w:pPr>
    </w:p>
    <w:p>
      <w:pPr>
        <w:ind w:right="180" w:firstLine="440"/>
        <w:spacing w:after="0" w:line="244" w:lineRule="auto"/>
        <w:rPr>
          <w:sz w:val="20"/>
          <w:szCs w:val="20"/>
          <w:color w:val="auto"/>
        </w:rPr>
      </w:pPr>
      <w:r>
        <w:rPr>
          <w:rFonts w:ascii="Arial" w:cs="Arial" w:eastAsia="Arial" w:hAnsi="Arial"/>
          <w:sz w:val="18"/>
          <w:szCs w:val="18"/>
          <w:color w:val="auto"/>
        </w:rPr>
        <w:t>Our team of highly experienced health care leaders created the Alignment model to incorporate the lessons we have learned over decades spent serving senior consumers. We believe that by combining our experienced, mission-driven team with purpose-built technology we have found a way to address the unmet needs of senior consumers and to do well by doing good. Our ultimate goal is to bring this differentiated, advocacy-driven health care experience to millions of senior consumers in the United States and to become the most trusted senior health care brand in the country.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Our ESG Focus: Serving People, Serving the Environment and Serving Responsibly</w:t>
      </w:r>
    </w:p>
    <w:p>
      <w:pPr>
        <w:spacing w:after="0" w:line="210" w:lineRule="exact"/>
        <w:rPr>
          <w:sz w:val="20"/>
          <w:szCs w:val="20"/>
          <w:color w:val="auto"/>
        </w:rPr>
      </w:pPr>
    </w:p>
    <w:p>
      <w:pPr>
        <w:ind w:right="420" w:firstLine="440"/>
        <w:spacing w:after="0" w:line="242" w:lineRule="auto"/>
        <w:rPr>
          <w:sz w:val="20"/>
          <w:szCs w:val="20"/>
          <w:color w:val="auto"/>
        </w:rPr>
      </w:pPr>
      <w:r>
        <w:rPr>
          <w:rFonts w:ascii="Arial" w:cs="Arial" w:eastAsia="Arial" w:hAnsi="Arial"/>
          <w:sz w:val="18"/>
          <w:szCs w:val="18"/>
          <w:color w:val="auto"/>
        </w:rPr>
        <w:t>Our company name, Alignment Healthcare, reflects one of our founding principles: to align all stakeholders in the health care ecosystem around doing what is best for the senior. Our belief in the importance of alignment goes beyond our business model—we believe it’s the right thing to do. In order to achieve our mission and sustain business excellence, we approach each aspect of our business and operations with integrity, corporate responsibility, and ethics in mind to protect and enhance the interests of each of our stakeholders—every one of our seniors and their families, our regulatory constituents including the CMS, our team of passionate employees and clinicians, our external provider and delivery system partners and our stockholders.</w:t>
      </w:r>
    </w:p>
    <w:p>
      <w:pPr>
        <w:spacing w:after="0" w:line="179" w:lineRule="exact"/>
        <w:rPr>
          <w:sz w:val="20"/>
          <w:szCs w:val="20"/>
          <w:color w:val="auto"/>
        </w:rPr>
      </w:pPr>
    </w:p>
    <w:p>
      <w:pPr>
        <w:ind w:firstLine="440"/>
        <w:spacing w:after="0" w:line="261" w:lineRule="auto"/>
        <w:rPr>
          <w:sz w:val="20"/>
          <w:szCs w:val="20"/>
          <w:color w:val="auto"/>
        </w:rPr>
      </w:pPr>
      <w:r>
        <w:rPr>
          <w:rFonts w:ascii="Arial" w:cs="Arial" w:eastAsia="Arial" w:hAnsi="Arial"/>
          <w:sz w:val="17"/>
          <w:szCs w:val="17"/>
          <w:color w:val="auto"/>
        </w:rPr>
        <w:t>We believe that proactively managing our ESG impacts supports our mission and reflects our commitment to best serve the long-term interests of our stakeholders. The alignment of our ESG strategy with our corporate strategy amplifies and strengthens the positive long-term impact we can have on our members, employees, stockholders, and the environment. It also promotes long-term value creation for our stockholders and other stakeholders. To support our efforts in this area, we created an ESG steering committee in 2021, consisting of dedicated internal resources and external advisors to address the ESG factors that are material to our business and our stakeholders.</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three pillars to our ESG approach are the following:</w:t>
      </w:r>
    </w:p>
    <w:p>
      <w:pPr>
        <w:spacing w:after="0" w:line="239" w:lineRule="exact"/>
        <w:rPr>
          <w:sz w:val="20"/>
          <w:szCs w:val="20"/>
          <w:color w:val="auto"/>
        </w:rPr>
      </w:pPr>
    </w:p>
    <w:p>
      <w:pPr>
        <w:ind w:left="960" w:hanging="316"/>
        <w:spacing w:after="0" w:line="244"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Serving People </w:t>
      </w:r>
      <w:r>
        <w:rPr>
          <w:rFonts w:ascii="Arial" w:cs="Arial" w:eastAsia="Arial" w:hAnsi="Arial"/>
          <w:sz w:val="18"/>
          <w:szCs w:val="18"/>
          <w:color w:val="auto"/>
        </w:rPr>
        <w:t>– We are committed to serving our members, health care providers, employees, caregivers and broader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Our employees are our most valuable asset, and we are dedicated to creating an organization where they feel a sense of engagement and belonging. See “</w:t>
      </w:r>
      <w:r>
        <w:rPr>
          <w:rFonts w:ascii="Arial" w:cs="Arial" w:eastAsia="Arial" w:hAnsi="Arial"/>
          <w:sz w:val="18"/>
          <w:szCs w:val="18"/>
          <w:i w:val="1"/>
          <w:iCs w:val="1"/>
          <w:color w:val="auto"/>
        </w:rPr>
        <w:t>—Human Resources</w:t>
      </w:r>
      <w:r>
        <w:rPr>
          <w:rFonts w:ascii="Arial" w:cs="Arial" w:eastAsia="Arial" w:hAnsi="Arial"/>
          <w:sz w:val="18"/>
          <w:szCs w:val="18"/>
          <w:color w:val="auto"/>
        </w:rPr>
        <w:t>” below. We work together and put our members first in everything we do, and we strive to support our health care providers with the tools and resources needed to provide the best care.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960"/>
          </w:cols>
          <w:pgMar w:left="440" w:top="298" w:right="499" w:bottom="1440" w:gutter="0" w:footer="0" w:header="0"/>
        </w:sectPr>
      </w:pPr>
    </w:p>
    <w:bookmarkStart w:id="39" w:name="page40"/>
    <w:bookmarkEnd w:id="39"/>
    <w:p>
      <w:pPr>
        <w:ind w:left="960" w:hanging="316"/>
        <w:spacing w:after="0" w:line="271"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Serving the Environment </w:t>
      </w:r>
      <w:r>
        <w:rPr>
          <w:rFonts w:ascii="Arial" w:cs="Arial" w:eastAsia="Arial" w:hAnsi="Arial"/>
          <w:sz w:val="18"/>
          <w:szCs w:val="18"/>
          <w:color w:val="auto"/>
        </w:rPr>
        <w:t>– Our company is focused on understanding and improving our carbon footprint in order to mitigate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environmental impact as well as expanding telehealth and supporting hybrid and remote work.</w:t>
      </w:r>
    </w:p>
    <w:p>
      <w:pPr>
        <w:spacing w:after="0" w:line="180" w:lineRule="exact"/>
        <w:rPr>
          <w:rFonts w:ascii="Arial" w:cs="Arial" w:eastAsia="Arial" w:hAnsi="Arial"/>
          <w:sz w:val="18"/>
          <w:szCs w:val="18"/>
          <w:color w:val="auto"/>
        </w:rPr>
      </w:pPr>
    </w:p>
    <w:p>
      <w:pPr>
        <w:ind w:left="960" w:right="340" w:hanging="316"/>
        <w:spacing w:after="0" w:line="253"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Serving Responsibly </w:t>
      </w:r>
      <w:r>
        <w:rPr>
          <w:rFonts w:ascii="Arial" w:cs="Arial" w:eastAsia="Arial" w:hAnsi="Arial"/>
          <w:sz w:val="18"/>
          <w:szCs w:val="18"/>
          <w:color w:val="auto"/>
        </w:rPr>
        <w:t>– We are committed to maintaining a high level of transparency and accountability across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Our Board of Directors includes a strong and diverse mix of experienced business leaders and is committed to providing effective oversight of the Company’s activities.</w:t>
      </w:r>
    </w:p>
    <w:p>
      <w:pPr>
        <w:spacing w:after="0" w:line="169"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Our aim is to continue fortifying each pillar and to operate with transparency in a way that always puts seniors first, and respects all people, communities and the environment.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Serving Seniors with Our Differentiated Model</w:t>
      </w:r>
    </w:p>
    <w:p>
      <w:pPr>
        <w:spacing w:after="0" w:line="210" w:lineRule="exact"/>
        <w:rPr>
          <w:sz w:val="20"/>
          <w:szCs w:val="20"/>
          <w:color w:val="auto"/>
        </w:rPr>
      </w:pPr>
    </w:p>
    <w:p>
      <w:pPr>
        <w:jc w:val="both"/>
        <w:ind w:right="380" w:firstLine="440"/>
        <w:spacing w:after="0" w:line="275" w:lineRule="auto"/>
        <w:rPr>
          <w:sz w:val="20"/>
          <w:szCs w:val="20"/>
          <w:color w:val="auto"/>
        </w:rPr>
      </w:pPr>
      <w:r>
        <w:rPr>
          <w:rFonts w:ascii="Arial" w:cs="Arial" w:eastAsia="Arial" w:hAnsi="Arial"/>
          <w:sz w:val="17"/>
          <w:szCs w:val="17"/>
          <w:color w:val="auto"/>
        </w:rPr>
        <w:t>Medicare Advantage allows one entity to influence the entirety of a senior’s health care experience through a singular, direct-to-consumer product. Our value of acting with a serving heart supports our efforts to drive the convergence between traditional Medicare Advantage benefits with social determinants of health and consumerism, ultimately for the long-term wellbeing of our seniors.</w:t>
      </w:r>
    </w:p>
    <w:p>
      <w:pPr>
        <w:spacing w:after="0" w:line="152" w:lineRule="exact"/>
        <w:rPr>
          <w:sz w:val="20"/>
          <w:szCs w:val="20"/>
          <w:color w:val="auto"/>
        </w:rPr>
      </w:pPr>
    </w:p>
    <w:p>
      <w:pPr>
        <w:ind w:right="40" w:firstLine="440"/>
        <w:spacing w:after="0" w:line="239" w:lineRule="auto"/>
        <w:rPr>
          <w:sz w:val="20"/>
          <w:szCs w:val="20"/>
          <w:color w:val="auto"/>
        </w:rPr>
      </w:pPr>
      <w:r>
        <w:rPr>
          <w:rFonts w:ascii="Arial" w:cs="Arial" w:eastAsia="Arial" w:hAnsi="Arial"/>
          <w:sz w:val="18"/>
          <w:szCs w:val="18"/>
          <w:color w:val="auto"/>
        </w:rPr>
        <w:t>We contract with CMS under the Medicare Advantage program to provide health insurance coverage to Medicare-eligible people in exchange for a payment per member per month (“PMPM”). The economic construct of the Medicare Advantage program is designed to reward plans that achieve the triple aim of high-quality care, low costs and a better experience. Under these value-based contracts, we assume the economic risk of funding our members’ health care, supplemental benefits and related administration costs. By transferring the economic risk to managed care companies like Alignment, CMS has enabled us to focus on proactive, cross-disciplinary care targeted at improving health outcomes and lowering unnecessary health care expenditures. Due to the competitive nature of CMS’s bidding system, only those plans that are able to provide low cost and high-quality outcomes will be able to offer enhanced benefit options, which is critical to achieving sustainable membership and growth on a long-term basis. This value-based business model capitalizes on health outcomes, not fees, and is designed to serve all members while emphasizing preventative care and benefits.</w:t>
      </w:r>
    </w:p>
    <w:p>
      <w:pPr>
        <w:spacing w:after="0" w:line="183"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We achieve our differentiated outcomes through the utilization of AVA, our proprietary technology platform. AVA leverages a vast amount of data to curate insights which we use to allocate health resources to our members, driving the creation of an end-to-end, low-cost, high-quality care model. Our focus on driving clinical care through our employed clinical teams to high-risk members, while supporting and enabling preventative care through our network of providers for the remaining population, allows our value-based care model to optimize the utilization of resources and strengthen sustainability of our product offering. Our improved health outcomes allow us to provide individualized, supplemental benefits and products that meet the needs of our seniors, including critical-health support, transportation services, financial support for groceries and non-prescription products, and demographic-based and culturally relevant resources.</w:t>
      </w:r>
    </w:p>
    <w:p>
      <w:pPr>
        <w:spacing w:after="0" w:line="180" w:lineRule="exact"/>
        <w:rPr>
          <w:sz w:val="20"/>
          <w:szCs w:val="20"/>
          <w:color w:val="auto"/>
        </w:rPr>
      </w:pPr>
    </w:p>
    <w:p>
      <w:pPr>
        <w:ind w:right="120" w:firstLine="440"/>
        <w:spacing w:after="0" w:line="253" w:lineRule="auto"/>
        <w:rPr>
          <w:sz w:val="20"/>
          <w:szCs w:val="20"/>
          <w:color w:val="auto"/>
        </w:rPr>
      </w:pPr>
      <w:r>
        <w:rPr>
          <w:rFonts w:ascii="Arial" w:cs="Arial" w:eastAsia="Arial" w:hAnsi="Arial"/>
          <w:sz w:val="18"/>
          <w:szCs w:val="18"/>
          <w:color w:val="auto"/>
        </w:rPr>
        <w:t>The health outcomes of our members, due to our differentiated model, has resulted in approximately 93% of our members reporting their overall satisfaction with Alignment’s case management services, in addition to exceptional quality outcomes, including 38% lower inpatient admissions per thousand than traditional Medicare.*</w:t>
      </w:r>
    </w:p>
    <w:p>
      <w:pPr>
        <w:spacing w:after="0" w:line="179" w:lineRule="exact"/>
        <w:rPr>
          <w:sz w:val="20"/>
          <w:szCs w:val="20"/>
          <w:color w:val="auto"/>
        </w:rPr>
      </w:pPr>
    </w:p>
    <w:p>
      <w:pPr>
        <w:ind w:right="460" w:firstLine="436"/>
        <w:spacing w:after="0" w:line="285" w:lineRule="auto"/>
        <w:tabs>
          <w:tab w:leader="none" w:pos="536" w:val="left"/>
        </w:tabs>
        <w:numPr>
          <w:ilvl w:val="0"/>
          <w:numId w:val="25"/>
        </w:numPr>
        <w:rPr>
          <w:rFonts w:ascii="Arial" w:cs="Arial" w:eastAsia="Arial" w:hAnsi="Arial"/>
          <w:sz w:val="14"/>
          <w:szCs w:val="14"/>
          <w:color w:val="auto"/>
        </w:rPr>
      </w:pPr>
      <w:r>
        <w:rPr>
          <w:rFonts w:ascii="Arial" w:cs="Arial" w:eastAsia="Arial" w:hAnsi="Arial"/>
          <w:sz w:val="14"/>
          <w:szCs w:val="14"/>
          <w:color w:val="auto"/>
        </w:rPr>
        <w:t>Estimated 2023 At-Risk member inpatient utilization relative to 2019 Medicare FFS inpatient utilization representative of Alignment’s population mix by county (based on membership as of 2023).</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Human Resources</w:t>
      </w:r>
    </w:p>
    <w:p>
      <w:pPr>
        <w:spacing w:after="0" w:line="210" w:lineRule="exact"/>
        <w:rPr>
          <w:sz w:val="20"/>
          <w:szCs w:val="20"/>
          <w:color w:val="auto"/>
        </w:rPr>
      </w:pPr>
    </w:p>
    <w:p>
      <w:pPr>
        <w:jc w:val="both"/>
        <w:ind w:right="80" w:firstLine="440"/>
        <w:spacing w:after="0" w:line="253" w:lineRule="auto"/>
        <w:rPr>
          <w:sz w:val="20"/>
          <w:szCs w:val="20"/>
          <w:color w:val="auto"/>
        </w:rPr>
      </w:pPr>
      <w:r>
        <w:rPr>
          <w:rFonts w:ascii="Arial" w:cs="Arial" w:eastAsia="Arial" w:hAnsi="Arial"/>
          <w:sz w:val="18"/>
          <w:szCs w:val="18"/>
          <w:color w:val="auto"/>
        </w:rPr>
        <w:t>We are focused on building a company that is transforming health care by putting seniors first, and our employees are critical to our success. Our human resources strategy focuses on meeting business objectives by attracting, developing, engaging and retaining a high-performing, diverse workforce. As of</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96" w:right="459" w:bottom="1440" w:gutter="0" w:footer="0" w:header="0"/>
        </w:sectPr>
      </w:pPr>
    </w:p>
    <w:bookmarkStart w:id="40" w:name="page41"/>
    <w:bookmarkEnd w:id="40"/>
    <w:p>
      <w:pPr>
        <w:ind w:right="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December 31, 2023, we had 1,536 full-time employees, in addition to seasonal employees who assist with the Medicare annual enrollment period.</w:t>
      </w:r>
    </w:p>
    <w:p>
      <w:pPr>
        <w:spacing w:after="0" w:line="154" w:lineRule="exact"/>
        <w:rPr>
          <w:sz w:val="20"/>
          <w:szCs w:val="20"/>
          <w:color w:val="auto"/>
        </w:rPr>
      </w:pPr>
    </w:p>
    <w:p>
      <w:pPr>
        <w:ind w:right="180" w:firstLine="440"/>
        <w:spacing w:after="0" w:line="247" w:lineRule="auto"/>
        <w:rPr>
          <w:sz w:val="20"/>
          <w:szCs w:val="20"/>
          <w:color w:val="auto"/>
        </w:rPr>
      </w:pPr>
      <w:r>
        <w:rPr>
          <w:rFonts w:ascii="Arial" w:cs="Arial" w:eastAsia="Arial" w:hAnsi="Arial"/>
          <w:sz w:val="18"/>
          <w:szCs w:val="18"/>
          <w:color w:val="auto"/>
        </w:rPr>
        <w:t>We believe that an engaged, innovative and productive workforce is essential to supporting our company’s mission of changing health care one senior at a time, as well as our values of putting our members first, supporting our physicians, applying technology to improve care and having a serving heart. Each year, we conduct an employee survey that enables our leaders to develop action plans to further enhance employee engagement and productivity.</w:t>
      </w:r>
    </w:p>
    <w:p>
      <w:pPr>
        <w:spacing w:after="0" w:line="174" w:lineRule="exact"/>
        <w:rPr>
          <w:sz w:val="20"/>
          <w:szCs w:val="20"/>
          <w:color w:val="auto"/>
        </w:rPr>
      </w:pPr>
    </w:p>
    <w:p>
      <w:pPr>
        <w:ind w:right="100" w:firstLine="440"/>
        <w:spacing w:after="0" w:line="253" w:lineRule="auto"/>
        <w:rPr>
          <w:sz w:val="20"/>
          <w:szCs w:val="20"/>
          <w:color w:val="auto"/>
        </w:rPr>
      </w:pPr>
      <w:r>
        <w:rPr>
          <w:rFonts w:ascii="Arial" w:cs="Arial" w:eastAsia="Arial" w:hAnsi="Arial"/>
          <w:sz w:val="18"/>
          <w:szCs w:val="18"/>
          <w:color w:val="auto"/>
        </w:rPr>
        <w:t>We recognize that diversity, equity and inclusion (“DEI”) is crucial as we scale and build our high-performing team. We intend for our DEI strategy to be embedded in each aspect of the processes, programs and structures that drive our talent lifecycle: attraction, recruitment, onboarding, development and retention efforts. As of December 31, 2023:</w:t>
      </w:r>
    </w:p>
    <w:p>
      <w:pPr>
        <w:spacing w:after="0" w:line="74" w:lineRule="exact"/>
        <w:rPr>
          <w:sz w:val="20"/>
          <w:szCs w:val="20"/>
          <w:color w:val="auto"/>
        </w:rPr>
      </w:pPr>
    </w:p>
    <w:p>
      <w:pPr>
        <w:ind w:left="860" w:hanging="4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73% of our employees were women</w:t>
      </w:r>
    </w:p>
    <w:p>
      <w:pPr>
        <w:spacing w:after="0" w:line="117" w:lineRule="exact"/>
        <w:rPr>
          <w:rFonts w:ascii="Arial" w:cs="Arial" w:eastAsia="Arial" w:hAnsi="Arial"/>
          <w:sz w:val="18"/>
          <w:szCs w:val="18"/>
          <w:color w:val="auto"/>
        </w:rPr>
      </w:pPr>
    </w:p>
    <w:p>
      <w:pPr>
        <w:ind w:left="860" w:hanging="4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66% of our employees were ethnically diverse</w:t>
      </w:r>
    </w:p>
    <w:p>
      <w:pPr>
        <w:spacing w:after="0" w:line="117" w:lineRule="exact"/>
        <w:rPr>
          <w:rFonts w:ascii="Arial" w:cs="Arial" w:eastAsia="Arial" w:hAnsi="Arial"/>
          <w:sz w:val="18"/>
          <w:szCs w:val="18"/>
          <w:color w:val="auto"/>
        </w:rPr>
      </w:pPr>
    </w:p>
    <w:p>
      <w:pPr>
        <w:ind w:left="860" w:hanging="4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20% of our executive team was ethnically diverse</w:t>
      </w:r>
    </w:p>
    <w:p>
      <w:pPr>
        <w:spacing w:after="0" w:line="117" w:lineRule="exact"/>
        <w:rPr>
          <w:rFonts w:ascii="Arial" w:cs="Arial" w:eastAsia="Arial" w:hAnsi="Arial"/>
          <w:sz w:val="18"/>
          <w:szCs w:val="18"/>
          <w:color w:val="auto"/>
        </w:rPr>
      </w:pPr>
    </w:p>
    <w:p>
      <w:pPr>
        <w:ind w:left="860" w:hanging="4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11% of our executive team were women</w:t>
      </w:r>
    </w:p>
    <w:p>
      <w:pPr>
        <w:spacing w:after="0" w:line="117" w:lineRule="exact"/>
        <w:rPr>
          <w:rFonts w:ascii="Arial" w:cs="Arial" w:eastAsia="Arial" w:hAnsi="Arial"/>
          <w:sz w:val="18"/>
          <w:szCs w:val="18"/>
          <w:color w:val="auto"/>
        </w:rPr>
      </w:pPr>
    </w:p>
    <w:p>
      <w:pPr>
        <w:ind w:left="860" w:hanging="4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18% of our Board of Directors was ethnically diverse</w:t>
      </w:r>
    </w:p>
    <w:p>
      <w:pPr>
        <w:spacing w:after="0" w:line="117" w:lineRule="exact"/>
        <w:rPr>
          <w:rFonts w:ascii="Arial" w:cs="Arial" w:eastAsia="Arial" w:hAnsi="Arial"/>
          <w:sz w:val="18"/>
          <w:szCs w:val="18"/>
          <w:color w:val="auto"/>
        </w:rPr>
      </w:pPr>
    </w:p>
    <w:p>
      <w:pPr>
        <w:ind w:left="860" w:hanging="432"/>
        <w:spacing w:after="0"/>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36% of our Board of Directors were women</w:t>
      </w:r>
    </w:p>
    <w:p>
      <w:pPr>
        <w:spacing w:after="0" w:line="212" w:lineRule="exact"/>
        <w:rPr>
          <w:sz w:val="20"/>
          <w:szCs w:val="20"/>
          <w:color w:val="auto"/>
        </w:rPr>
      </w:pPr>
    </w:p>
    <w:p>
      <w:pPr>
        <w:ind w:firstLine="440"/>
        <w:spacing w:after="0" w:line="257" w:lineRule="auto"/>
        <w:rPr>
          <w:sz w:val="20"/>
          <w:szCs w:val="20"/>
          <w:color w:val="auto"/>
        </w:rPr>
      </w:pPr>
      <w:r>
        <w:rPr>
          <w:rFonts w:ascii="Arial" w:cs="Arial" w:eastAsia="Arial" w:hAnsi="Arial"/>
          <w:sz w:val="17"/>
          <w:szCs w:val="17"/>
          <w:color w:val="auto"/>
        </w:rPr>
        <w:t>The future success of our company will depend, in part, on our continued ability to attract, develop and retain the best talent as we grow and scale the organization. Our talent acquisition and management strategies are designed to ensure that we create and develop a pipeline of outstanding physicians, clinical employees, and business leaders. A key component of our corporate sustainability and success is learning and development. We are intentional in our efforts to provide all employees opportunities to grow. Our training and development programs for employees focus on enhancing and developing talent within the Company. All of our employees can access the training of their choice on-demand through our learning and development platform. We are currently designing additional training programs and resources for both new hires and longer-tenured employees that will educate them on critical functional areas within the organization.</w:t>
      </w:r>
    </w:p>
    <w:p>
      <w:pPr>
        <w:spacing w:after="0" w:line="168" w:lineRule="exact"/>
        <w:rPr>
          <w:sz w:val="20"/>
          <w:szCs w:val="20"/>
          <w:color w:val="auto"/>
        </w:rPr>
      </w:pPr>
    </w:p>
    <w:p>
      <w:pPr>
        <w:ind w:right="140" w:firstLine="440"/>
        <w:spacing w:after="0" w:line="244" w:lineRule="auto"/>
        <w:rPr>
          <w:sz w:val="20"/>
          <w:szCs w:val="20"/>
          <w:color w:val="auto"/>
        </w:rPr>
      </w:pPr>
      <w:r>
        <w:rPr>
          <w:rFonts w:ascii="Arial" w:cs="Arial" w:eastAsia="Arial" w:hAnsi="Arial"/>
          <w:sz w:val="18"/>
          <w:szCs w:val="18"/>
          <w:color w:val="auto"/>
        </w:rPr>
        <w:t>Our compensation and incentive plans are designed to attract, retain and reward employees by granting cash-based performance and stock-based awards. By motivating individuals to achieve business objectives and perform to the best of their abilities, they support the success of the Company and the increase of stockholder value. We also provide comprehensive medical benefits, a positive work/life balance, generous paid time off, health and wellness programs, and learning and development opportunities. We regularly evaluate each aspect of compensation and benefits to ensure they align with the market and our peers.</w:t>
      </w:r>
    </w:p>
    <w:p>
      <w:pPr>
        <w:spacing w:after="0" w:line="176" w:lineRule="exact"/>
        <w:rPr>
          <w:sz w:val="20"/>
          <w:szCs w:val="20"/>
          <w:color w:val="auto"/>
        </w:rPr>
      </w:pPr>
    </w:p>
    <w:p>
      <w:pPr>
        <w:ind w:right="20" w:firstLine="440"/>
        <w:spacing w:after="0" w:line="247" w:lineRule="auto"/>
        <w:rPr>
          <w:sz w:val="20"/>
          <w:szCs w:val="20"/>
          <w:color w:val="auto"/>
        </w:rPr>
      </w:pPr>
      <w:r>
        <w:rPr>
          <w:rFonts w:ascii="Arial" w:cs="Arial" w:eastAsia="Arial" w:hAnsi="Arial"/>
          <w:sz w:val="18"/>
          <w:szCs w:val="18"/>
          <w:color w:val="auto"/>
        </w:rPr>
        <w:t>We value the safety of our employees and have created a largely remote-work environment during the pandemic. Our current workforce model has employees working in a hybrid-remote fashion, with some member-facing employees having returned to an in-person work environment. We plan on implementing a workforce strategy that further enhances our ability to attract the best talent nationally and continues to provide our employees with a healthy work-life balance.</w:t>
      </w:r>
    </w:p>
    <w:p>
      <w:pPr>
        <w:spacing w:after="0" w:line="174" w:lineRule="exact"/>
        <w:rPr>
          <w:sz w:val="20"/>
          <w:szCs w:val="20"/>
          <w:color w:val="auto"/>
        </w:rPr>
      </w:pPr>
    </w:p>
    <w:p>
      <w:pPr>
        <w:ind w:right="540" w:firstLine="440"/>
        <w:spacing w:after="0" w:line="253" w:lineRule="auto"/>
        <w:rPr>
          <w:sz w:val="20"/>
          <w:szCs w:val="20"/>
          <w:color w:val="auto"/>
        </w:rPr>
      </w:pPr>
      <w:r>
        <w:rPr>
          <w:rFonts w:ascii="Arial" w:cs="Arial" w:eastAsia="Arial" w:hAnsi="Arial"/>
          <w:sz w:val="18"/>
          <w:szCs w:val="18"/>
          <w:color w:val="auto"/>
        </w:rPr>
        <w:t>Our Board believes that human resources management is an essential component of our continued growth and success. Management regularly reports to our Board for input on important decisions related to human resources, including corporate culture, safety, compliance, talent management, organizational development, compensation and benefits.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20"/>
          </w:cols>
          <w:pgMar w:left="440" w:top="296" w:right="4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i w:val="1"/>
          <w:i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Protecting Data Privacy</w:t>
      </w:r>
    </w:p>
    <w:p>
      <w:pPr>
        <w:spacing w:after="0" w:line="210" w:lineRule="exact"/>
        <w:rPr>
          <w:sz w:val="20"/>
          <w:szCs w:val="20"/>
          <w:color w:val="auto"/>
        </w:rPr>
      </w:pPr>
    </w:p>
    <w:p>
      <w:pPr>
        <w:ind w:right="180" w:firstLine="440"/>
        <w:spacing w:after="0" w:line="261" w:lineRule="auto"/>
        <w:rPr>
          <w:sz w:val="20"/>
          <w:szCs w:val="20"/>
          <w:color w:val="auto"/>
        </w:rPr>
      </w:pPr>
      <w:r>
        <w:rPr>
          <w:rFonts w:ascii="Arial" w:cs="Arial" w:eastAsia="Arial" w:hAnsi="Arial"/>
          <w:sz w:val="17"/>
          <w:szCs w:val="17"/>
          <w:color w:val="auto"/>
        </w:rPr>
        <w:t>As we are a company that leverages data, technology and analytics to improve health care, we invest in long-term solutions to address current and foreseeable risks and threats to data security and privacy, while also enabling technological development that enhances the member experience. We recognize the critical importance of developing, implementing, and maintaining robust cybersecurity measures to safeguard our information systems and protect the confidentiality, integrity, and availability of our data. Our strict protection and security measures have resulted in zero security incident-related disruptions or downtime to our business continuity.</w:t>
      </w:r>
    </w:p>
    <w:p>
      <w:pPr>
        <w:spacing w:after="0" w:line="166" w:lineRule="exact"/>
        <w:rPr>
          <w:sz w:val="20"/>
          <w:szCs w:val="20"/>
          <w:color w:val="auto"/>
        </w:rPr>
      </w:pPr>
    </w:p>
    <w:p>
      <w:pPr>
        <w:ind w:right="140" w:firstLine="440"/>
        <w:spacing w:after="0" w:line="244" w:lineRule="auto"/>
        <w:rPr>
          <w:sz w:val="20"/>
          <w:szCs w:val="20"/>
          <w:color w:val="auto"/>
        </w:rPr>
      </w:pPr>
      <w:r>
        <w:rPr>
          <w:rFonts w:ascii="Arial" w:cs="Arial" w:eastAsia="Arial" w:hAnsi="Arial"/>
          <w:sz w:val="18"/>
          <w:szCs w:val="18"/>
          <w:color w:val="auto"/>
        </w:rPr>
        <w:t>Our data security and privacy program is overseen by our Chief Information Security Officer who reports to our Chief Information Officer and Audit Committee of the Board. Our Chief Information Security Officer has served in that role since December 2022, has over 25 years of diverse leadership experience in the healthcare information space (including over 20 years as a certified information systems security professional and chief information security officer) and holds advanced degrees in information technology management and computer science.</w:t>
      </w:r>
    </w:p>
    <w:p>
      <w:pPr>
        <w:spacing w:after="0" w:line="176" w:lineRule="exact"/>
        <w:rPr>
          <w:sz w:val="20"/>
          <w:szCs w:val="20"/>
          <w:color w:val="auto"/>
        </w:rPr>
      </w:pPr>
    </w:p>
    <w:p>
      <w:pPr>
        <w:ind w:right="260" w:firstLine="440"/>
        <w:spacing w:after="0" w:line="244" w:lineRule="auto"/>
        <w:rPr>
          <w:sz w:val="20"/>
          <w:szCs w:val="20"/>
          <w:color w:val="auto"/>
        </w:rPr>
      </w:pPr>
      <w:r>
        <w:rPr>
          <w:rFonts w:ascii="Arial" w:cs="Arial" w:eastAsia="Arial" w:hAnsi="Arial"/>
          <w:sz w:val="18"/>
          <w:szCs w:val="18"/>
          <w:color w:val="auto"/>
        </w:rPr>
        <w:t>In 2021, we received the externally validated HITRUST certification, the gold standard compliance framework in the health care industry. Through our data security and privacy program and policies, we adhere to the requirements of the Health Insurance Portability and Accountability Act of 1996 (HIPAA), other federal regulations and best practices within the health care industry. Moreover, our risk analysis methodology is consistent with ISO 27001, the Federal Information Security Management Act and the U.S. Department of Commerce National Institute of Standards and Technology and Center for Internet Security Special Publication 800-66.</w:t>
      </w:r>
    </w:p>
    <w:p>
      <w:pPr>
        <w:spacing w:after="0" w:line="176" w:lineRule="exact"/>
        <w:rPr>
          <w:sz w:val="20"/>
          <w:szCs w:val="20"/>
          <w:color w:val="auto"/>
        </w:rPr>
      </w:pPr>
    </w:p>
    <w:p>
      <w:pPr>
        <w:ind w:right="220" w:firstLine="440"/>
        <w:spacing w:after="0" w:line="239" w:lineRule="auto"/>
        <w:rPr>
          <w:sz w:val="20"/>
          <w:szCs w:val="20"/>
          <w:color w:val="auto"/>
        </w:rPr>
      </w:pPr>
      <w:r>
        <w:rPr>
          <w:rFonts w:ascii="Arial" w:cs="Arial" w:eastAsia="Arial" w:hAnsi="Arial"/>
          <w:sz w:val="18"/>
          <w:szCs w:val="18"/>
          <w:color w:val="auto"/>
        </w:rPr>
        <w:t>We have designed and deployed a comprehensive cybersecurity risk management program that is embedded in our broader risk management framework, all of which is overseen by our Board of Directors. Our program is designed to include ongoing assessment of our critical assets; detection and analysis of potential threats; timely management of identified security risks; and prompt remediation planning and implementation. To successfully operate and monitor our security readiness, we maintain a data security and privacy team with substantial real-world experience to detect and respond to cybersecurity threats. Our multi-layered security is bolstered by technologies and partners and includes annual employee and vendor security awareness trainings, enhanced access control, data loss protection and vulnerability management, among other technical and process security controls. Our proprietary data architecture, AVA, incorporates high security controls around member data. Our information security program considers how attackers are using emerging technologies (such as artificial intelligence) to help inform our defensive tactics. Our team also regularly reviews emerging product technology to improve our capabilities.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Stockholder Engagement</w:t>
      </w:r>
    </w:p>
    <w:p>
      <w:pPr>
        <w:spacing w:after="0" w:line="212"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We are committed to effective corporate governance that is designed to promote the long-term interests of our stockholders. We proactively engage with stockholders and other stakeholders throughout the year to learn more about their perspectives on significant issues, including company performance and strategy, executive compensation and ESG matters. This engagement helps us better understand stockholder priorities, gives us an opportunity to elaborate upon our initiatives and practices, and fosters constructive dialogue. Our senior management and investor relations teams maintain regular contact with a broad base of investors through quarterly earnings calls, investor conferences and roundtables and individual meetings. We take feedback and insights from our engagement with stockholders and other stakeholders into consideration as we review and evolve our practices and disclosures, and share this feedback with our Board, as appropriate. Our Lead Sponsors, our two largest stockholders, are represented by directors they have nominated to serve on our Board. See “</w:t>
      </w:r>
      <w:r>
        <w:rPr>
          <w:rFonts w:ascii="Arial" w:cs="Arial" w:eastAsia="Arial" w:hAnsi="Arial"/>
          <w:sz w:val="18"/>
          <w:szCs w:val="18"/>
          <w:i w:val="1"/>
          <w:iCs w:val="1"/>
          <w:color w:val="auto"/>
        </w:rPr>
        <w:t>—Board Composition and Director Independence</w:t>
      </w:r>
      <w:r>
        <w:rPr>
          <w:rFonts w:ascii="Arial" w:cs="Arial" w:eastAsia="Arial" w:hAnsi="Arial"/>
          <w:sz w:val="18"/>
          <w:szCs w:val="18"/>
          <w:color w:val="auto"/>
        </w:rPr>
        <w:t>”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98" w:right="4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Family Relationships</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family relationships between any of our executive officers or directors.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Committee Interlocks and Insider Participation</w:t>
      </w:r>
    </w:p>
    <w:p>
      <w:pPr>
        <w:spacing w:after="0" w:line="212" w:lineRule="exact"/>
        <w:rPr>
          <w:sz w:val="20"/>
          <w:szCs w:val="20"/>
          <w:color w:val="auto"/>
        </w:rPr>
      </w:pPr>
    </w:p>
    <w:p>
      <w:pPr>
        <w:ind w:right="80" w:firstLine="440"/>
        <w:spacing w:after="0" w:line="244" w:lineRule="auto"/>
        <w:rPr>
          <w:sz w:val="20"/>
          <w:szCs w:val="20"/>
          <w:color w:val="auto"/>
        </w:rPr>
      </w:pPr>
      <w:r>
        <w:rPr>
          <w:rFonts w:ascii="Arial" w:cs="Arial" w:eastAsia="Arial" w:hAnsi="Arial"/>
          <w:sz w:val="18"/>
          <w:szCs w:val="18"/>
          <w:color w:val="auto"/>
        </w:rPr>
        <w:t>Our Compensation Committee is composed of Mr. Carella, Ms. Kosecoff and Mr. Vorhoff. None of the directors who served on our Compensation Committee at any time during fiscal 2023 were officers or associates of the Company or were former officers or associates of the Company. Further, none of the members who served on our Compensation Committee at any time during fiscal 2023 had any relationship with our Company requiring disclosure under the section of this proxy statement entitled “</w:t>
      </w:r>
      <w:r>
        <w:rPr>
          <w:rFonts w:ascii="Arial" w:cs="Arial" w:eastAsia="Arial" w:hAnsi="Arial"/>
          <w:sz w:val="18"/>
          <w:szCs w:val="18"/>
          <w:i w:val="1"/>
          <w:iCs w:val="1"/>
          <w:color w:val="auto"/>
        </w:rPr>
        <w:t>Certain Relationships and Related</w:t>
      </w:r>
      <w:r>
        <w:rPr>
          <w:rFonts w:ascii="Arial" w:cs="Arial" w:eastAsia="Arial" w:hAnsi="Arial"/>
          <w:sz w:val="18"/>
          <w:szCs w:val="18"/>
          <w:color w:val="auto"/>
        </w:rPr>
        <w:t xml:space="preserve"> </w:t>
      </w:r>
      <w:r>
        <w:rPr>
          <w:rFonts w:ascii="Arial" w:cs="Arial" w:eastAsia="Arial" w:hAnsi="Arial"/>
          <w:sz w:val="18"/>
          <w:szCs w:val="18"/>
          <w:i w:val="1"/>
          <w:iCs w:val="1"/>
          <w:color w:val="auto"/>
        </w:rPr>
        <w:t>Party Transactions</w:t>
      </w:r>
      <w:r>
        <w:rPr>
          <w:rFonts w:ascii="Arial" w:cs="Arial" w:eastAsia="Arial" w:hAnsi="Arial"/>
          <w:sz w:val="18"/>
          <w:szCs w:val="18"/>
          <w:color w:val="auto"/>
        </w:rPr>
        <w:t>.”</w:t>
      </w:r>
    </w:p>
    <w:p>
      <w:pPr>
        <w:spacing w:after="0" w:line="176" w:lineRule="exact"/>
        <w:rPr>
          <w:sz w:val="20"/>
          <w:szCs w:val="20"/>
          <w:color w:val="auto"/>
        </w:rPr>
      </w:pPr>
    </w:p>
    <w:p>
      <w:pPr>
        <w:ind w:right="620" w:firstLine="440"/>
        <w:spacing w:after="0" w:line="301" w:lineRule="auto"/>
        <w:rPr>
          <w:sz w:val="20"/>
          <w:szCs w:val="20"/>
          <w:color w:val="auto"/>
        </w:rPr>
      </w:pPr>
      <w:r>
        <w:rPr>
          <w:rFonts w:ascii="Arial" w:cs="Arial" w:eastAsia="Arial" w:hAnsi="Arial"/>
          <w:sz w:val="17"/>
          <w:szCs w:val="17"/>
          <w:color w:val="auto"/>
        </w:rPr>
        <w:t>None of our executive officers currently serves, or in the past fiscal year has served, as a member of the board of directors or compensation committee of any entity that has one or more executive officers serving on our Board or Compensation Committee.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Code of Business Conduct and Ethics</w:t>
      </w:r>
    </w:p>
    <w:p>
      <w:pPr>
        <w:spacing w:after="0" w:line="104"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color w:val="auto"/>
        </w:rPr>
        <w:t>We adopted a written code of business conduct and ethics that applies to our directors, executive officers and employees, including our principal executive officer, principal financial officer, principal accounting officer or controller, or persons performing similar functions. A current copy of the code is posted on the investor relations section of our corporate website at https://ir.alignmenthealth.com/. To the extent required by applicable rules adopted by the SEC and Nasdaq, we intend to disclose future amendments to certain provisions of the code, or waivers of such provisions granted to executive officers and directors, in this location on our website at https://ir.alignmenthealth.com/.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Insider Trading Policy; Hedging and Other Transactions</w:t>
      </w:r>
    </w:p>
    <w:p>
      <w:pPr>
        <w:spacing w:after="0" w:line="212"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Our Insider Trading Policy prohibits all officers, directors, employees, family members and affiliated parties from buying, selling or engaging in transactions in our securities at any time while aware of material non-public information about the Company. It also prohibits them from disclosing material non-public information to persons outside the Company, i.e., “tipping.” These prohibitions apply to purchases and sales, as well as other types of transactions such as gifts, loans, contributions to a trust and broker-assisted cashless exercises of stock options.</w:t>
      </w:r>
    </w:p>
    <w:p>
      <w:pPr>
        <w:spacing w:after="0" w:line="176" w:lineRule="exact"/>
        <w:rPr>
          <w:sz w:val="20"/>
          <w:szCs w:val="20"/>
          <w:color w:val="auto"/>
        </w:rPr>
      </w:pPr>
    </w:p>
    <w:p>
      <w:pPr>
        <w:ind w:right="20" w:firstLine="440"/>
        <w:spacing w:after="0"/>
        <w:rPr>
          <w:sz w:val="20"/>
          <w:szCs w:val="20"/>
          <w:color w:val="auto"/>
        </w:rPr>
      </w:pPr>
      <w:r>
        <w:rPr>
          <w:rFonts w:ascii="Arial" w:cs="Arial" w:eastAsia="Arial" w:hAnsi="Arial"/>
          <w:sz w:val="18"/>
          <w:szCs w:val="18"/>
          <w:color w:val="auto"/>
        </w:rPr>
        <w:t>Although we discourage speculative hedging transactions, under our Insider Trading Policy, we permit long-term hedging transactions that are designed to protect an individual’s investment in Company securities (i.e., the hedge must be for at least six months and relate to stock or options held by the individual). If an employee wishes to engage in any such transaction, the employee is required to pre-clear it in accordance with the procedures described in our Insider Trading Policy (even if the employee is not one of the persons otherwise required to submit his or her transaction in Company securities to pre-clearance). Alignment personnel and related parties are prohibited from purchasing Company securities on margin, pledging or otherwise granting a security interest in Company securities in margin accounts, engaging in short-sales and buying or selling puts, calls, options or other derivatives in respect of securities of the Company.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96" w:right="459" w:bottom="1440" w:gutter="0" w:footer="0" w:header="0"/>
        </w:sectPr>
      </w:pPr>
    </w:p>
    <w:bookmarkStart w:id="43" w:name="page44"/>
    <w:bookmarkEnd w:id="43"/>
    <w:p>
      <w:pPr>
        <w:ind w:left="4"/>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Board Evaluation Practices</w:t>
      </w:r>
    </w:p>
    <w:p>
      <w:pPr>
        <w:spacing w:after="0" w:line="212" w:lineRule="exact"/>
        <w:rPr>
          <w:sz w:val="20"/>
          <w:szCs w:val="20"/>
          <w:color w:val="auto"/>
        </w:rPr>
      </w:pPr>
    </w:p>
    <w:p>
      <w:pPr>
        <w:ind w:left="4" w:right="40" w:firstLine="440"/>
        <w:spacing w:after="0" w:line="254" w:lineRule="auto"/>
        <w:rPr>
          <w:sz w:val="20"/>
          <w:szCs w:val="20"/>
          <w:color w:val="auto"/>
        </w:rPr>
      </w:pPr>
      <w:r>
        <w:rPr>
          <w:rFonts w:ascii="Arial" w:cs="Arial" w:eastAsia="Arial" w:hAnsi="Arial"/>
          <w:sz w:val="17"/>
          <w:szCs w:val="17"/>
          <w:color w:val="auto"/>
        </w:rPr>
        <w:t>The Board is committed to a rigorous self-evaluation process. Through evaluation, directors annually review the Board’s performance, including areas where the Board feels it functions effectively, and most importantly, areas where the Board can improve. The NCGCC, with additional leadership from our Chairman and Lead Independent Director, initiates the annual Board evaluation process. We believe that having a review process for the Board and each committee helps to (i) ensure an adequate representation of requisite skills;</w:t>
      </w:r>
    </w:p>
    <w:p>
      <w:pPr>
        <w:jc w:val="both"/>
        <w:ind w:left="4" w:right="140" w:hanging="4"/>
        <w:spacing w:after="0" w:line="242" w:lineRule="auto"/>
        <w:tabs>
          <w:tab w:leader="none" w:pos="254"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encourage high levels of engagement from directors; and (iii) strengthen the overall effectiveness of our Board. These evaluations are typically in written form, although they may also be in oral questionnaire form and may be administered by Board members, management or third-party consultants.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69951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91"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2880" w:type="dxa"/>
            <w:vAlign w:val="bottom"/>
            <w:vMerge w:val="restart"/>
          </w:tcPr>
          <w:p>
            <w:pPr>
              <w:jc w:val="right"/>
              <w:ind w:right="2414"/>
              <w:spacing w:after="0"/>
              <w:rPr>
                <w:sz w:val="20"/>
                <w:szCs w:val="20"/>
                <w:color w:val="auto"/>
              </w:rPr>
            </w:pPr>
            <w:r>
              <w:rPr>
                <w:rFonts w:ascii="Arial" w:cs="Arial" w:eastAsia="Arial" w:hAnsi="Arial"/>
                <w:sz w:val="32"/>
                <w:szCs w:val="32"/>
                <w:b w:val="1"/>
                <w:bCs w:val="1"/>
                <w:color w:val="1F497D"/>
              </w:rPr>
              <w:t>1.</w:t>
            </w:r>
          </w:p>
        </w:tc>
        <w:tc>
          <w:tcPr>
            <w:tcW w:w="8140" w:type="dxa"/>
            <w:vAlign w:val="bottom"/>
          </w:tcPr>
          <w:p>
            <w:pPr>
              <w:ind w:left="320"/>
              <w:spacing w:after="0"/>
              <w:rPr>
                <w:sz w:val="20"/>
                <w:szCs w:val="20"/>
                <w:color w:val="auto"/>
              </w:rPr>
            </w:pPr>
            <w:r>
              <w:rPr>
                <w:rFonts w:ascii="Arial" w:cs="Arial" w:eastAsia="Arial" w:hAnsi="Arial"/>
                <w:sz w:val="18"/>
                <w:szCs w:val="18"/>
                <w:color w:val="auto"/>
              </w:rPr>
              <w:t>The NCGCC develops and oversees an annual self-evaluation process of the Board and its</w:t>
            </w:r>
          </w:p>
        </w:tc>
        <w:tc>
          <w:tcPr>
            <w:tcW w:w="0" w:type="dxa"/>
            <w:vAlign w:val="bottom"/>
          </w:tcPr>
          <w:p>
            <w:pPr>
              <w:spacing w:after="0"/>
              <w:rPr>
                <w:sz w:val="1"/>
                <w:szCs w:val="1"/>
                <w:color w:val="auto"/>
              </w:rPr>
            </w:pPr>
          </w:p>
        </w:tc>
      </w:tr>
      <w:tr>
        <w:trPr>
          <w:trHeight w:val="181"/>
        </w:trPr>
        <w:tc>
          <w:tcPr>
            <w:tcW w:w="2880" w:type="dxa"/>
            <w:vAlign w:val="bottom"/>
            <w:vMerge w:val="continue"/>
          </w:tcPr>
          <w:p>
            <w:pPr>
              <w:spacing w:after="0"/>
              <w:rPr>
                <w:sz w:val="15"/>
                <w:szCs w:val="15"/>
                <w:color w:val="auto"/>
              </w:rPr>
            </w:pPr>
          </w:p>
        </w:tc>
        <w:tc>
          <w:tcPr>
            <w:tcW w:w="8140" w:type="dxa"/>
            <w:vAlign w:val="bottom"/>
          </w:tcPr>
          <w:p>
            <w:pPr>
              <w:ind w:left="320"/>
              <w:spacing w:after="0" w:line="181" w:lineRule="exact"/>
              <w:rPr>
                <w:sz w:val="20"/>
                <w:szCs w:val="20"/>
                <w:color w:val="auto"/>
              </w:rPr>
            </w:pPr>
            <w:r>
              <w:rPr>
                <w:rFonts w:ascii="Arial" w:cs="Arial" w:eastAsia="Arial" w:hAnsi="Arial"/>
                <w:sz w:val="18"/>
                <w:szCs w:val="18"/>
                <w:color w:val="auto"/>
              </w:rPr>
              <w:t>committees and determines the content of the evaluation questionnaires. The NCGCC may also</w:t>
            </w:r>
          </w:p>
        </w:tc>
        <w:tc>
          <w:tcPr>
            <w:tcW w:w="0" w:type="dxa"/>
            <w:vAlign w:val="bottom"/>
          </w:tcPr>
          <w:p>
            <w:pPr>
              <w:spacing w:after="0"/>
              <w:rPr>
                <w:sz w:val="1"/>
                <w:szCs w:val="1"/>
                <w:color w:val="auto"/>
              </w:rPr>
            </w:pPr>
          </w:p>
        </w:tc>
      </w:tr>
      <w:tr>
        <w:trPr>
          <w:trHeight w:val="261"/>
        </w:trPr>
        <w:tc>
          <w:tcPr>
            <w:tcW w:w="2880" w:type="dxa"/>
            <w:vAlign w:val="bottom"/>
          </w:tcPr>
          <w:p>
            <w:pPr>
              <w:jc w:val="right"/>
              <w:ind w:right="174"/>
              <w:spacing w:after="0"/>
              <w:rPr>
                <w:sz w:val="20"/>
                <w:szCs w:val="20"/>
                <w:color w:val="auto"/>
              </w:rPr>
            </w:pPr>
            <w:r>
              <w:rPr>
                <w:rFonts w:ascii="Arial" w:cs="Arial" w:eastAsia="Arial" w:hAnsi="Arial"/>
                <w:sz w:val="18"/>
                <w:szCs w:val="18"/>
                <w:b w:val="1"/>
                <w:bCs w:val="1"/>
                <w:color w:val="auto"/>
              </w:rPr>
              <w:t>Review of Evaluation Process</w:t>
            </w:r>
          </w:p>
        </w:tc>
        <w:tc>
          <w:tcPr>
            <w:tcW w:w="8140" w:type="dxa"/>
            <w:vAlign w:val="bottom"/>
          </w:tcPr>
          <w:p>
            <w:pPr>
              <w:ind w:left="320"/>
              <w:spacing w:after="0"/>
              <w:rPr>
                <w:sz w:val="20"/>
                <w:szCs w:val="20"/>
                <w:color w:val="auto"/>
              </w:rPr>
            </w:pPr>
            <w:r>
              <w:rPr>
                <w:rFonts w:ascii="Arial" w:cs="Arial" w:eastAsia="Arial" w:hAnsi="Arial"/>
                <w:sz w:val="18"/>
                <w:szCs w:val="18"/>
                <w:color w:val="auto"/>
              </w:rPr>
              <w:t>consider whether to engage third-party consultants.</w:t>
            </w:r>
          </w:p>
        </w:tc>
        <w:tc>
          <w:tcPr>
            <w:tcW w:w="0" w:type="dxa"/>
            <w:vAlign w:val="bottom"/>
          </w:tcPr>
          <w:p>
            <w:pPr>
              <w:spacing w:after="0"/>
              <w:rPr>
                <w:sz w:val="1"/>
                <w:szCs w:val="1"/>
                <w:color w:val="auto"/>
              </w:rPr>
            </w:pPr>
          </w:p>
        </w:tc>
      </w:tr>
      <w:tr>
        <w:trPr>
          <w:trHeight w:val="118"/>
        </w:trPr>
        <w:tc>
          <w:tcPr>
            <w:tcW w:w="2880" w:type="dxa"/>
            <w:vAlign w:val="bottom"/>
            <w:tcBorders>
              <w:bottom w:val="single" w:sz="8" w:color="auto"/>
            </w:tcBorders>
          </w:tcPr>
          <w:p>
            <w:pPr>
              <w:spacing w:after="0"/>
              <w:rPr>
                <w:sz w:val="10"/>
                <w:szCs w:val="10"/>
                <w:color w:val="auto"/>
              </w:rPr>
            </w:pPr>
          </w:p>
        </w:tc>
        <w:tc>
          <w:tcPr>
            <w:tcW w:w="8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6995160" cy="3600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3600450"/>
                    </a:xfrm>
                    <a:prstGeom prst="rect">
                      <a:avLst/>
                    </a:prstGeom>
                    <a:noFill/>
                  </pic:spPr>
                </pic:pic>
              </a:graphicData>
            </a:graphic>
          </wp:anchor>
        </w:drawing>
      </w:r>
    </w:p>
    <w:p>
      <w:pPr>
        <w:sectPr>
          <w:pgSz w:w="11900" w:h="16838" w:orient="portrait"/>
          <w:cols w:equalWidth="0" w:num="1">
            <w:col w:w="11024"/>
          </w:cols>
          <w:pgMar w:left="436" w:top="296" w:right="439" w:bottom="1440" w:gutter="0" w:footer="0" w:header="0"/>
        </w:sectPr>
      </w:pPr>
    </w:p>
    <w:p>
      <w:pPr>
        <w:spacing w:after="0" w:line="172" w:lineRule="exact"/>
        <w:rPr>
          <w:sz w:val="20"/>
          <w:szCs w:val="20"/>
          <w:color w:val="auto"/>
        </w:rPr>
      </w:pPr>
    </w:p>
    <w:p>
      <w:pPr>
        <w:ind w:left="64"/>
        <w:spacing w:after="0"/>
        <w:rPr>
          <w:sz w:val="20"/>
          <w:szCs w:val="20"/>
          <w:color w:val="auto"/>
        </w:rPr>
      </w:pPr>
      <w:r>
        <w:rPr>
          <w:rFonts w:ascii="Arial" w:cs="Arial" w:eastAsia="Arial" w:hAnsi="Arial"/>
          <w:sz w:val="32"/>
          <w:szCs w:val="32"/>
          <w:b w:val="1"/>
          <w:bCs w:val="1"/>
          <w:color w:val="1F497D"/>
        </w:rPr>
        <w:t>2.</w:t>
      </w:r>
    </w:p>
    <w:p>
      <w:pPr>
        <w:spacing w:after="0" w:line="39" w:lineRule="exact"/>
        <w:rPr>
          <w:sz w:val="20"/>
          <w:szCs w:val="20"/>
          <w:color w:val="auto"/>
        </w:rPr>
      </w:pPr>
    </w:p>
    <w:p>
      <w:pPr>
        <w:ind w:left="44"/>
        <w:spacing w:after="0"/>
        <w:rPr>
          <w:sz w:val="20"/>
          <w:szCs w:val="20"/>
          <w:color w:val="auto"/>
        </w:rPr>
      </w:pPr>
      <w:r>
        <w:rPr>
          <w:rFonts w:ascii="Arial" w:cs="Arial" w:eastAsia="Arial" w:hAnsi="Arial"/>
          <w:sz w:val="17"/>
          <w:szCs w:val="17"/>
          <w:b w:val="1"/>
          <w:bCs w:val="1"/>
          <w:color w:val="auto"/>
        </w:rPr>
        <w:t>Questionnaires</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The Board evaluation typically consists of a written questionnaire containing qualitative scaled and open-ended questions related to the effectiveness of the Board during the prior year. The questionnaire hones in on specific areas of responsibility and critical attributes of the Board in order to solicit candid feedback from each director. Questionnaires include topics such as:</w:t>
      </w:r>
    </w:p>
    <w:p>
      <w:pPr>
        <w:spacing w:after="0" w:line="20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Board Performance</w:t>
      </w: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Board Composition, Skills and Diversity</w:t>
      </w: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Board and Committee Meetings and Structure</w:t>
      </w: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Management Relations</w:t>
      </w: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Risk Oversight by Board and Committees</w:t>
      </w: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Process and Resources</w:t>
      </w:r>
    </w:p>
    <w:p>
      <w:pPr>
        <w:spacing w:after="0" w:line="2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Board Culture</w:t>
      </w:r>
    </w:p>
    <w:p>
      <w:pPr>
        <w:spacing w:after="0" w:line="251" w:lineRule="exact"/>
        <w:rPr>
          <w:sz w:val="20"/>
          <w:szCs w:val="20"/>
          <w:color w:val="auto"/>
        </w:rPr>
      </w:pPr>
    </w:p>
    <w:p>
      <w:pPr>
        <w:ind w:right="40"/>
        <w:spacing w:after="0" w:line="271" w:lineRule="auto"/>
        <w:rPr>
          <w:sz w:val="20"/>
          <w:szCs w:val="20"/>
          <w:color w:val="auto"/>
        </w:rPr>
      </w:pPr>
      <w:r>
        <w:rPr>
          <w:rFonts w:ascii="Arial" w:cs="Arial" w:eastAsia="Arial" w:hAnsi="Arial"/>
          <w:sz w:val="18"/>
          <w:szCs w:val="18"/>
          <w:color w:val="auto"/>
        </w:rPr>
        <w:t>The questionnaire also seeks practical input as to what the Board is doing well, areas in which the Board could improve and any undertakings that the Board should commence or terminate.</w:t>
      </w:r>
    </w:p>
    <w:p>
      <w:pPr>
        <w:spacing w:after="0" w:line="181"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auto"/>
        </w:rPr>
        <w:t>Another benefit of the questionnaire is that it allows each Board member to evaluate the effectiveness of the Chairman of the Board and the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-2033905</wp:posOffset>
            </wp:positionH>
            <wp:positionV relativeFrom="paragraph">
              <wp:posOffset>57785</wp:posOffset>
            </wp:positionV>
            <wp:extent cx="69951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84" w:space="720"/>
            <w:col w:w="7820"/>
          </w:cols>
          <w:pgMar w:left="436" w:top="296" w:right="439" w:bottom="1440" w:gutter="0" w:footer="0" w:header="0"/>
          <w:type w:val="continuous"/>
        </w:sectPr>
      </w:pPr>
    </w:p>
    <w:p>
      <w:pPr>
        <w:spacing w:after="0" w:line="77" w:lineRule="exact"/>
        <w:rPr>
          <w:sz w:val="20"/>
          <w:szCs w:val="20"/>
          <w:color w:val="auto"/>
        </w:rPr>
      </w:pPr>
    </w:p>
    <w:tbl>
      <w:tblPr>
        <w:tblLayout w:type="fixed"/>
        <w:tblInd w:w="4" w:type="dxa"/>
        <w:tblCellMar>
          <w:top w:w="0" w:type="dxa"/>
          <w:left w:w="0" w:type="dxa"/>
          <w:bottom w:w="0" w:type="dxa"/>
          <w:right w:w="0" w:type="dxa"/>
        </w:tblCellMar>
      </w:tblPr>
      <w:tr>
        <w:trPr>
          <w:trHeight w:val="214"/>
        </w:trPr>
        <w:tc>
          <w:tcPr>
            <w:tcW w:w="2200" w:type="dxa"/>
            <w:vAlign w:val="bottom"/>
            <w:vMerge w:val="restart"/>
          </w:tcPr>
          <w:p>
            <w:pPr>
              <w:jc w:val="right"/>
              <w:ind w:right="1734"/>
              <w:spacing w:after="0"/>
              <w:rPr>
                <w:sz w:val="20"/>
                <w:szCs w:val="20"/>
                <w:color w:val="auto"/>
              </w:rPr>
            </w:pPr>
            <w:r>
              <w:rPr>
                <w:rFonts w:ascii="Arial" w:cs="Arial" w:eastAsia="Arial" w:hAnsi="Arial"/>
                <w:sz w:val="32"/>
                <w:szCs w:val="32"/>
                <w:b w:val="1"/>
                <w:bCs w:val="1"/>
                <w:color w:val="1F497D"/>
              </w:rPr>
              <w:t>3.</w:t>
            </w:r>
          </w:p>
        </w:tc>
        <w:tc>
          <w:tcPr>
            <w:tcW w:w="8820" w:type="dxa"/>
            <w:vAlign w:val="bottom"/>
          </w:tcPr>
          <w:p>
            <w:pPr>
              <w:ind w:left="1000"/>
              <w:spacing w:after="0"/>
              <w:rPr>
                <w:sz w:val="20"/>
                <w:szCs w:val="20"/>
                <w:color w:val="auto"/>
              </w:rPr>
            </w:pPr>
            <w:r>
              <w:rPr>
                <w:rFonts w:ascii="Arial" w:cs="Arial" w:eastAsia="Arial" w:hAnsi="Arial"/>
                <w:sz w:val="18"/>
                <w:szCs w:val="18"/>
                <w:color w:val="auto"/>
              </w:rPr>
              <w:t>Results of the evaluations are shared with the Chairman of the Board, the Lead Independent</w:t>
            </w:r>
          </w:p>
        </w:tc>
        <w:tc>
          <w:tcPr>
            <w:tcW w:w="0" w:type="dxa"/>
            <w:vAlign w:val="bottom"/>
          </w:tcPr>
          <w:p>
            <w:pPr>
              <w:spacing w:after="0"/>
              <w:rPr>
                <w:sz w:val="1"/>
                <w:szCs w:val="1"/>
                <w:color w:val="auto"/>
              </w:rPr>
            </w:pPr>
          </w:p>
        </w:tc>
      </w:tr>
      <w:tr>
        <w:trPr>
          <w:trHeight w:val="181"/>
        </w:trPr>
        <w:tc>
          <w:tcPr>
            <w:tcW w:w="2200" w:type="dxa"/>
            <w:vAlign w:val="bottom"/>
            <w:vMerge w:val="continue"/>
          </w:tcPr>
          <w:p>
            <w:pPr>
              <w:spacing w:after="0"/>
              <w:rPr>
                <w:sz w:val="15"/>
                <w:szCs w:val="15"/>
                <w:color w:val="auto"/>
              </w:rPr>
            </w:pPr>
          </w:p>
        </w:tc>
        <w:tc>
          <w:tcPr>
            <w:tcW w:w="8820" w:type="dxa"/>
            <w:vAlign w:val="bottom"/>
          </w:tcPr>
          <w:p>
            <w:pPr>
              <w:ind w:left="1000"/>
              <w:spacing w:after="0" w:line="181" w:lineRule="exact"/>
              <w:rPr>
                <w:sz w:val="20"/>
                <w:szCs w:val="20"/>
                <w:color w:val="auto"/>
              </w:rPr>
            </w:pPr>
            <w:r>
              <w:rPr>
                <w:rFonts w:ascii="Arial" w:cs="Arial" w:eastAsia="Arial" w:hAnsi="Arial"/>
                <w:sz w:val="18"/>
                <w:szCs w:val="18"/>
                <w:color w:val="auto"/>
              </w:rPr>
              <w:t>Director and the Chairman of the NCGCC and then later discussed with the entire Board in an</w:t>
            </w:r>
          </w:p>
        </w:tc>
        <w:tc>
          <w:tcPr>
            <w:tcW w:w="0" w:type="dxa"/>
            <w:vAlign w:val="bottom"/>
          </w:tcPr>
          <w:p>
            <w:pPr>
              <w:spacing w:after="0"/>
              <w:rPr>
                <w:sz w:val="1"/>
                <w:szCs w:val="1"/>
                <w:color w:val="auto"/>
              </w:rPr>
            </w:pPr>
          </w:p>
        </w:tc>
      </w:tr>
      <w:tr>
        <w:trPr>
          <w:trHeight w:val="260"/>
        </w:trPr>
        <w:tc>
          <w:tcPr>
            <w:tcW w:w="2200" w:type="dxa"/>
            <w:vAlign w:val="bottom"/>
          </w:tcPr>
          <w:p>
            <w:pPr>
              <w:jc w:val="right"/>
              <w:ind w:right="854"/>
              <w:spacing w:after="0"/>
              <w:rPr>
                <w:sz w:val="20"/>
                <w:szCs w:val="20"/>
                <w:color w:val="auto"/>
              </w:rPr>
            </w:pPr>
            <w:r>
              <w:rPr>
                <w:rFonts w:ascii="Arial" w:cs="Arial" w:eastAsia="Arial" w:hAnsi="Arial"/>
                <w:sz w:val="18"/>
                <w:szCs w:val="18"/>
                <w:b w:val="1"/>
                <w:bCs w:val="1"/>
                <w:color w:val="auto"/>
              </w:rPr>
              <w:t>Board Review</w:t>
            </w:r>
          </w:p>
        </w:tc>
        <w:tc>
          <w:tcPr>
            <w:tcW w:w="8820" w:type="dxa"/>
            <w:vAlign w:val="bottom"/>
          </w:tcPr>
          <w:p>
            <w:pPr>
              <w:ind w:left="1000"/>
              <w:spacing w:after="0"/>
              <w:rPr>
                <w:sz w:val="20"/>
                <w:szCs w:val="20"/>
                <w:color w:val="auto"/>
              </w:rPr>
            </w:pPr>
            <w:r>
              <w:rPr>
                <w:rFonts w:ascii="Arial" w:cs="Arial" w:eastAsia="Arial" w:hAnsi="Arial"/>
                <w:sz w:val="18"/>
                <w:szCs w:val="18"/>
                <w:color w:val="auto"/>
              </w:rPr>
              <w:t>aggregated manner.</w:t>
            </w:r>
          </w:p>
        </w:tc>
        <w:tc>
          <w:tcPr>
            <w:tcW w:w="0" w:type="dxa"/>
            <w:vAlign w:val="bottom"/>
          </w:tcPr>
          <w:p>
            <w:pPr>
              <w:spacing w:after="0"/>
              <w:rPr>
                <w:sz w:val="1"/>
                <w:szCs w:val="1"/>
                <w:color w:val="auto"/>
              </w:rPr>
            </w:pPr>
          </w:p>
        </w:tc>
      </w:tr>
      <w:tr>
        <w:trPr>
          <w:trHeight w:val="239"/>
        </w:trPr>
        <w:tc>
          <w:tcPr>
            <w:tcW w:w="2200" w:type="dxa"/>
            <w:vAlign w:val="bottom"/>
            <w:tcBorders>
              <w:bottom w:val="single" w:sz="8" w:color="auto"/>
            </w:tcBorders>
          </w:tcPr>
          <w:p>
            <w:pPr>
              <w:spacing w:after="0"/>
              <w:rPr>
                <w:sz w:val="20"/>
                <w:szCs w:val="20"/>
                <w:color w:val="auto"/>
              </w:rPr>
            </w:pPr>
          </w:p>
        </w:tc>
        <w:tc>
          <w:tcPr>
            <w:tcW w:w="88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2200" w:type="dxa"/>
            <w:vAlign w:val="bottom"/>
          </w:tcPr>
          <w:p>
            <w:pPr>
              <w:spacing w:after="0"/>
              <w:rPr>
                <w:sz w:val="24"/>
                <w:szCs w:val="24"/>
                <w:color w:val="auto"/>
              </w:rPr>
            </w:pPr>
          </w:p>
        </w:tc>
        <w:tc>
          <w:tcPr>
            <w:tcW w:w="8820" w:type="dxa"/>
            <w:vAlign w:val="bottom"/>
          </w:tcPr>
          <w:p>
            <w:pPr>
              <w:jc w:val="right"/>
              <w:ind w:right="533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ectPr>
          <w:pgSz w:w="11900" w:h="16838" w:orient="portrait"/>
          <w:cols w:equalWidth="0" w:num="1">
            <w:col w:w="11024"/>
          </w:cols>
          <w:pgMar w:left="436" w:top="296" w:right="439" w:bottom="1440" w:gutter="0" w:footer="0" w:header="0"/>
          <w:type w:val="continuous"/>
        </w:sectPr>
      </w:pPr>
    </w:p>
    <w:bookmarkStart w:id="44" w:name="page45"/>
    <w:bookmarkEnd w:id="44"/>
    <w:p>
      <w:pPr>
        <w:ind w:right="80" w:firstLine="4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Each of our Board committees similarly engages in an annual performance evaluation and a general charter adequacy review. Each committee is responsible for determining the manner of evaluation and for carrying out the evaluation. Further, the Board evaluation questionnaire includes a section specifically concerning Board committee structure and performance, which is an opportunity for Board members to provide feedback on each committee, regardless of their individual committee membership. As a result of their annual review of the adequacy of their charters, the Board approved revised charters for each of our standing committees in February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Board and Committee Meetings</w:t>
      </w:r>
    </w:p>
    <w:p>
      <w:pPr>
        <w:spacing w:after="0" w:line="104"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For the year ended December 31, 2023, our Board held seven regular and special meetings. Our Audit Committee, Compensation Committee and NCGCC held four, six and three meetings, respectively during the year ended December 31, 2023. In 2023, except for Mr. Carella, each director attended at least 75% of the aggregate of (1) the total number of meetings of the Board of Directors of the Company (held during the period for which he or she was a director) and (2) the total number of meetings of all committees of the Board of Directors of the Company on which the director served (during the periods that he or she served). Mr. Carella attended approximately 70% of such meetings and was occasionally absent due to business scheduling conflicts. Directors are expected to attend the annual meeting of stockholders and all or substantially all of the Board meetings and meetings of committees on which they serve. All directors attended the annual meeting of stockholders in 2023.</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Communications by Stockholders and Other Interested Parties with the Board</w:t>
      </w:r>
    </w:p>
    <w:p>
      <w:pPr>
        <w:spacing w:after="0" w:line="104"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Stockholders and other interested parties may contact an individual director, the Board as a group, or a specified Board committee or group, including the non-management or non-Lead Sponsor directors as a group, by sending regular mail to: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Alignment Healthcare,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1100 W. Town &amp; Country Rd., Suite 1600</w:t>
      </w:r>
    </w:p>
    <w:p>
      <w:pPr>
        <w:jc w:val="center"/>
        <w:spacing w:after="0" w:line="234" w:lineRule="auto"/>
        <w:rPr>
          <w:sz w:val="20"/>
          <w:szCs w:val="20"/>
          <w:color w:val="auto"/>
        </w:rPr>
      </w:pPr>
      <w:r>
        <w:rPr>
          <w:rFonts w:ascii="Arial" w:cs="Arial" w:eastAsia="Arial" w:hAnsi="Arial"/>
          <w:sz w:val="18"/>
          <w:szCs w:val="18"/>
          <w:color w:val="auto"/>
        </w:rPr>
        <w:t>Orange, CA 92868</w:t>
      </w:r>
    </w:p>
    <w:p>
      <w:pPr>
        <w:jc w:val="center"/>
        <w:spacing w:after="0" w:line="235" w:lineRule="auto"/>
        <w:rPr>
          <w:sz w:val="20"/>
          <w:szCs w:val="20"/>
          <w:color w:val="auto"/>
        </w:rPr>
      </w:pPr>
      <w:r>
        <w:rPr>
          <w:rFonts w:ascii="Arial" w:cs="Arial" w:eastAsia="Arial" w:hAnsi="Arial"/>
          <w:sz w:val="18"/>
          <w:szCs w:val="18"/>
          <w:color w:val="auto"/>
        </w:rPr>
        <w:t>ATTN: Board of Directors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 Chief Legal &amp; Administrative Officer</w:t>
      </w:r>
    </w:p>
    <w:p>
      <w:pPr>
        <w:spacing w:after="0" w:line="194"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Each communication should specify which director or directors the communication is addressed to, as well as the general topic of the communication. Alignment will receive the communications and process them before forwarding them to the addressee. Alignment may also refer communications to other departments within the Company. Alignment generally will not forward to the directors a communication that is primarily commercial in nature, relates to an improper or irrelevant topic, or requests general information regarding Alignment.</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00"/>
          </w:cols>
          <w:pgMar w:left="440" w:top="296" w:right="45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OFFICERS</w:t>
      </w:r>
    </w:p>
    <w:p>
      <w:pPr>
        <w:spacing w:after="0" w:line="212" w:lineRule="exact"/>
        <w:rPr>
          <w:sz w:val="20"/>
          <w:szCs w:val="20"/>
          <w:color w:val="auto"/>
        </w:rPr>
      </w:pPr>
    </w:p>
    <w:p>
      <w:pPr>
        <w:ind w:right="780" w:firstLine="440"/>
        <w:spacing w:after="0" w:line="271" w:lineRule="auto"/>
        <w:rPr>
          <w:sz w:val="20"/>
          <w:szCs w:val="20"/>
          <w:color w:val="auto"/>
        </w:rPr>
      </w:pPr>
      <w:r>
        <w:rPr>
          <w:rFonts w:ascii="Arial" w:cs="Arial" w:eastAsia="Arial" w:hAnsi="Arial"/>
          <w:sz w:val="18"/>
          <w:szCs w:val="18"/>
          <w:color w:val="auto"/>
        </w:rPr>
        <w:t>Below is a list of the names, ages, positions, and a brief account of the business experience of the individuals who serve as executive officers of Alignment as of April 26, 2024:</w:t>
      </w:r>
    </w:p>
    <w:p>
      <w:pPr>
        <w:spacing w:after="0" w:line="181" w:lineRule="exact"/>
        <w:rPr>
          <w:sz w:val="20"/>
          <w:szCs w:val="20"/>
          <w:color w:val="auto"/>
        </w:rPr>
      </w:pPr>
    </w:p>
    <w:tbl>
      <w:tblPr>
        <w:tblLayout w:type="fixed"/>
        <w:tblInd w:w="440" w:type="dxa"/>
        <w:tblCellMar>
          <w:top w:w="0" w:type="dxa"/>
          <w:left w:w="0" w:type="dxa"/>
          <w:bottom w:w="0" w:type="dxa"/>
          <w:right w:w="0" w:type="dxa"/>
        </w:tblCellMar>
      </w:tblPr>
      <w:tr>
        <w:trPr>
          <w:trHeight w:val="221"/>
        </w:trPr>
        <w:tc>
          <w:tcPr>
            <w:tcW w:w="2860" w:type="dxa"/>
            <w:vAlign w:val="bottom"/>
            <w:tcBorders>
              <w:bottom w:val="single" w:sz="8" w:color="95B3D7"/>
            </w:tcBorders>
          </w:tcPr>
          <w:p>
            <w:pPr>
              <w:spacing w:after="0"/>
              <w:rPr>
                <w:sz w:val="20"/>
                <w:szCs w:val="20"/>
                <w:color w:val="auto"/>
              </w:rPr>
            </w:pPr>
            <w:r>
              <w:rPr>
                <w:rFonts w:ascii="Arial" w:cs="Arial" w:eastAsia="Arial" w:hAnsi="Arial"/>
                <w:sz w:val="18"/>
                <w:szCs w:val="18"/>
                <w:b w:val="1"/>
                <w:bCs w:val="1"/>
                <w:color w:val="auto"/>
              </w:rPr>
              <w:t>Name</w:t>
            </w:r>
          </w:p>
        </w:tc>
        <w:tc>
          <w:tcPr>
            <w:tcW w:w="620" w:type="dxa"/>
            <w:vAlign w:val="bottom"/>
            <w:tcBorders>
              <w:bottom w:val="single" w:sz="8" w:color="95B3D7"/>
            </w:tcBorders>
          </w:tcPr>
          <w:p>
            <w:pPr>
              <w:ind w:left="200"/>
              <w:spacing w:after="0"/>
              <w:rPr>
                <w:sz w:val="20"/>
                <w:szCs w:val="20"/>
                <w:color w:val="auto"/>
              </w:rPr>
            </w:pPr>
            <w:r>
              <w:rPr>
                <w:rFonts w:ascii="Arial" w:cs="Arial" w:eastAsia="Arial" w:hAnsi="Arial"/>
                <w:sz w:val="18"/>
                <w:szCs w:val="18"/>
                <w:b w:val="1"/>
                <w:bCs w:val="1"/>
                <w:color w:val="auto"/>
              </w:rPr>
              <w:t>Age</w:t>
            </w:r>
          </w:p>
        </w:tc>
        <w:tc>
          <w:tcPr>
            <w:tcW w:w="6640" w:type="dxa"/>
            <w:vAlign w:val="bottom"/>
            <w:tcBorders>
              <w:bottom w:val="single" w:sz="8" w:color="95B3D7"/>
            </w:tcBorders>
          </w:tcPr>
          <w:p>
            <w:pPr>
              <w:ind w:left="280"/>
              <w:spacing w:after="0"/>
              <w:rPr>
                <w:sz w:val="20"/>
                <w:szCs w:val="20"/>
                <w:color w:val="auto"/>
              </w:rPr>
            </w:pPr>
            <w:r>
              <w:rPr>
                <w:rFonts w:ascii="Arial" w:cs="Arial" w:eastAsia="Arial" w:hAnsi="Arial"/>
                <w:sz w:val="18"/>
                <w:szCs w:val="18"/>
                <w:b w:val="1"/>
                <w:bCs w:val="1"/>
                <w:color w:val="auto"/>
              </w:rPr>
              <w:t>Position</w:t>
            </w:r>
          </w:p>
        </w:tc>
      </w:tr>
      <w:tr>
        <w:trPr>
          <w:trHeight w:val="308"/>
        </w:trPr>
        <w:tc>
          <w:tcPr>
            <w:tcW w:w="286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8"/>
                <w:szCs w:val="18"/>
                <w:color w:val="auto"/>
              </w:rPr>
              <w:t>John Kao</w:t>
            </w:r>
          </w:p>
        </w:tc>
        <w:tc>
          <w:tcPr>
            <w:tcW w:w="62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62</w:t>
            </w:r>
          </w:p>
        </w:tc>
        <w:tc>
          <w:tcPr>
            <w:tcW w:w="6640" w:type="dxa"/>
            <w:vAlign w:val="bottom"/>
            <w:shd w:val="clear" w:color="auto" w:fill="DBE5F1"/>
          </w:tcPr>
          <w:p>
            <w:pPr>
              <w:ind w:left="280"/>
              <w:spacing w:after="0"/>
              <w:rPr>
                <w:sz w:val="20"/>
                <w:szCs w:val="20"/>
                <w:color w:val="auto"/>
              </w:rPr>
            </w:pPr>
            <w:r>
              <w:rPr>
                <w:rFonts w:ascii="Arial" w:cs="Arial" w:eastAsia="Arial" w:hAnsi="Arial"/>
                <w:sz w:val="18"/>
                <w:szCs w:val="18"/>
                <w:color w:val="auto"/>
              </w:rPr>
              <w:t>Director and Chief Executive Officer</w:t>
            </w:r>
          </w:p>
        </w:tc>
      </w:tr>
      <w:tr>
        <w:trPr>
          <w:trHeight w:val="90"/>
        </w:trPr>
        <w:tc>
          <w:tcPr>
            <w:tcW w:w="2860" w:type="dxa"/>
            <w:vAlign w:val="bottom"/>
            <w:tcBorders>
              <w:bottom w:val="single" w:sz="8" w:color="95B3D7"/>
              <w:right w:val="single" w:sz="8" w:color="95B3D7"/>
            </w:tcBorders>
            <w:shd w:val="clear" w:color="auto" w:fill="DBE5F1"/>
          </w:tcPr>
          <w:p>
            <w:pPr>
              <w:spacing w:after="0"/>
              <w:rPr>
                <w:sz w:val="7"/>
                <w:szCs w:val="7"/>
                <w:color w:val="auto"/>
              </w:rPr>
            </w:pPr>
          </w:p>
        </w:tc>
        <w:tc>
          <w:tcPr>
            <w:tcW w:w="620" w:type="dxa"/>
            <w:vAlign w:val="bottom"/>
            <w:tcBorders>
              <w:bottom w:val="single" w:sz="8" w:color="95B3D7"/>
              <w:right w:val="single" w:sz="8" w:color="95B3D7"/>
            </w:tcBorders>
            <w:shd w:val="clear" w:color="auto" w:fill="DBE5F1"/>
          </w:tcPr>
          <w:p>
            <w:pPr>
              <w:spacing w:after="0"/>
              <w:rPr>
                <w:sz w:val="7"/>
                <w:szCs w:val="7"/>
                <w:color w:val="auto"/>
              </w:rPr>
            </w:pPr>
          </w:p>
        </w:tc>
        <w:tc>
          <w:tcPr>
            <w:tcW w:w="6640" w:type="dxa"/>
            <w:vAlign w:val="bottom"/>
            <w:tcBorders>
              <w:bottom w:val="single" w:sz="8" w:color="95B3D7"/>
            </w:tcBorders>
            <w:shd w:val="clear" w:color="auto" w:fill="DBE5F1"/>
          </w:tcPr>
          <w:p>
            <w:pPr>
              <w:spacing w:after="0"/>
              <w:rPr>
                <w:sz w:val="7"/>
                <w:szCs w:val="7"/>
                <w:color w:val="auto"/>
              </w:rPr>
            </w:pPr>
          </w:p>
        </w:tc>
      </w:tr>
      <w:tr>
        <w:trPr>
          <w:trHeight w:val="308"/>
        </w:trPr>
        <w:tc>
          <w:tcPr>
            <w:tcW w:w="2860" w:type="dxa"/>
            <w:vAlign w:val="bottom"/>
            <w:tcBorders>
              <w:right w:val="single" w:sz="8" w:color="95B3D7"/>
            </w:tcBorders>
          </w:tcPr>
          <w:p>
            <w:pPr>
              <w:spacing w:after="0"/>
              <w:rPr>
                <w:sz w:val="20"/>
                <w:szCs w:val="20"/>
                <w:color w:val="auto"/>
              </w:rPr>
            </w:pPr>
            <w:r>
              <w:rPr>
                <w:rFonts w:ascii="Arial" w:cs="Arial" w:eastAsia="Arial" w:hAnsi="Arial"/>
                <w:sz w:val="18"/>
                <w:szCs w:val="18"/>
                <w:color w:val="auto"/>
              </w:rPr>
              <w:t>Dawn Maroney</w:t>
            </w:r>
          </w:p>
        </w:tc>
        <w:tc>
          <w:tcPr>
            <w:tcW w:w="620" w:type="dxa"/>
            <w:vAlign w:val="bottom"/>
            <w:tcBorders>
              <w:right w:val="single" w:sz="8" w:color="95B3D7"/>
            </w:tcBorders>
          </w:tcPr>
          <w:p>
            <w:pPr>
              <w:ind w:left="200"/>
              <w:spacing w:after="0"/>
              <w:rPr>
                <w:sz w:val="20"/>
                <w:szCs w:val="20"/>
                <w:color w:val="auto"/>
              </w:rPr>
            </w:pPr>
            <w:r>
              <w:rPr>
                <w:rFonts w:ascii="Arial" w:cs="Arial" w:eastAsia="Arial" w:hAnsi="Arial"/>
                <w:sz w:val="18"/>
                <w:szCs w:val="18"/>
                <w:color w:val="auto"/>
              </w:rPr>
              <w:t>56</w:t>
            </w:r>
          </w:p>
        </w:tc>
        <w:tc>
          <w:tcPr>
            <w:tcW w:w="6640" w:type="dxa"/>
            <w:vAlign w:val="bottom"/>
          </w:tcPr>
          <w:p>
            <w:pPr>
              <w:ind w:left="280"/>
              <w:spacing w:after="0"/>
              <w:rPr>
                <w:sz w:val="20"/>
                <w:szCs w:val="20"/>
                <w:color w:val="auto"/>
              </w:rPr>
            </w:pPr>
            <w:r>
              <w:rPr>
                <w:rFonts w:ascii="Arial" w:cs="Arial" w:eastAsia="Arial" w:hAnsi="Arial"/>
                <w:sz w:val="18"/>
                <w:szCs w:val="18"/>
                <w:color w:val="auto"/>
              </w:rPr>
              <w:t>President, Markets</w:t>
            </w:r>
          </w:p>
        </w:tc>
      </w:tr>
      <w:tr>
        <w:trPr>
          <w:trHeight w:val="90"/>
        </w:trPr>
        <w:tc>
          <w:tcPr>
            <w:tcW w:w="2860" w:type="dxa"/>
            <w:vAlign w:val="bottom"/>
            <w:tcBorders>
              <w:bottom w:val="single" w:sz="8" w:color="95B3D7"/>
              <w:right w:val="single" w:sz="8" w:color="95B3D7"/>
            </w:tcBorders>
          </w:tcPr>
          <w:p>
            <w:pPr>
              <w:spacing w:after="0"/>
              <w:rPr>
                <w:sz w:val="7"/>
                <w:szCs w:val="7"/>
                <w:color w:val="auto"/>
              </w:rPr>
            </w:pPr>
          </w:p>
        </w:tc>
        <w:tc>
          <w:tcPr>
            <w:tcW w:w="620" w:type="dxa"/>
            <w:vAlign w:val="bottom"/>
            <w:tcBorders>
              <w:bottom w:val="single" w:sz="8" w:color="95B3D7"/>
              <w:right w:val="single" w:sz="8" w:color="95B3D7"/>
            </w:tcBorders>
          </w:tcPr>
          <w:p>
            <w:pPr>
              <w:spacing w:after="0"/>
              <w:rPr>
                <w:sz w:val="7"/>
                <w:szCs w:val="7"/>
                <w:color w:val="auto"/>
              </w:rPr>
            </w:pPr>
          </w:p>
        </w:tc>
        <w:tc>
          <w:tcPr>
            <w:tcW w:w="6640" w:type="dxa"/>
            <w:vAlign w:val="bottom"/>
            <w:tcBorders>
              <w:bottom w:val="single" w:sz="8" w:color="95B3D7"/>
            </w:tcBorders>
          </w:tcPr>
          <w:p>
            <w:pPr>
              <w:spacing w:after="0"/>
              <w:rPr>
                <w:sz w:val="7"/>
                <w:szCs w:val="7"/>
                <w:color w:val="auto"/>
              </w:rPr>
            </w:pPr>
          </w:p>
        </w:tc>
      </w:tr>
      <w:tr>
        <w:trPr>
          <w:trHeight w:val="308"/>
        </w:trPr>
        <w:tc>
          <w:tcPr>
            <w:tcW w:w="286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8"/>
                <w:szCs w:val="18"/>
                <w:color w:val="auto"/>
              </w:rPr>
              <w:t>Thomas Freeman</w:t>
            </w:r>
          </w:p>
        </w:tc>
        <w:tc>
          <w:tcPr>
            <w:tcW w:w="62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35</w:t>
            </w:r>
          </w:p>
        </w:tc>
        <w:tc>
          <w:tcPr>
            <w:tcW w:w="6640" w:type="dxa"/>
            <w:vAlign w:val="bottom"/>
            <w:shd w:val="clear" w:color="auto" w:fill="DBE5F1"/>
          </w:tcPr>
          <w:p>
            <w:pPr>
              <w:ind w:left="280"/>
              <w:spacing w:after="0"/>
              <w:rPr>
                <w:sz w:val="20"/>
                <w:szCs w:val="20"/>
                <w:color w:val="auto"/>
              </w:rPr>
            </w:pPr>
            <w:r>
              <w:rPr>
                <w:rFonts w:ascii="Arial" w:cs="Arial" w:eastAsia="Arial" w:hAnsi="Arial"/>
                <w:sz w:val="18"/>
                <w:szCs w:val="18"/>
                <w:color w:val="auto"/>
              </w:rPr>
              <w:t>Chief Financial Officer</w:t>
            </w:r>
          </w:p>
        </w:tc>
      </w:tr>
      <w:tr>
        <w:trPr>
          <w:trHeight w:val="90"/>
        </w:trPr>
        <w:tc>
          <w:tcPr>
            <w:tcW w:w="2860" w:type="dxa"/>
            <w:vAlign w:val="bottom"/>
            <w:tcBorders>
              <w:bottom w:val="single" w:sz="8" w:color="95B3D7"/>
              <w:right w:val="single" w:sz="8" w:color="95B3D7"/>
            </w:tcBorders>
            <w:shd w:val="clear" w:color="auto" w:fill="DBE5F1"/>
          </w:tcPr>
          <w:p>
            <w:pPr>
              <w:spacing w:after="0"/>
              <w:rPr>
                <w:sz w:val="7"/>
                <w:szCs w:val="7"/>
                <w:color w:val="auto"/>
              </w:rPr>
            </w:pPr>
          </w:p>
        </w:tc>
        <w:tc>
          <w:tcPr>
            <w:tcW w:w="620" w:type="dxa"/>
            <w:vAlign w:val="bottom"/>
            <w:tcBorders>
              <w:bottom w:val="single" w:sz="8" w:color="95B3D7"/>
              <w:right w:val="single" w:sz="8" w:color="95B3D7"/>
            </w:tcBorders>
            <w:shd w:val="clear" w:color="auto" w:fill="DBE5F1"/>
          </w:tcPr>
          <w:p>
            <w:pPr>
              <w:spacing w:after="0"/>
              <w:rPr>
                <w:sz w:val="7"/>
                <w:szCs w:val="7"/>
                <w:color w:val="auto"/>
              </w:rPr>
            </w:pPr>
          </w:p>
        </w:tc>
        <w:tc>
          <w:tcPr>
            <w:tcW w:w="6640" w:type="dxa"/>
            <w:vAlign w:val="bottom"/>
            <w:tcBorders>
              <w:bottom w:val="single" w:sz="8" w:color="95B3D7"/>
            </w:tcBorders>
            <w:shd w:val="clear" w:color="auto" w:fill="DBE5F1"/>
          </w:tcPr>
          <w:p>
            <w:pPr>
              <w:spacing w:after="0"/>
              <w:rPr>
                <w:sz w:val="7"/>
                <w:szCs w:val="7"/>
                <w:color w:val="auto"/>
              </w:rPr>
            </w:pPr>
          </w:p>
        </w:tc>
      </w:tr>
      <w:tr>
        <w:trPr>
          <w:trHeight w:val="308"/>
        </w:trPr>
        <w:tc>
          <w:tcPr>
            <w:tcW w:w="2860" w:type="dxa"/>
            <w:vAlign w:val="bottom"/>
            <w:tcBorders>
              <w:right w:val="single" w:sz="8" w:color="95B3D7"/>
            </w:tcBorders>
          </w:tcPr>
          <w:p>
            <w:pPr>
              <w:spacing w:after="0"/>
              <w:rPr>
                <w:sz w:val="20"/>
                <w:szCs w:val="20"/>
                <w:color w:val="auto"/>
              </w:rPr>
            </w:pPr>
            <w:r>
              <w:rPr>
                <w:rFonts w:ascii="Arial" w:cs="Arial" w:eastAsia="Arial" w:hAnsi="Arial"/>
                <w:sz w:val="18"/>
                <w:szCs w:val="18"/>
                <w:color w:val="auto"/>
              </w:rPr>
              <w:t>Hyong (Ken) Kim, M.D.</w:t>
            </w:r>
          </w:p>
        </w:tc>
        <w:tc>
          <w:tcPr>
            <w:tcW w:w="620" w:type="dxa"/>
            <w:vAlign w:val="bottom"/>
            <w:tcBorders>
              <w:right w:val="single" w:sz="8" w:color="95B3D7"/>
            </w:tcBorders>
          </w:tcPr>
          <w:p>
            <w:pPr>
              <w:ind w:left="200"/>
              <w:spacing w:after="0"/>
              <w:rPr>
                <w:sz w:val="20"/>
                <w:szCs w:val="20"/>
                <w:color w:val="auto"/>
              </w:rPr>
            </w:pPr>
            <w:r>
              <w:rPr>
                <w:rFonts w:ascii="Arial" w:cs="Arial" w:eastAsia="Arial" w:hAnsi="Arial"/>
                <w:sz w:val="18"/>
                <w:szCs w:val="18"/>
                <w:color w:val="auto"/>
              </w:rPr>
              <w:t>55</w:t>
            </w:r>
          </w:p>
        </w:tc>
        <w:tc>
          <w:tcPr>
            <w:tcW w:w="6640" w:type="dxa"/>
            <w:vAlign w:val="bottom"/>
          </w:tcPr>
          <w:p>
            <w:pPr>
              <w:ind w:left="280"/>
              <w:spacing w:after="0"/>
              <w:rPr>
                <w:sz w:val="20"/>
                <w:szCs w:val="20"/>
                <w:color w:val="auto"/>
              </w:rPr>
            </w:pPr>
            <w:r>
              <w:rPr>
                <w:rFonts w:ascii="Arial" w:cs="Arial" w:eastAsia="Arial" w:hAnsi="Arial"/>
                <w:sz w:val="18"/>
                <w:szCs w:val="18"/>
                <w:color w:val="auto"/>
              </w:rPr>
              <w:t>Chief Medical Officer</w:t>
            </w:r>
          </w:p>
        </w:tc>
      </w:tr>
      <w:tr>
        <w:trPr>
          <w:trHeight w:val="90"/>
        </w:trPr>
        <w:tc>
          <w:tcPr>
            <w:tcW w:w="2860" w:type="dxa"/>
            <w:vAlign w:val="bottom"/>
            <w:tcBorders>
              <w:bottom w:val="single" w:sz="8" w:color="95B3D7"/>
              <w:right w:val="single" w:sz="8" w:color="95B3D7"/>
            </w:tcBorders>
          </w:tcPr>
          <w:p>
            <w:pPr>
              <w:spacing w:after="0"/>
              <w:rPr>
                <w:sz w:val="7"/>
                <w:szCs w:val="7"/>
                <w:color w:val="auto"/>
              </w:rPr>
            </w:pPr>
          </w:p>
        </w:tc>
        <w:tc>
          <w:tcPr>
            <w:tcW w:w="620" w:type="dxa"/>
            <w:vAlign w:val="bottom"/>
            <w:tcBorders>
              <w:bottom w:val="single" w:sz="8" w:color="95B3D7"/>
              <w:right w:val="single" w:sz="8" w:color="95B3D7"/>
            </w:tcBorders>
          </w:tcPr>
          <w:p>
            <w:pPr>
              <w:spacing w:after="0"/>
              <w:rPr>
                <w:sz w:val="7"/>
                <w:szCs w:val="7"/>
                <w:color w:val="auto"/>
              </w:rPr>
            </w:pPr>
          </w:p>
        </w:tc>
        <w:tc>
          <w:tcPr>
            <w:tcW w:w="6640" w:type="dxa"/>
            <w:vAlign w:val="bottom"/>
            <w:tcBorders>
              <w:bottom w:val="single" w:sz="8" w:color="95B3D7"/>
            </w:tcBorders>
          </w:tcPr>
          <w:p>
            <w:pPr>
              <w:spacing w:after="0"/>
              <w:rPr>
                <w:sz w:val="7"/>
                <w:szCs w:val="7"/>
                <w:color w:val="auto"/>
              </w:rPr>
            </w:pPr>
          </w:p>
        </w:tc>
      </w:tr>
      <w:tr>
        <w:trPr>
          <w:trHeight w:val="308"/>
        </w:trPr>
        <w:tc>
          <w:tcPr>
            <w:tcW w:w="286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8"/>
                <w:szCs w:val="18"/>
                <w:color w:val="auto"/>
              </w:rPr>
              <w:t>Hakan Kardes</w:t>
            </w:r>
          </w:p>
        </w:tc>
        <w:tc>
          <w:tcPr>
            <w:tcW w:w="62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37</w:t>
            </w:r>
          </w:p>
        </w:tc>
        <w:tc>
          <w:tcPr>
            <w:tcW w:w="6640" w:type="dxa"/>
            <w:vAlign w:val="bottom"/>
            <w:shd w:val="clear" w:color="auto" w:fill="DBE5F1"/>
          </w:tcPr>
          <w:p>
            <w:pPr>
              <w:ind w:left="280"/>
              <w:spacing w:after="0"/>
              <w:rPr>
                <w:sz w:val="20"/>
                <w:szCs w:val="20"/>
                <w:color w:val="auto"/>
              </w:rPr>
            </w:pPr>
            <w:r>
              <w:rPr>
                <w:rFonts w:ascii="Arial" w:cs="Arial" w:eastAsia="Arial" w:hAnsi="Arial"/>
                <w:sz w:val="18"/>
                <w:szCs w:val="18"/>
                <w:color w:val="auto"/>
              </w:rPr>
              <w:t>Chief Experience Officer</w:t>
            </w:r>
          </w:p>
        </w:tc>
      </w:tr>
      <w:tr>
        <w:trPr>
          <w:trHeight w:val="91"/>
        </w:trPr>
        <w:tc>
          <w:tcPr>
            <w:tcW w:w="2860" w:type="dxa"/>
            <w:vAlign w:val="bottom"/>
            <w:tcBorders>
              <w:bottom w:val="single" w:sz="8" w:color="95B3D7"/>
              <w:right w:val="single" w:sz="8" w:color="95B3D7"/>
            </w:tcBorders>
            <w:shd w:val="clear" w:color="auto" w:fill="DBE5F1"/>
          </w:tcPr>
          <w:p>
            <w:pPr>
              <w:spacing w:after="0"/>
              <w:rPr>
                <w:sz w:val="7"/>
                <w:szCs w:val="7"/>
                <w:color w:val="auto"/>
              </w:rPr>
            </w:pPr>
          </w:p>
        </w:tc>
        <w:tc>
          <w:tcPr>
            <w:tcW w:w="620" w:type="dxa"/>
            <w:vAlign w:val="bottom"/>
            <w:tcBorders>
              <w:bottom w:val="single" w:sz="8" w:color="95B3D7"/>
              <w:right w:val="single" w:sz="8" w:color="95B3D7"/>
            </w:tcBorders>
            <w:shd w:val="clear" w:color="auto" w:fill="DBE5F1"/>
          </w:tcPr>
          <w:p>
            <w:pPr>
              <w:spacing w:after="0"/>
              <w:rPr>
                <w:sz w:val="7"/>
                <w:szCs w:val="7"/>
                <w:color w:val="auto"/>
              </w:rPr>
            </w:pPr>
          </w:p>
        </w:tc>
        <w:tc>
          <w:tcPr>
            <w:tcW w:w="6640" w:type="dxa"/>
            <w:vAlign w:val="bottom"/>
            <w:tcBorders>
              <w:bottom w:val="single" w:sz="8" w:color="95B3D7"/>
            </w:tcBorders>
            <w:shd w:val="clear" w:color="auto" w:fill="DBE5F1"/>
          </w:tcPr>
          <w:p>
            <w:pPr>
              <w:spacing w:after="0"/>
              <w:rPr>
                <w:sz w:val="7"/>
                <w:szCs w:val="7"/>
                <w:color w:val="auto"/>
              </w:rPr>
            </w:pPr>
          </w:p>
        </w:tc>
      </w:tr>
      <w:tr>
        <w:trPr>
          <w:trHeight w:val="308"/>
        </w:trPr>
        <w:tc>
          <w:tcPr>
            <w:tcW w:w="2860" w:type="dxa"/>
            <w:vAlign w:val="bottom"/>
            <w:tcBorders>
              <w:right w:val="single" w:sz="8" w:color="95B3D7"/>
            </w:tcBorders>
          </w:tcPr>
          <w:p>
            <w:pPr>
              <w:spacing w:after="0"/>
              <w:rPr>
                <w:sz w:val="20"/>
                <w:szCs w:val="20"/>
                <w:color w:val="auto"/>
              </w:rPr>
            </w:pPr>
            <w:r>
              <w:rPr>
                <w:rFonts w:ascii="Arial" w:cs="Arial" w:eastAsia="Arial" w:hAnsi="Arial"/>
                <w:sz w:val="18"/>
                <w:szCs w:val="18"/>
                <w:color w:val="auto"/>
              </w:rPr>
              <w:t>Robert L. Scavo</w:t>
            </w:r>
          </w:p>
        </w:tc>
        <w:tc>
          <w:tcPr>
            <w:tcW w:w="620" w:type="dxa"/>
            <w:vAlign w:val="bottom"/>
            <w:tcBorders>
              <w:right w:val="single" w:sz="8" w:color="95B3D7"/>
            </w:tcBorders>
          </w:tcPr>
          <w:p>
            <w:pPr>
              <w:ind w:left="200"/>
              <w:spacing w:after="0"/>
              <w:rPr>
                <w:sz w:val="20"/>
                <w:szCs w:val="20"/>
                <w:color w:val="auto"/>
              </w:rPr>
            </w:pPr>
            <w:r>
              <w:rPr>
                <w:rFonts w:ascii="Arial" w:cs="Arial" w:eastAsia="Arial" w:hAnsi="Arial"/>
                <w:sz w:val="18"/>
                <w:szCs w:val="18"/>
                <w:color w:val="auto"/>
              </w:rPr>
              <w:t>59</w:t>
            </w:r>
          </w:p>
        </w:tc>
        <w:tc>
          <w:tcPr>
            <w:tcW w:w="6640" w:type="dxa"/>
            <w:vAlign w:val="bottom"/>
          </w:tcPr>
          <w:p>
            <w:pPr>
              <w:ind w:left="280"/>
              <w:spacing w:after="0"/>
              <w:rPr>
                <w:sz w:val="20"/>
                <w:szCs w:val="20"/>
                <w:color w:val="auto"/>
              </w:rPr>
            </w:pPr>
            <w:r>
              <w:rPr>
                <w:rFonts w:ascii="Arial" w:cs="Arial" w:eastAsia="Arial" w:hAnsi="Arial"/>
                <w:sz w:val="18"/>
                <w:szCs w:val="18"/>
                <w:color w:val="auto"/>
              </w:rPr>
              <w:t>Chief Information Officer</w:t>
            </w:r>
          </w:p>
        </w:tc>
      </w:tr>
      <w:tr>
        <w:trPr>
          <w:trHeight w:val="90"/>
        </w:trPr>
        <w:tc>
          <w:tcPr>
            <w:tcW w:w="2860" w:type="dxa"/>
            <w:vAlign w:val="bottom"/>
            <w:tcBorders>
              <w:bottom w:val="single" w:sz="8" w:color="95B3D7"/>
              <w:right w:val="single" w:sz="8" w:color="95B3D7"/>
            </w:tcBorders>
          </w:tcPr>
          <w:p>
            <w:pPr>
              <w:spacing w:after="0"/>
              <w:rPr>
                <w:sz w:val="7"/>
                <w:szCs w:val="7"/>
                <w:color w:val="auto"/>
              </w:rPr>
            </w:pPr>
          </w:p>
        </w:tc>
        <w:tc>
          <w:tcPr>
            <w:tcW w:w="620" w:type="dxa"/>
            <w:vAlign w:val="bottom"/>
            <w:tcBorders>
              <w:bottom w:val="single" w:sz="8" w:color="95B3D7"/>
              <w:right w:val="single" w:sz="8" w:color="95B3D7"/>
            </w:tcBorders>
          </w:tcPr>
          <w:p>
            <w:pPr>
              <w:spacing w:after="0"/>
              <w:rPr>
                <w:sz w:val="7"/>
                <w:szCs w:val="7"/>
                <w:color w:val="auto"/>
              </w:rPr>
            </w:pPr>
          </w:p>
        </w:tc>
        <w:tc>
          <w:tcPr>
            <w:tcW w:w="6640" w:type="dxa"/>
            <w:vAlign w:val="bottom"/>
            <w:tcBorders>
              <w:bottom w:val="single" w:sz="8" w:color="95B3D7"/>
            </w:tcBorders>
          </w:tcPr>
          <w:p>
            <w:pPr>
              <w:spacing w:after="0"/>
              <w:rPr>
                <w:sz w:val="7"/>
                <w:szCs w:val="7"/>
                <w:color w:val="auto"/>
              </w:rPr>
            </w:pPr>
          </w:p>
        </w:tc>
      </w:tr>
      <w:tr>
        <w:trPr>
          <w:trHeight w:val="308"/>
        </w:trPr>
        <w:tc>
          <w:tcPr>
            <w:tcW w:w="286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8"/>
                <w:szCs w:val="18"/>
                <w:color w:val="auto"/>
              </w:rPr>
              <w:t>Sebastian Burzacchi</w:t>
            </w:r>
          </w:p>
        </w:tc>
        <w:tc>
          <w:tcPr>
            <w:tcW w:w="62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43</w:t>
            </w:r>
          </w:p>
        </w:tc>
        <w:tc>
          <w:tcPr>
            <w:tcW w:w="6640" w:type="dxa"/>
            <w:vAlign w:val="bottom"/>
            <w:shd w:val="clear" w:color="auto" w:fill="DBE5F1"/>
          </w:tcPr>
          <w:p>
            <w:pPr>
              <w:ind w:left="280"/>
              <w:spacing w:after="0"/>
              <w:rPr>
                <w:sz w:val="20"/>
                <w:szCs w:val="20"/>
                <w:color w:val="auto"/>
              </w:rPr>
            </w:pPr>
            <w:r>
              <w:rPr>
                <w:rFonts w:ascii="Arial" w:cs="Arial" w:eastAsia="Arial" w:hAnsi="Arial"/>
                <w:sz w:val="18"/>
                <w:szCs w:val="18"/>
                <w:color w:val="auto"/>
              </w:rPr>
              <w:t>Chief Operating Officer – Management Services Organization</w:t>
            </w:r>
          </w:p>
        </w:tc>
      </w:tr>
      <w:tr>
        <w:trPr>
          <w:trHeight w:val="90"/>
        </w:trPr>
        <w:tc>
          <w:tcPr>
            <w:tcW w:w="2860" w:type="dxa"/>
            <w:vAlign w:val="bottom"/>
            <w:tcBorders>
              <w:bottom w:val="single" w:sz="8" w:color="95B3D7"/>
              <w:right w:val="single" w:sz="8" w:color="95B3D7"/>
            </w:tcBorders>
            <w:shd w:val="clear" w:color="auto" w:fill="DBE5F1"/>
          </w:tcPr>
          <w:p>
            <w:pPr>
              <w:spacing w:after="0"/>
              <w:rPr>
                <w:sz w:val="7"/>
                <w:szCs w:val="7"/>
                <w:color w:val="auto"/>
              </w:rPr>
            </w:pPr>
          </w:p>
        </w:tc>
        <w:tc>
          <w:tcPr>
            <w:tcW w:w="620" w:type="dxa"/>
            <w:vAlign w:val="bottom"/>
            <w:tcBorders>
              <w:bottom w:val="single" w:sz="8" w:color="95B3D7"/>
              <w:right w:val="single" w:sz="8" w:color="95B3D7"/>
            </w:tcBorders>
            <w:shd w:val="clear" w:color="auto" w:fill="DBE5F1"/>
          </w:tcPr>
          <w:p>
            <w:pPr>
              <w:spacing w:after="0"/>
              <w:rPr>
                <w:sz w:val="7"/>
                <w:szCs w:val="7"/>
                <w:color w:val="auto"/>
              </w:rPr>
            </w:pPr>
          </w:p>
        </w:tc>
        <w:tc>
          <w:tcPr>
            <w:tcW w:w="6640" w:type="dxa"/>
            <w:vAlign w:val="bottom"/>
            <w:tcBorders>
              <w:bottom w:val="single" w:sz="8" w:color="95B3D7"/>
            </w:tcBorders>
            <w:shd w:val="clear" w:color="auto" w:fill="DBE5F1"/>
          </w:tcPr>
          <w:p>
            <w:pPr>
              <w:spacing w:after="0"/>
              <w:rPr>
                <w:sz w:val="7"/>
                <w:szCs w:val="7"/>
                <w:color w:val="auto"/>
              </w:rPr>
            </w:pPr>
          </w:p>
        </w:tc>
      </w:tr>
      <w:tr>
        <w:trPr>
          <w:trHeight w:val="308"/>
        </w:trPr>
        <w:tc>
          <w:tcPr>
            <w:tcW w:w="2860" w:type="dxa"/>
            <w:vAlign w:val="bottom"/>
            <w:tcBorders>
              <w:right w:val="single" w:sz="8" w:color="95B3D7"/>
            </w:tcBorders>
          </w:tcPr>
          <w:p>
            <w:pPr>
              <w:spacing w:after="0"/>
              <w:rPr>
                <w:sz w:val="20"/>
                <w:szCs w:val="20"/>
                <w:color w:val="auto"/>
              </w:rPr>
            </w:pPr>
            <w:r>
              <w:rPr>
                <w:rFonts w:ascii="Arial" w:cs="Arial" w:eastAsia="Arial" w:hAnsi="Arial"/>
                <w:sz w:val="18"/>
                <w:szCs w:val="18"/>
                <w:color w:val="auto"/>
              </w:rPr>
              <w:t>Christopher J. Joyce</w:t>
            </w:r>
          </w:p>
        </w:tc>
        <w:tc>
          <w:tcPr>
            <w:tcW w:w="620" w:type="dxa"/>
            <w:vAlign w:val="bottom"/>
            <w:tcBorders>
              <w:right w:val="single" w:sz="8" w:color="95B3D7"/>
            </w:tcBorders>
          </w:tcPr>
          <w:p>
            <w:pPr>
              <w:ind w:left="200"/>
              <w:spacing w:after="0"/>
              <w:rPr>
                <w:sz w:val="20"/>
                <w:szCs w:val="20"/>
                <w:color w:val="auto"/>
              </w:rPr>
            </w:pPr>
            <w:r>
              <w:rPr>
                <w:rFonts w:ascii="Arial" w:cs="Arial" w:eastAsia="Arial" w:hAnsi="Arial"/>
                <w:sz w:val="18"/>
                <w:szCs w:val="18"/>
                <w:color w:val="auto"/>
              </w:rPr>
              <w:t>60</w:t>
            </w:r>
          </w:p>
        </w:tc>
        <w:tc>
          <w:tcPr>
            <w:tcW w:w="6640" w:type="dxa"/>
            <w:vAlign w:val="bottom"/>
          </w:tcPr>
          <w:p>
            <w:pPr>
              <w:ind w:left="280"/>
              <w:spacing w:after="0"/>
              <w:rPr>
                <w:sz w:val="20"/>
                <w:szCs w:val="20"/>
                <w:color w:val="auto"/>
              </w:rPr>
            </w:pPr>
            <w:r>
              <w:rPr>
                <w:rFonts w:ascii="Arial" w:cs="Arial" w:eastAsia="Arial" w:hAnsi="Arial"/>
                <w:sz w:val="18"/>
                <w:szCs w:val="18"/>
                <w:color w:val="auto"/>
              </w:rPr>
              <w:t>Chief Legal &amp; Administrative Officer</w:t>
            </w:r>
          </w:p>
        </w:tc>
      </w:tr>
      <w:tr>
        <w:trPr>
          <w:trHeight w:val="90"/>
        </w:trPr>
        <w:tc>
          <w:tcPr>
            <w:tcW w:w="2860" w:type="dxa"/>
            <w:vAlign w:val="bottom"/>
            <w:tcBorders>
              <w:bottom w:val="single" w:sz="8" w:color="95B3D7"/>
              <w:right w:val="single" w:sz="8" w:color="95B3D7"/>
            </w:tcBorders>
          </w:tcPr>
          <w:p>
            <w:pPr>
              <w:spacing w:after="0"/>
              <w:rPr>
                <w:sz w:val="7"/>
                <w:szCs w:val="7"/>
                <w:color w:val="auto"/>
              </w:rPr>
            </w:pPr>
          </w:p>
        </w:tc>
        <w:tc>
          <w:tcPr>
            <w:tcW w:w="620" w:type="dxa"/>
            <w:vAlign w:val="bottom"/>
            <w:tcBorders>
              <w:bottom w:val="single" w:sz="8" w:color="95B3D7"/>
              <w:right w:val="single" w:sz="8" w:color="95B3D7"/>
            </w:tcBorders>
          </w:tcPr>
          <w:p>
            <w:pPr>
              <w:spacing w:after="0"/>
              <w:rPr>
                <w:sz w:val="7"/>
                <w:szCs w:val="7"/>
                <w:color w:val="auto"/>
              </w:rPr>
            </w:pPr>
          </w:p>
        </w:tc>
        <w:tc>
          <w:tcPr>
            <w:tcW w:w="6640" w:type="dxa"/>
            <w:vAlign w:val="bottom"/>
            <w:tcBorders>
              <w:bottom w:val="single" w:sz="8" w:color="95B3D7"/>
            </w:tcBorders>
          </w:tcPr>
          <w:p>
            <w:pPr>
              <w:spacing w:after="0"/>
              <w:rPr>
                <w:sz w:val="7"/>
                <w:szCs w:val="7"/>
                <w:color w:val="auto"/>
              </w:rPr>
            </w:pPr>
          </w:p>
        </w:tc>
      </w:tr>
      <w:tr>
        <w:trPr>
          <w:trHeight w:val="308"/>
        </w:trPr>
        <w:tc>
          <w:tcPr>
            <w:tcW w:w="286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8"/>
                <w:szCs w:val="18"/>
                <w:color w:val="auto"/>
              </w:rPr>
              <w:t>Andreas Wagner</w:t>
            </w:r>
          </w:p>
        </w:tc>
        <w:tc>
          <w:tcPr>
            <w:tcW w:w="620" w:type="dxa"/>
            <w:vAlign w:val="bottom"/>
            <w:tcBorders>
              <w:right w:val="single" w:sz="8" w:color="95B3D7"/>
            </w:tcBorders>
            <w:shd w:val="clear" w:color="auto" w:fill="DBE5F1"/>
          </w:tcPr>
          <w:p>
            <w:pPr>
              <w:ind w:left="200"/>
              <w:spacing w:after="0"/>
              <w:rPr>
                <w:sz w:val="20"/>
                <w:szCs w:val="20"/>
                <w:color w:val="auto"/>
              </w:rPr>
            </w:pPr>
            <w:r>
              <w:rPr>
                <w:rFonts w:ascii="Arial" w:cs="Arial" w:eastAsia="Arial" w:hAnsi="Arial"/>
                <w:sz w:val="18"/>
                <w:szCs w:val="18"/>
                <w:color w:val="auto"/>
              </w:rPr>
              <w:t>54</w:t>
            </w:r>
          </w:p>
        </w:tc>
        <w:tc>
          <w:tcPr>
            <w:tcW w:w="6640" w:type="dxa"/>
            <w:vAlign w:val="bottom"/>
            <w:shd w:val="clear" w:color="auto" w:fill="DBE5F1"/>
          </w:tcPr>
          <w:p>
            <w:pPr>
              <w:ind w:left="280"/>
              <w:spacing w:after="0"/>
              <w:rPr>
                <w:sz w:val="20"/>
                <w:szCs w:val="20"/>
                <w:color w:val="auto"/>
              </w:rPr>
            </w:pPr>
            <w:r>
              <w:rPr>
                <w:rFonts w:ascii="Arial" w:cs="Arial" w:eastAsia="Arial" w:hAnsi="Arial"/>
                <w:sz w:val="18"/>
                <w:szCs w:val="18"/>
                <w:color w:val="auto"/>
              </w:rPr>
              <w:t>Chief Human Resources Officer</w:t>
            </w:r>
          </w:p>
        </w:tc>
      </w:tr>
      <w:tr>
        <w:trPr>
          <w:trHeight w:val="90"/>
        </w:trPr>
        <w:tc>
          <w:tcPr>
            <w:tcW w:w="2860" w:type="dxa"/>
            <w:vAlign w:val="bottom"/>
            <w:tcBorders>
              <w:bottom w:val="single" w:sz="8" w:color="95B3D7"/>
              <w:right w:val="single" w:sz="8" w:color="95B3D7"/>
            </w:tcBorders>
            <w:shd w:val="clear" w:color="auto" w:fill="DBE5F1"/>
          </w:tcPr>
          <w:p>
            <w:pPr>
              <w:spacing w:after="0"/>
              <w:rPr>
                <w:sz w:val="7"/>
                <w:szCs w:val="7"/>
                <w:color w:val="auto"/>
              </w:rPr>
            </w:pPr>
          </w:p>
        </w:tc>
        <w:tc>
          <w:tcPr>
            <w:tcW w:w="620" w:type="dxa"/>
            <w:vAlign w:val="bottom"/>
            <w:tcBorders>
              <w:bottom w:val="single" w:sz="8" w:color="95B3D7"/>
              <w:right w:val="single" w:sz="8" w:color="95B3D7"/>
            </w:tcBorders>
            <w:shd w:val="clear" w:color="auto" w:fill="DBE5F1"/>
          </w:tcPr>
          <w:p>
            <w:pPr>
              <w:spacing w:after="0"/>
              <w:rPr>
                <w:sz w:val="7"/>
                <w:szCs w:val="7"/>
                <w:color w:val="auto"/>
              </w:rPr>
            </w:pPr>
          </w:p>
        </w:tc>
        <w:tc>
          <w:tcPr>
            <w:tcW w:w="6640" w:type="dxa"/>
            <w:vAlign w:val="bottom"/>
            <w:tcBorders>
              <w:bottom w:val="single" w:sz="8" w:color="95B3D7"/>
            </w:tcBorders>
            <w:shd w:val="clear" w:color="auto" w:fill="DBE5F1"/>
          </w:tcPr>
          <w:p>
            <w:pPr>
              <w:spacing w:after="0"/>
              <w:rPr>
                <w:sz w:val="7"/>
                <w:szCs w:val="7"/>
                <w:color w:val="auto"/>
              </w:rPr>
            </w:pPr>
          </w:p>
        </w:tc>
      </w:tr>
    </w:tbl>
    <w:p>
      <w:pPr>
        <w:spacing w:after="0" w:line="224" w:lineRule="exact"/>
        <w:rPr>
          <w:sz w:val="20"/>
          <w:szCs w:val="20"/>
          <w:color w:val="auto"/>
        </w:rPr>
      </w:pPr>
    </w:p>
    <w:p>
      <w:pPr>
        <w:ind w:left="2220"/>
        <w:spacing w:after="0"/>
        <w:rPr>
          <w:sz w:val="20"/>
          <w:szCs w:val="20"/>
          <w:color w:val="auto"/>
        </w:rPr>
      </w:pPr>
      <w:r>
        <w:rPr>
          <w:rFonts w:ascii="Arial" w:cs="Arial" w:eastAsia="Arial" w:hAnsi="Arial"/>
          <w:sz w:val="18"/>
          <w:szCs w:val="18"/>
          <w:color w:val="auto"/>
        </w:rPr>
        <w:t>Mr. Kao has served as our Chief Executive Officer and as a member of our Board since 2014. Please see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1071245" cy="10033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71245" cy="1003300"/>
                    </a:xfrm>
                    <a:prstGeom prst="rect">
                      <a:avLst/>
                    </a:prstGeom>
                    <a:noFill/>
                  </pic:spPr>
                </pic:pic>
              </a:graphicData>
            </a:graphic>
          </wp:anchor>
        </w:drawing>
      </w:r>
    </w:p>
    <w:p>
      <w:pPr>
        <w:ind w:left="2220" w:right="240"/>
        <w:spacing w:after="0" w:line="250"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Proposal 1—Election of Directors—Director Nominees to Serve for a Three-Year Term Expiring at the 2027</w:t>
      </w:r>
      <w:r>
        <w:rPr>
          <w:rFonts w:ascii="Arial" w:cs="Arial" w:eastAsia="Arial" w:hAnsi="Arial"/>
          <w:sz w:val="18"/>
          <w:szCs w:val="18"/>
          <w:color w:val="auto"/>
        </w:rPr>
        <w:t xml:space="preserve"> </w:t>
      </w:r>
      <w:r>
        <w:rPr>
          <w:rFonts w:ascii="Arial" w:cs="Arial" w:eastAsia="Arial" w:hAnsi="Arial"/>
          <w:sz w:val="18"/>
          <w:szCs w:val="18"/>
          <w:i w:val="1"/>
          <w:iCs w:val="1"/>
          <w:color w:val="auto"/>
        </w:rPr>
        <w:t>Annual Meeting</w:t>
      </w:r>
      <w:r>
        <w:rPr>
          <w:rFonts w:ascii="Arial" w:cs="Arial" w:eastAsia="Arial" w:hAnsi="Arial"/>
          <w:sz w:val="18"/>
          <w:szCs w:val="18"/>
          <w:color w:val="auto"/>
        </w:rPr>
        <w:t>” for Mr. Kao’s biographical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John Kao</w:t>
      </w:r>
    </w:p>
    <w:p>
      <w:pPr>
        <w:spacing w:after="0" w:line="223" w:lineRule="exact"/>
        <w:rPr>
          <w:sz w:val="20"/>
          <w:szCs w:val="20"/>
          <w:color w:val="auto"/>
        </w:rPr>
      </w:pPr>
    </w:p>
    <w:p>
      <w:pPr>
        <w:ind w:left="2220"/>
        <w:spacing w:after="0" w:line="259" w:lineRule="auto"/>
        <w:rPr>
          <w:sz w:val="20"/>
          <w:szCs w:val="20"/>
          <w:color w:val="auto"/>
        </w:rPr>
      </w:pPr>
      <w:r>
        <w:rPr>
          <w:rFonts w:ascii="Arial" w:cs="Arial" w:eastAsia="Arial" w:hAnsi="Arial"/>
          <w:sz w:val="17"/>
          <w:szCs w:val="17"/>
          <w:color w:val="auto"/>
        </w:rPr>
        <w:t>Ms. Maroney has served as our President, Markets since 2015 and was our chief sales, product and marketing officer from 2014 to 2015. Prior to joining Alignment, she was chief Medicare officer for Blue Shield of California (formerly known as Care1st Health Plan) from 2013 to 2014 and was chief marketing and sales officer from 2011 to 2013. From 2005 to 2011, she was chief sales and marketing officer for CareMore Health Plan. Ms. Maroney also served as vice president, Medicare, at Secure Horizons from 2003 to 2005. From 1994 to 2003, she served in various roles at HealthNet, including as regional vice president from 1998 to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-791210</wp:posOffset>
            </wp:positionV>
            <wp:extent cx="1071245" cy="100266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Dawn Maroney</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20"/>
          </w:cols>
          <w:pgMar w:left="440" w:top="296" w:right="43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1071245" cy="100266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Thomas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1071245" cy="100266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F497D"/>
        </w:rPr>
        <w:t>Hyong (Ken) Kim,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434975</wp:posOffset>
            </wp:positionV>
            <wp:extent cx="1071245" cy="100266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Hakan Kardes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170815</wp:posOffset>
            </wp:positionV>
            <wp:extent cx="1071245" cy="10026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Robert L. Scavo</w:t>
      </w:r>
    </w:p>
    <w:p>
      <w:pPr>
        <w:spacing w:after="0" w:line="20" w:lineRule="exact"/>
        <w:rPr>
          <w:sz w:val="20"/>
          <w:szCs w:val="20"/>
          <w:color w:val="auto"/>
        </w:rPr>
      </w:pPr>
      <w:r>
        <w:rPr>
          <w:sz w:val="20"/>
          <w:szCs w:val="20"/>
          <w:color w:val="auto"/>
        </w:rPr>
        <w:br w:type="column"/>
      </w:r>
    </w:p>
    <w:p>
      <w:pPr>
        <w:ind w:right="20"/>
        <w:spacing w:after="0" w:line="242" w:lineRule="auto"/>
        <w:rPr>
          <w:sz w:val="20"/>
          <w:szCs w:val="20"/>
          <w:color w:val="auto"/>
        </w:rPr>
      </w:pPr>
      <w:r>
        <w:rPr>
          <w:rFonts w:ascii="Arial" w:cs="Arial" w:eastAsia="Arial" w:hAnsi="Arial"/>
          <w:sz w:val="18"/>
          <w:szCs w:val="18"/>
          <w:color w:val="auto"/>
        </w:rPr>
        <w:t>Mr. Freeman has served as our Chief Financial Officer since 2017. Mr. Freeman first joined Alignment in 2015 where he served as our Vice President of Corporate Development. Prior to joining Alignment, Mr. Freeman was a growth investor on the health care team at General Atlantic. Before joining General Atlantic, Mr. Freeman worked in the Investment Banking division at Morgan Stanley &amp; Co. LLC where he also focused on the health care sector. He earned his Bachelor of Science in finance from the University of Kansas, where he graduated with Highest Distinction from the School of Business and University Honors.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-894080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Dr. Kim has over 25 years of experience in the health care space and previously served as the Company’s Chief Medical Officer from June 2013 to March 2018. From May 2022 to August 2023, Dr. Kim served as chief clinical officer of CareConnect MD, a home health care services company, where he was responsible for clinical modeling, data analytics and management of clinical staff. He also served in an advisory role for CareConnect MD from July 2019 to May 2022. From July 2018 to July 2019, Dr. Kim was the chief medical officer of the Center for Medicare &amp; Medicaid Innovation (“CMMI”), where he oversaw all payment and clinical model development, and he chaired the Quality Improvement Council, creating operational pathways for performance reviews for all 36 CMMI models. Over 14 years, Dr. Kim held various roles at CareMore Health, an integrated health plan and provider, starting as a hospitalist and ultimately serving as chief medical officer from June 2009 to March 2013. Board-certified in internal medicine, Dr. Kim completed his medical residency at Loma Linda University and holds a bachelor’s degree and M.D. from Indiana University.</w:t>
      </w:r>
    </w:p>
    <w:p>
      <w:pPr>
        <w:spacing w:after="0" w:line="186" w:lineRule="exact"/>
        <w:rPr>
          <w:sz w:val="20"/>
          <w:szCs w:val="20"/>
          <w:color w:val="auto"/>
        </w:rPr>
      </w:pPr>
    </w:p>
    <w:p>
      <w:pPr>
        <w:ind w:right="20"/>
        <w:spacing w:after="0" w:line="239" w:lineRule="auto"/>
        <w:rPr>
          <w:sz w:val="20"/>
          <w:szCs w:val="20"/>
          <w:color w:val="auto"/>
        </w:rPr>
      </w:pPr>
      <w:r>
        <w:rPr>
          <w:rFonts w:ascii="Arial" w:cs="Arial" w:eastAsia="Arial" w:hAnsi="Arial"/>
          <w:sz w:val="18"/>
          <w:szCs w:val="18"/>
          <w:color w:val="auto"/>
        </w:rPr>
        <w:t>Mr. Kardes has served as our Chief Experience Officer since February 2023, leading artificial intelligence (AI), our MA star ratings and consumer-centric operations. He also served as our Chief Technology Officer from January 2019 to February 2024, overseeing data management, technology engineering, and artificial intelligence strategy and execution. From 2015 to 2018, Mr. Kardes was vice president of data science and advanced analytics at Cambia Health Solutions, where he headed up the data science, engineering, product and analytics division. Before joining Cambia, Mr. Kardes was a principal data scientist at Intelius and was responsible for building their proprietary data and insights engine. Mr. Kardes holds a Bachelor of Science in computer science from Bogazici University in Turkey and a Ph.D. in computer science from the University of Nevada, Reno. He has published over 15 papers and holds several patents</w:t>
      </w:r>
    </w:p>
    <w:p>
      <w:pPr>
        <w:spacing w:after="0" w:line="183" w:lineRule="exact"/>
        <w:rPr>
          <w:sz w:val="20"/>
          <w:szCs w:val="20"/>
          <w:color w:val="auto"/>
        </w:rPr>
      </w:pPr>
    </w:p>
    <w:p>
      <w:pPr>
        <w:ind w:right="40"/>
        <w:spacing w:after="0"/>
        <w:rPr>
          <w:sz w:val="20"/>
          <w:szCs w:val="20"/>
          <w:color w:val="auto"/>
        </w:rPr>
      </w:pPr>
      <w:r>
        <w:rPr>
          <w:rFonts w:ascii="Arial" w:cs="Arial" w:eastAsia="Arial" w:hAnsi="Arial"/>
          <w:sz w:val="18"/>
          <w:szCs w:val="18"/>
          <w:color w:val="auto"/>
        </w:rPr>
        <w:t>Mr. Scavo has served as our Chief Information Officer since September 2020, overseeing data management, technology engineering, artificial intelligence strategy and execution and claims operations. From January 2017 to April 2020, Mr. Scavo was President and Chief Operations Officer at Welltok, Inc., where he headed up sales, client delivery, product management, software engineering, product implementation and consulting, operations and IT. Before joining Welltok, Inc., Mr. Scavo spent 17 years at the TriZetto Group (now Cognizant). He also spent over seven years with Andersen Consulting (now Accenture) and holds a Bachelor of Science in business administration from the University of Colorado, Boulder.</w:t>
      </w:r>
    </w:p>
    <w:p>
      <w:pPr>
        <w:spacing w:after="0" w:line="200" w:lineRule="exact"/>
        <w:rPr>
          <w:sz w:val="20"/>
          <w:szCs w:val="20"/>
          <w:color w:val="auto"/>
        </w:rPr>
      </w:pPr>
    </w:p>
    <w:p>
      <w:pPr>
        <w:spacing w:after="0" w:line="29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39</w:t>
      </w:r>
    </w:p>
    <w:p>
      <w:pPr>
        <w:sectPr>
          <w:pgSz w:w="11900" w:h="16838" w:orient="portrait"/>
          <w:cols w:equalWidth="0" w:num="2">
            <w:col w:w="1940" w:space="280"/>
            <w:col w:w="8720"/>
          </w:cols>
          <w:pgMar w:left="440" w:top="296" w:right="519"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200660</wp:posOffset>
            </wp:positionV>
            <wp:extent cx="1071245" cy="10026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Sebastian Burzacchi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153670</wp:posOffset>
            </wp:positionV>
            <wp:extent cx="1071245" cy="10026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1F497D"/>
        </w:rPr>
        <w:t>Christopher J. Joyce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160655</wp:posOffset>
            </wp:positionV>
            <wp:extent cx="1071245" cy="100266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71245"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Andreas Wagner</w:t>
      </w:r>
    </w:p>
    <w:p>
      <w:pPr>
        <w:spacing w:after="0" w:line="20" w:lineRule="exact"/>
        <w:rPr>
          <w:sz w:val="20"/>
          <w:szCs w:val="20"/>
          <w:color w:val="auto"/>
        </w:rPr>
      </w:pPr>
      <w:r>
        <w:rPr>
          <w:sz w:val="20"/>
          <w:szCs w:val="20"/>
          <w:color w:val="auto"/>
        </w:rPr>
        <w:br w:type="column"/>
      </w:r>
    </w:p>
    <w:p>
      <w:pPr>
        <w:ind w:right="100"/>
        <w:spacing w:after="0"/>
        <w:rPr>
          <w:sz w:val="20"/>
          <w:szCs w:val="20"/>
          <w:color w:val="auto"/>
        </w:rPr>
      </w:pPr>
      <w:r>
        <w:rPr>
          <w:rFonts w:ascii="Arial" w:cs="Arial" w:eastAsia="Arial" w:hAnsi="Arial"/>
          <w:sz w:val="18"/>
          <w:szCs w:val="18"/>
          <w:color w:val="auto"/>
        </w:rPr>
        <w:t>Sebastian Burzacchi joined Alignment as Chief Operating Officer – Management Services Organization in December 2023. Mr. Burzacchi has over 18 years of experience in operations and management, having most recently served as executive vice president of operations for Veho Tech, an e-commerce logistics company, from March to November 2023. From October 2022 to October 2023, Mr. Burzacchi was an advisor to Oscar Health, a health insurance company. From October 2016 to October 2022, he held various positions of employment at Oscar Health, including as head of claims operations, head of concierge and senior vice president of operations. Mr. Burzacchi holds a Master of Business Administration from MIT Sloan School of Management and a Bachelor of Science in industrial and systems engineering from Virginia Tech.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-1150620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Mr. Joyce joined the Company as Chief Legal &amp; Administrative Officer in August 2023. He previously served as general counsel of AdaptHealth Holdings, a national leader in providing patient-centered, healthcare-at-home solutions including home medical equipment, medical supplies, and related services, from 2018 to 2023, and of InnovaCare, Inc., a $2.0 billion managed care insurance company with 450,000 Medicare and Medicaid beneficiaries, from 2011 to 2018. Mr. Joyce has over 27 years of experience as chief legal officer and business development executive for publicly traded and privately held provider based and managed care companies. Mr. Joyce holds a bachelor’s degree in Economics from the State University of New York at Albany and a JD from the University of Chicago.</w:t>
      </w:r>
    </w:p>
    <w:p>
      <w:pPr>
        <w:spacing w:after="0" w:line="356"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Mr. Wagner joined Alignment as Chief People Officer in January 2024. Mr. Wagner is a human resources executive with over 30 years of leadership experience where he held various key human resources positions. Prior to joining Alignment, from 2020 to 2023, Mr. Wagner served as the chief human resources officer at Aerojet Rocketdyne, a technology-based engineering and manufacturing company that develops and produces specialized power and propulsion systems. From 2014 to 2019, he served as vice present of human resources at TE Connectivity, an electrical and electronics manufacturing company, and was their director of human resources from 2012 to 2014. From 2004 to 2012, he served as director of human resources at Bombardier Transportation, an aviation and aerospace component manufacturing company. Mr. Wagner holds a master’s degree in Sport Science from the University of Munich, Germany.</w:t>
      </w:r>
    </w:p>
    <w:p>
      <w:pPr>
        <w:spacing w:after="0" w:line="116"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40</w:t>
      </w:r>
    </w:p>
    <w:p>
      <w:pPr>
        <w:sectPr>
          <w:pgSz w:w="11900" w:h="16838" w:orient="portrait"/>
          <w:cols w:equalWidth="0" w:num="2">
            <w:col w:w="1780" w:space="440"/>
            <w:col w:w="8780"/>
          </w:cols>
          <w:pgMar w:left="440" w:top="296" w:right="45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COMPENSATION DISCUSSION AND ANALYSIS</w:t>
      </w:r>
    </w:p>
    <w:p>
      <w:pPr>
        <w:spacing w:after="0" w:line="212"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This Compensation Discussion and Analysis (“CD&amp;A”) explains our executive compensation program for our named executive officers (“Named Executive Officers” or “NEOs”) listed below. This CD&amp;A also describes the Compensation Committee’s process for making pay decisions, as well as its rationale for specific decisions related to the fiscal year ended December 31,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40" w:type="dxa"/>
            <w:vAlign w:val="bottom"/>
            <w:tcBorders>
              <w:bottom w:val="single" w:sz="8" w:color="95B3D7"/>
            </w:tcBorders>
          </w:tcPr>
          <w:p>
            <w:pPr>
              <w:spacing w:after="0"/>
              <w:rPr>
                <w:sz w:val="20"/>
                <w:szCs w:val="20"/>
                <w:color w:val="auto"/>
              </w:rPr>
            </w:pPr>
            <w:r>
              <w:rPr>
                <w:rFonts w:ascii="Arial" w:cs="Arial" w:eastAsia="Arial" w:hAnsi="Arial"/>
                <w:sz w:val="18"/>
                <w:szCs w:val="18"/>
                <w:b w:val="1"/>
                <w:bCs w:val="1"/>
                <w:color w:val="auto"/>
              </w:rPr>
              <w:t>  Name</w:t>
            </w:r>
          </w:p>
        </w:tc>
        <w:tc>
          <w:tcPr>
            <w:tcW w:w="5380" w:type="dxa"/>
            <w:vAlign w:val="bottom"/>
            <w:tcBorders>
              <w:bottom w:val="single" w:sz="8" w:color="95B3D7"/>
            </w:tcBorders>
          </w:tcPr>
          <w:p>
            <w:pPr>
              <w:ind w:left="100"/>
              <w:spacing w:after="0"/>
              <w:rPr>
                <w:sz w:val="20"/>
                <w:szCs w:val="20"/>
                <w:color w:val="auto"/>
              </w:rPr>
            </w:pPr>
            <w:r>
              <w:rPr>
                <w:rFonts w:ascii="Arial" w:cs="Arial" w:eastAsia="Arial" w:hAnsi="Arial"/>
                <w:sz w:val="18"/>
                <w:szCs w:val="18"/>
                <w:b w:val="1"/>
                <w:bCs w:val="1"/>
                <w:color w:val="auto"/>
              </w:rPr>
              <w:t>Position</w:t>
            </w:r>
          </w:p>
        </w:tc>
      </w:tr>
      <w:tr>
        <w:trPr>
          <w:trHeight w:val="196"/>
        </w:trPr>
        <w:tc>
          <w:tcPr>
            <w:tcW w:w="5640" w:type="dxa"/>
            <w:vAlign w:val="bottom"/>
            <w:tcBorders>
              <w:bottom w:val="single" w:sz="8" w:color="95B3D7"/>
              <w:right w:val="single" w:sz="8" w:color="95B3D7"/>
            </w:tcBorders>
            <w:shd w:val="clear" w:color="auto" w:fill="DBE5F1"/>
          </w:tcPr>
          <w:p>
            <w:pPr>
              <w:spacing w:after="0" w:line="196" w:lineRule="exact"/>
              <w:rPr>
                <w:sz w:val="20"/>
                <w:szCs w:val="20"/>
                <w:color w:val="auto"/>
              </w:rPr>
            </w:pPr>
            <w:r>
              <w:rPr>
                <w:rFonts w:ascii="Arial" w:cs="Arial" w:eastAsia="Arial" w:hAnsi="Arial"/>
                <w:sz w:val="18"/>
                <w:szCs w:val="18"/>
                <w:color w:val="auto"/>
              </w:rPr>
              <w:t>  John Kao</w:t>
            </w:r>
          </w:p>
        </w:tc>
        <w:tc>
          <w:tcPr>
            <w:tcW w:w="5380" w:type="dxa"/>
            <w:vAlign w:val="bottom"/>
            <w:tcBorders>
              <w:bottom w:val="single" w:sz="8" w:color="95B3D7"/>
            </w:tcBorders>
            <w:shd w:val="clear" w:color="auto" w:fill="DBE5F1"/>
          </w:tcPr>
          <w:p>
            <w:pPr>
              <w:ind w:left="100"/>
              <w:spacing w:after="0" w:line="196" w:lineRule="exact"/>
              <w:rPr>
                <w:sz w:val="20"/>
                <w:szCs w:val="20"/>
                <w:color w:val="auto"/>
              </w:rPr>
            </w:pPr>
            <w:r>
              <w:rPr>
                <w:rFonts w:ascii="Arial" w:cs="Arial" w:eastAsia="Arial" w:hAnsi="Arial"/>
                <w:sz w:val="18"/>
                <w:szCs w:val="18"/>
                <w:color w:val="auto"/>
              </w:rPr>
              <w:t>Chief Executive Officer (“CEO”)</w:t>
            </w:r>
          </w:p>
        </w:tc>
      </w:tr>
      <w:tr>
        <w:trPr>
          <w:trHeight w:val="196"/>
        </w:trPr>
        <w:tc>
          <w:tcPr>
            <w:tcW w:w="5640" w:type="dxa"/>
            <w:vAlign w:val="bottom"/>
            <w:tcBorders>
              <w:bottom w:val="single" w:sz="8" w:color="95B3D7"/>
              <w:right w:val="single" w:sz="8" w:color="95B3D7"/>
            </w:tcBorders>
          </w:tcPr>
          <w:p>
            <w:pPr>
              <w:spacing w:after="0" w:line="196" w:lineRule="exact"/>
              <w:rPr>
                <w:sz w:val="20"/>
                <w:szCs w:val="20"/>
                <w:color w:val="auto"/>
              </w:rPr>
            </w:pPr>
            <w:r>
              <w:rPr>
                <w:rFonts w:ascii="Arial" w:cs="Arial" w:eastAsia="Arial" w:hAnsi="Arial"/>
                <w:sz w:val="18"/>
                <w:szCs w:val="18"/>
                <w:color w:val="auto"/>
              </w:rPr>
              <w:t>  Thomas Freeman</w:t>
            </w:r>
          </w:p>
        </w:tc>
        <w:tc>
          <w:tcPr>
            <w:tcW w:w="5380" w:type="dxa"/>
            <w:vAlign w:val="bottom"/>
            <w:tcBorders>
              <w:bottom w:val="single" w:sz="8" w:color="95B3D7"/>
            </w:tcBorders>
          </w:tcPr>
          <w:p>
            <w:pPr>
              <w:ind w:left="100"/>
              <w:spacing w:after="0" w:line="196" w:lineRule="exact"/>
              <w:rPr>
                <w:sz w:val="20"/>
                <w:szCs w:val="20"/>
                <w:color w:val="auto"/>
              </w:rPr>
            </w:pPr>
            <w:r>
              <w:rPr>
                <w:rFonts w:ascii="Arial" w:cs="Arial" w:eastAsia="Arial" w:hAnsi="Arial"/>
                <w:sz w:val="18"/>
                <w:szCs w:val="18"/>
                <w:color w:val="auto"/>
              </w:rPr>
              <w:t>Chief Financial Officer</w:t>
            </w:r>
          </w:p>
        </w:tc>
      </w:tr>
      <w:tr>
        <w:trPr>
          <w:trHeight w:val="196"/>
        </w:trPr>
        <w:tc>
          <w:tcPr>
            <w:tcW w:w="5640" w:type="dxa"/>
            <w:vAlign w:val="bottom"/>
            <w:tcBorders>
              <w:bottom w:val="single" w:sz="8" w:color="95B3D7"/>
              <w:right w:val="single" w:sz="8" w:color="95B3D7"/>
            </w:tcBorders>
            <w:shd w:val="clear" w:color="auto" w:fill="DBE5F1"/>
          </w:tcPr>
          <w:p>
            <w:pPr>
              <w:spacing w:after="0" w:line="196" w:lineRule="exact"/>
              <w:rPr>
                <w:sz w:val="20"/>
                <w:szCs w:val="20"/>
                <w:color w:val="auto"/>
              </w:rPr>
            </w:pPr>
            <w:r>
              <w:rPr>
                <w:rFonts w:ascii="Arial" w:cs="Arial" w:eastAsia="Arial" w:hAnsi="Arial"/>
                <w:sz w:val="18"/>
                <w:szCs w:val="18"/>
                <w:color w:val="auto"/>
              </w:rPr>
              <w:t>  Dawn Maroney</w:t>
            </w:r>
          </w:p>
        </w:tc>
        <w:tc>
          <w:tcPr>
            <w:tcW w:w="5380" w:type="dxa"/>
            <w:vAlign w:val="bottom"/>
            <w:tcBorders>
              <w:bottom w:val="single" w:sz="8" w:color="95B3D7"/>
            </w:tcBorders>
            <w:shd w:val="clear" w:color="auto" w:fill="DBE5F1"/>
          </w:tcPr>
          <w:p>
            <w:pPr>
              <w:ind w:left="100"/>
              <w:spacing w:after="0" w:line="196" w:lineRule="exact"/>
              <w:rPr>
                <w:sz w:val="20"/>
                <w:szCs w:val="20"/>
                <w:color w:val="auto"/>
              </w:rPr>
            </w:pPr>
            <w:r>
              <w:rPr>
                <w:rFonts w:ascii="Arial" w:cs="Arial" w:eastAsia="Arial" w:hAnsi="Arial"/>
                <w:sz w:val="18"/>
                <w:szCs w:val="18"/>
                <w:color w:val="auto"/>
              </w:rPr>
              <w:t>President, Markets</w:t>
            </w:r>
          </w:p>
        </w:tc>
      </w:tr>
      <w:tr>
        <w:trPr>
          <w:trHeight w:val="196"/>
        </w:trPr>
        <w:tc>
          <w:tcPr>
            <w:tcW w:w="5640" w:type="dxa"/>
            <w:vAlign w:val="bottom"/>
            <w:tcBorders>
              <w:bottom w:val="single" w:sz="8" w:color="95B3D7"/>
              <w:right w:val="single" w:sz="8" w:color="95B3D7"/>
            </w:tcBorders>
          </w:tcPr>
          <w:p>
            <w:pPr>
              <w:spacing w:after="0" w:line="196" w:lineRule="exact"/>
              <w:rPr>
                <w:sz w:val="20"/>
                <w:szCs w:val="20"/>
                <w:color w:val="auto"/>
              </w:rPr>
            </w:pPr>
            <w:r>
              <w:rPr>
                <w:rFonts w:ascii="Arial" w:cs="Arial" w:eastAsia="Arial" w:hAnsi="Arial"/>
                <w:sz w:val="18"/>
                <w:szCs w:val="18"/>
                <w:color w:val="auto"/>
              </w:rPr>
              <w:t>  Hakan Kardes</w:t>
            </w:r>
          </w:p>
        </w:tc>
        <w:tc>
          <w:tcPr>
            <w:tcW w:w="5380" w:type="dxa"/>
            <w:vAlign w:val="bottom"/>
            <w:tcBorders>
              <w:bottom w:val="single" w:sz="8" w:color="95B3D7"/>
            </w:tcBorders>
          </w:tcPr>
          <w:p>
            <w:pPr>
              <w:ind w:left="100"/>
              <w:spacing w:after="0" w:line="196" w:lineRule="exact"/>
              <w:rPr>
                <w:sz w:val="20"/>
                <w:szCs w:val="20"/>
                <w:color w:val="auto"/>
              </w:rPr>
            </w:pPr>
            <w:r>
              <w:rPr>
                <w:rFonts w:ascii="Arial" w:cs="Arial" w:eastAsia="Arial" w:hAnsi="Arial"/>
                <w:sz w:val="18"/>
                <w:szCs w:val="18"/>
                <w:color w:val="auto"/>
              </w:rPr>
              <w:t>Chief Experience Officer</w:t>
            </w:r>
          </w:p>
        </w:tc>
      </w:tr>
      <w:tr>
        <w:trPr>
          <w:trHeight w:val="196"/>
        </w:trPr>
        <w:tc>
          <w:tcPr>
            <w:tcW w:w="5640" w:type="dxa"/>
            <w:vAlign w:val="bottom"/>
            <w:tcBorders>
              <w:bottom w:val="single" w:sz="8" w:color="95B3D7"/>
              <w:right w:val="single" w:sz="8" w:color="95B3D7"/>
            </w:tcBorders>
            <w:shd w:val="clear" w:color="auto" w:fill="DBE5F1"/>
          </w:tcPr>
          <w:p>
            <w:pPr>
              <w:spacing w:after="0" w:line="195" w:lineRule="exact"/>
              <w:rPr>
                <w:sz w:val="20"/>
                <w:szCs w:val="20"/>
                <w:color w:val="auto"/>
              </w:rPr>
            </w:pPr>
            <w:r>
              <w:rPr>
                <w:rFonts w:ascii="Arial" w:cs="Arial" w:eastAsia="Arial" w:hAnsi="Arial"/>
                <w:sz w:val="16"/>
                <w:szCs w:val="16"/>
                <w:color w:val="auto"/>
              </w:rPr>
              <w:t>  Hyong (Ken) Kim, M.D.</w:t>
            </w:r>
            <w:r>
              <w:rPr>
                <w:rFonts w:ascii="Arial" w:cs="Arial" w:eastAsia="Arial" w:hAnsi="Arial"/>
                <w:sz w:val="22"/>
                <w:szCs w:val="22"/>
                <w:color w:val="auto"/>
                <w:vertAlign w:val="superscript"/>
              </w:rPr>
              <w:t>(1)</w:t>
            </w:r>
          </w:p>
        </w:tc>
        <w:tc>
          <w:tcPr>
            <w:tcW w:w="5380" w:type="dxa"/>
            <w:vAlign w:val="bottom"/>
            <w:tcBorders>
              <w:bottom w:val="single" w:sz="8" w:color="95B3D7"/>
            </w:tcBorders>
            <w:shd w:val="clear" w:color="auto" w:fill="DBE5F1"/>
          </w:tcPr>
          <w:p>
            <w:pPr>
              <w:ind w:left="100"/>
              <w:spacing w:after="0" w:line="196" w:lineRule="exact"/>
              <w:rPr>
                <w:sz w:val="20"/>
                <w:szCs w:val="20"/>
                <w:color w:val="auto"/>
              </w:rPr>
            </w:pPr>
            <w:r>
              <w:rPr>
                <w:rFonts w:ascii="Arial" w:cs="Arial" w:eastAsia="Arial" w:hAnsi="Arial"/>
                <w:sz w:val="18"/>
                <w:szCs w:val="18"/>
                <w:color w:val="auto"/>
              </w:rPr>
              <w:t>Chief Medical Officer</w:t>
            </w:r>
          </w:p>
        </w:tc>
      </w:tr>
    </w:tbl>
    <w:p>
      <w:pPr>
        <w:spacing w:after="0" w:line="112" w:lineRule="exact"/>
        <w:rPr>
          <w:sz w:val="20"/>
          <w:szCs w:val="20"/>
          <w:color w:val="auto"/>
        </w:rPr>
      </w:pPr>
    </w:p>
    <w:p>
      <w:pPr>
        <w:ind w:left="760" w:hanging="332"/>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Mr. Kim was appointed Chief Medical Officer (“CMO”) effective September 25,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Summary</w:t>
      </w:r>
    </w:p>
    <w:p>
      <w:pPr>
        <w:spacing w:after="0" w:line="212"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8"/>
          <w:szCs w:val="18"/>
          <w:color w:val="auto"/>
        </w:rPr>
        <w:t>Alignment is a next generation, consumer-centric platform designed to improve the healthcare experience for seniors. We deliver this experience through our Medicare Advantage plans, which are customized to meet the needs of a diverse array of seniors. Our innovative model of consumer-centric health care is purpose-built to provide seniors with care as it should be: high quality, low cost and accompanied by a vastly improved consumer experience. Our platform was developed to align with the six core principles that we believe will be required to successfully deliver health care in the 21st century and that represent our key competitive strengths. Our platform enables us to:</w:t>
      </w:r>
    </w:p>
    <w:p>
      <w:pPr>
        <w:spacing w:after="0" w:line="206" w:lineRule="exact"/>
        <w:rPr>
          <w:sz w:val="20"/>
          <w:szCs w:val="20"/>
          <w:color w:val="auto"/>
        </w:rPr>
      </w:pPr>
    </w:p>
    <w:p>
      <w:pPr>
        <w:ind w:left="1200" w:hanging="327"/>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leverage data, technology and analytics to power all aspects of our model;</w:t>
      </w:r>
    </w:p>
    <w:p>
      <w:pPr>
        <w:spacing w:after="0" w:line="25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engage consumers directly and develop products to meet their needs;</w:t>
      </w:r>
    </w:p>
    <w:p>
      <w:pPr>
        <w:spacing w:after="0" w:line="25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proactively manage and coordinate care for our most vulnerable members;</w:t>
      </w:r>
    </w:p>
    <w:p>
      <w:pPr>
        <w:spacing w:after="0" w:line="25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empower providers and employ flexible care delivery models;</w:t>
      </w:r>
    </w:p>
    <w:p>
      <w:pPr>
        <w:spacing w:after="0" w:line="25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design and deploy innovative value-based payment models; and</w:t>
      </w:r>
    </w:p>
    <w:p>
      <w:pPr>
        <w:spacing w:after="0" w:line="25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cultivate a culture of innovation.</w:t>
      </w:r>
    </w:p>
    <w:p>
      <w:pPr>
        <w:spacing w:after="0" w:line="224"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As we continue to mature as a public company, we are committed to our stockholder engagement efforts and open and ongoing dialogues with key stakeholders with respect to executive compensation to help ensure that we remain apprised of investor perspectives. We will also continue to consider the feedback we receive from our major stockholders as well as the outcome of say-on-pay votes when making compensation decisions regarding our NEOs.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2023 Business Highlights</w:t>
      </w:r>
    </w:p>
    <w:p>
      <w:pPr>
        <w:spacing w:after="0" w:line="210" w:lineRule="exact"/>
        <w:rPr>
          <w:sz w:val="20"/>
          <w:szCs w:val="20"/>
          <w:color w:val="auto"/>
        </w:rPr>
      </w:pPr>
    </w:p>
    <w:p>
      <w:pPr>
        <w:jc w:val="both"/>
        <w:ind w:right="100" w:firstLine="440"/>
        <w:spacing w:after="0" w:line="253" w:lineRule="auto"/>
        <w:rPr>
          <w:sz w:val="20"/>
          <w:szCs w:val="20"/>
          <w:color w:val="auto"/>
        </w:rPr>
      </w:pPr>
      <w:r>
        <w:rPr>
          <w:rFonts w:ascii="Arial" w:cs="Arial" w:eastAsia="Arial" w:hAnsi="Arial"/>
          <w:sz w:val="18"/>
          <w:szCs w:val="18"/>
          <w:color w:val="auto"/>
        </w:rPr>
        <w:t>Our focus on quality allowed us to deliver strong financial results in fiscal 2022. We believe that ongoing strategic investments in our people and technology will continue to drive meaningful improvements in the health and quality of life of all those we serve. The following key operational and financial highlights demonstrate our strong performance for 2023:</w:t>
      </w:r>
    </w:p>
    <w:p>
      <w:pPr>
        <w:spacing w:after="0" w:line="196" w:lineRule="exact"/>
        <w:rPr>
          <w:sz w:val="20"/>
          <w:szCs w:val="20"/>
          <w:color w:val="auto"/>
        </w:rPr>
      </w:pPr>
    </w:p>
    <w:p>
      <w:pPr>
        <w:ind w:left="860" w:right="340" w:hanging="432"/>
        <w:spacing w:after="0" w:line="270" w:lineRule="auto"/>
        <w:tabs>
          <w:tab w:leader="none" w:pos="8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Health plan membership, which we define as members enrolled in our HMO and PPO contracts, increased 44% to a total of 155,500 members as of January 1, 2024.</w:t>
      </w:r>
    </w:p>
    <w:p>
      <w:pPr>
        <w:spacing w:after="0" w:line="181"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Total revenue was $1,823.6 million, up 27.2% year over year.</w:t>
      </w:r>
    </w:p>
    <w:p>
      <w:pPr>
        <w:spacing w:after="0" w:line="251" w:lineRule="exact"/>
        <w:rPr>
          <w:rFonts w:ascii="Times New Roman" w:cs="Times New Roman" w:eastAsia="Times New Roman" w:hAnsi="Times New Roman"/>
          <w:sz w:val="18"/>
          <w:szCs w:val="18"/>
          <w:color w:val="auto"/>
        </w:rPr>
      </w:pPr>
    </w:p>
    <w:p>
      <w:pPr>
        <w:ind w:left="860" w:hanging="432"/>
        <w:spacing w:after="0"/>
        <w:tabs>
          <w:tab w:leader="none" w:pos="86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Health plan premium revenue of $1,800.9 million, up 25.8% year over year.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20"/>
          </w:cols>
          <w:pgMar w:left="440" w:top="296" w:right="439" w:bottom="1440" w:gutter="0" w:footer="0" w:header="0"/>
        </w:sectPr>
      </w:pPr>
    </w:p>
    <w:bookmarkStart w:id="49" w:name="page50"/>
    <w:bookmarkEnd w:id="49"/>
    <w:p>
      <w:pPr>
        <w:ind w:left="960" w:hanging="424"/>
        <w:spacing w:after="0"/>
        <w:tabs>
          <w:tab w:leader="none" w:pos="9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Adjusted gross profit was $208.8 million and loss from operations was ($127.8) million.</w:t>
      </w:r>
    </w:p>
    <w:p>
      <w:pPr>
        <w:spacing w:after="0" w:line="251" w:lineRule="exact"/>
        <w:rPr>
          <w:rFonts w:ascii="Times New Roman" w:cs="Times New Roman" w:eastAsia="Times New Roman" w:hAnsi="Times New Roman"/>
          <w:sz w:val="18"/>
          <w:szCs w:val="18"/>
          <w:color w:val="auto"/>
        </w:rPr>
      </w:pPr>
    </w:p>
    <w:p>
      <w:pPr>
        <w:ind w:left="1520" w:right="260" w:hanging="323"/>
        <w:spacing w:after="0" w:line="246" w:lineRule="auto"/>
        <w:tabs>
          <w:tab w:leader="none" w:pos="1520" w:val="left"/>
        </w:tabs>
        <w:numPr>
          <w:ilvl w:val="1"/>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gross profit excludes depreciation and amortization of $21.7 million and selling, general, and administrative expenses of $307.4 million (which includes $59.3 million of equity-based compensation). Adjusted gross profit also excludes an additional $7.5 million of equity-based compensation recorded within medical expenses. Loss from operations includes $66.8 million of equity-based compensation.</w:t>
      </w:r>
    </w:p>
    <w:p>
      <w:pPr>
        <w:spacing w:after="0" w:line="203" w:lineRule="exact"/>
        <w:rPr>
          <w:rFonts w:ascii="Times New Roman" w:cs="Times New Roman" w:eastAsia="Times New Roman" w:hAnsi="Times New Roman"/>
          <w:sz w:val="18"/>
          <w:szCs w:val="18"/>
          <w:color w:val="auto"/>
        </w:rPr>
      </w:pPr>
    </w:p>
    <w:p>
      <w:pPr>
        <w:ind w:left="1520" w:right="300" w:hanging="323"/>
        <w:spacing w:after="0" w:line="270" w:lineRule="auto"/>
        <w:tabs>
          <w:tab w:leader="none" w:pos="1520" w:val="left"/>
        </w:tabs>
        <w:numPr>
          <w:ilvl w:val="1"/>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Medical benefits ratio based on adjusted gross profit was 88.5%. Medical benefits ratio excluding ACO REACH was 87.6%.</w:t>
      </w:r>
    </w:p>
    <w:p>
      <w:pPr>
        <w:spacing w:after="0" w:line="181" w:lineRule="exact"/>
        <w:rPr>
          <w:rFonts w:ascii="Times New Roman" w:cs="Times New Roman" w:eastAsia="Times New Roman" w:hAnsi="Times New Roman"/>
          <w:sz w:val="18"/>
          <w:szCs w:val="18"/>
          <w:color w:val="auto"/>
        </w:rPr>
      </w:pPr>
    </w:p>
    <w:p>
      <w:pPr>
        <w:ind w:left="960" w:right="120" w:hanging="424"/>
        <w:spacing w:after="0" w:line="270" w:lineRule="auto"/>
        <w:tabs>
          <w:tab w:leader="none" w:pos="96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Adjusted EBITDA was ($35.3) million and net loss was ($148.2) million (which includes, with respect to net loss, $66.8 million of equity-based compensation).</w:t>
      </w:r>
    </w:p>
    <w:p>
      <w:pPr>
        <w:spacing w:after="0" w:line="154" w:lineRule="exact"/>
        <w:rPr>
          <w:sz w:val="20"/>
          <w:szCs w:val="20"/>
          <w:color w:val="auto"/>
        </w:rPr>
      </w:pPr>
    </w:p>
    <w:p>
      <w:pPr>
        <w:ind w:right="80"/>
        <w:spacing w:after="0" w:line="247" w:lineRule="auto"/>
        <w:rPr>
          <w:sz w:val="20"/>
          <w:szCs w:val="20"/>
          <w:color w:val="auto"/>
        </w:rPr>
      </w:pPr>
      <w:r>
        <w:rPr>
          <w:rFonts w:ascii="Arial" w:cs="Arial" w:eastAsia="Arial" w:hAnsi="Arial"/>
          <w:sz w:val="18"/>
          <w:szCs w:val="18"/>
          <w:color w:val="auto"/>
        </w:rPr>
        <w:t>Adjusted gross profit and adjusted EBITDA are non-GAAP measures. An explanation of these measures, how they are calculated and reconciliations to the most directly comparable GAAP financial measures can be found in “</w:t>
      </w:r>
      <w:r>
        <w:rPr>
          <w:rFonts w:ascii="Arial" w:cs="Arial" w:eastAsia="Arial" w:hAnsi="Arial"/>
          <w:sz w:val="18"/>
          <w:szCs w:val="18"/>
          <w:i w:val="1"/>
          <w:iCs w:val="1"/>
          <w:color w:val="auto"/>
        </w:rPr>
        <w:t>Item 7. Management’s Discussion and Analysis</w:t>
      </w:r>
      <w:r>
        <w:rPr>
          <w:rFonts w:ascii="Arial" w:cs="Arial" w:eastAsia="Arial" w:hAnsi="Arial"/>
          <w:sz w:val="18"/>
          <w:szCs w:val="18"/>
          <w:color w:val="auto"/>
        </w:rPr>
        <w:t xml:space="preserve"> </w:t>
      </w:r>
      <w:r>
        <w:rPr>
          <w:rFonts w:ascii="Arial" w:cs="Arial" w:eastAsia="Arial" w:hAnsi="Arial"/>
          <w:sz w:val="18"/>
          <w:szCs w:val="18"/>
          <w:i w:val="1"/>
          <w:iCs w:val="1"/>
          <w:color w:val="auto"/>
        </w:rPr>
        <w:t>of Financial Condition and Results of Operations—Key Business Metrics</w:t>
      </w:r>
      <w:r>
        <w:rPr>
          <w:rFonts w:ascii="Arial" w:cs="Arial" w:eastAsia="Arial" w:hAnsi="Arial"/>
          <w:sz w:val="18"/>
          <w:szCs w:val="18"/>
          <w:color w:val="auto"/>
        </w:rPr>
        <w:t>” in the Company’s Annual Report on Form 10-K for the fiscal</w:t>
      </w:r>
      <w:r>
        <w:rPr>
          <w:rFonts w:ascii="Arial" w:cs="Arial" w:eastAsia="Arial" w:hAnsi="Arial"/>
          <w:sz w:val="18"/>
          <w:szCs w:val="18"/>
          <w:i w:val="1"/>
          <w:iCs w:val="1"/>
          <w:color w:val="auto"/>
        </w:rPr>
        <w:t xml:space="preserve"> </w:t>
      </w:r>
      <w:r>
        <w:rPr>
          <w:rFonts w:ascii="Arial" w:cs="Arial" w:eastAsia="Arial" w:hAnsi="Arial"/>
          <w:sz w:val="18"/>
          <w:szCs w:val="18"/>
          <w:color w:val="auto"/>
        </w:rPr>
        <w:t>year ended December 31, 2023 and in the Appendix to this proxy statement.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2023 Compensation Highlights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Board of Directors and Compensation Committee made the following executive compensation decisions for fiscal 2023:</w:t>
      </w:r>
    </w:p>
    <w:p>
      <w:pPr>
        <w:spacing w:after="0" w:line="239" w:lineRule="exact"/>
        <w:rPr>
          <w:sz w:val="20"/>
          <w:szCs w:val="20"/>
          <w:color w:val="auto"/>
        </w:rPr>
      </w:pPr>
    </w:p>
    <w:p>
      <w:pPr>
        <w:jc w:val="both"/>
        <w:ind w:left="1200" w:right="20" w:hanging="327"/>
        <w:spacing w:after="0" w:line="252" w:lineRule="auto"/>
        <w:tabs>
          <w:tab w:leader="none" w:pos="12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Base Salaries. </w:t>
      </w:r>
      <w:r>
        <w:rPr>
          <w:rFonts w:ascii="Arial" w:cs="Arial" w:eastAsia="Arial" w:hAnsi="Arial"/>
          <w:sz w:val="18"/>
          <w:szCs w:val="18"/>
          <w:color w:val="auto"/>
        </w:rPr>
        <w:t>For 2023, the Compensation Committee approved base salary increases for Messrs. Kao and Freeman, of</w:t>
      </w:r>
      <w:r>
        <w:rPr>
          <w:rFonts w:ascii="Arial" w:cs="Arial" w:eastAsia="Arial" w:hAnsi="Arial"/>
          <w:sz w:val="18"/>
          <w:szCs w:val="18"/>
          <w:b w:val="1"/>
          <w:bCs w:val="1"/>
          <w:color w:val="auto"/>
        </w:rPr>
        <w:t xml:space="preserve"> </w:t>
      </w:r>
      <w:r>
        <w:rPr>
          <w:rFonts w:ascii="Arial" w:cs="Arial" w:eastAsia="Arial" w:hAnsi="Arial"/>
          <w:sz w:val="18"/>
          <w:szCs w:val="18"/>
          <w:color w:val="auto"/>
        </w:rPr>
        <w:t>6.66% and 12%, respectively, in order to align their cash compensation with the market for similar roles and responsibilities.</w:t>
      </w:r>
    </w:p>
    <w:p>
      <w:pPr>
        <w:spacing w:after="0" w:line="197" w:lineRule="exact"/>
        <w:rPr>
          <w:rFonts w:ascii="Times New Roman" w:cs="Times New Roman" w:eastAsia="Times New Roman" w:hAnsi="Times New Roman"/>
          <w:sz w:val="18"/>
          <w:szCs w:val="18"/>
          <w:color w:val="auto"/>
        </w:rPr>
      </w:pPr>
    </w:p>
    <w:p>
      <w:pPr>
        <w:jc w:val="both"/>
        <w:ind w:left="1200" w:hanging="327"/>
        <w:spacing w:after="0" w:line="242" w:lineRule="auto"/>
        <w:tabs>
          <w:tab w:leader="none" w:pos="12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 xml:space="preserve">Annual Cash Incentives. </w:t>
      </w:r>
      <w:r>
        <w:rPr>
          <w:rFonts w:ascii="Arial" w:cs="Arial" w:eastAsia="Arial" w:hAnsi="Arial"/>
          <w:sz w:val="18"/>
          <w:szCs w:val="18"/>
          <w:color w:val="auto"/>
        </w:rPr>
        <w:t>Based on our financial performance in 2023, the Compensation Committee determined that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goals under the Annual Incentive Plan were achieved at 134.4% of each NEO’s applicable bonus target (for NEOs other than the CEO, corporate goals determine 75% of the overall payout; for the CEO, corporate goals determine 100% of the overall payout). The Compensation Committee also made determinations regarding the achievement of individual performance goals for our NEOs, which ranged from 100% to 200% (individual goals determine 25% of overall payout for NEOs other than the CEO, whose payout is not influenced by individual goal performance).</w:t>
      </w:r>
    </w:p>
    <w:p>
      <w:pPr>
        <w:spacing w:after="0" w:line="204" w:lineRule="exact"/>
        <w:rPr>
          <w:rFonts w:ascii="Times New Roman" w:cs="Times New Roman" w:eastAsia="Times New Roman" w:hAnsi="Times New Roman"/>
          <w:sz w:val="18"/>
          <w:szCs w:val="18"/>
          <w:color w:val="auto"/>
        </w:rPr>
      </w:pPr>
    </w:p>
    <w:p>
      <w:pPr>
        <w:jc w:val="both"/>
        <w:ind w:left="1200" w:right="20" w:hanging="327"/>
        <w:spacing w:after="0" w:line="243" w:lineRule="auto"/>
        <w:tabs>
          <w:tab w:leader="none" w:pos="120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Long-Term Equity Incentives</w:t>
      </w:r>
      <w:r>
        <w:rPr>
          <w:rFonts w:ascii="Arial" w:cs="Arial" w:eastAsia="Arial" w:hAnsi="Arial"/>
          <w:sz w:val="18"/>
          <w:szCs w:val="18"/>
          <w:color w:val="auto"/>
        </w:rPr>
        <w:t>. In September 2023, the Compensation Committee recommended, and the Board</w:t>
      </w:r>
      <w:r>
        <w:rPr>
          <w:rFonts w:ascii="Arial" w:cs="Arial" w:eastAsia="Arial" w:hAnsi="Arial"/>
          <w:sz w:val="18"/>
          <w:szCs w:val="18"/>
          <w:b w:val="1"/>
          <w:bCs w:val="1"/>
          <w:color w:val="auto"/>
        </w:rPr>
        <w:t xml:space="preserve"> </w:t>
      </w:r>
      <w:r>
        <w:rPr>
          <w:rFonts w:ascii="Arial" w:cs="Arial" w:eastAsia="Arial" w:hAnsi="Arial"/>
          <w:sz w:val="18"/>
          <w:szCs w:val="18"/>
          <w:color w:val="auto"/>
        </w:rPr>
        <w:t>approved, long-term equity grants to executive officers entirely in the form of performance-based restricted stock units (“September 2023 PSUs”). In arriving at its recommendation to grant equity in PSUs, the Compensation Committee considered our team’s continued strong performance amidst the challenging macroeconomic environment since our IPO in 2021, particularly as compared to certain peer Medicare Advantage companies, as well as several other critical factors:</w:t>
      </w:r>
    </w:p>
    <w:p>
      <w:pPr>
        <w:spacing w:after="0" w:line="207" w:lineRule="exact"/>
        <w:rPr>
          <w:sz w:val="20"/>
          <w:szCs w:val="20"/>
          <w:color w:val="auto"/>
        </w:rPr>
      </w:pPr>
    </w:p>
    <w:p>
      <w:pPr>
        <w:ind w:left="1960" w:right="20" w:hanging="533"/>
        <w:spacing w:after="0" w:line="271" w:lineRule="auto"/>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Committee’s desire to mature our compensation program and establish a stronger focus on performance-based shares;</w:t>
      </w:r>
    </w:p>
    <w:p>
      <w:pPr>
        <w:spacing w:after="0" w:line="180" w:lineRule="exact"/>
        <w:rPr>
          <w:rFonts w:ascii="Arial" w:cs="Arial" w:eastAsia="Arial" w:hAnsi="Arial"/>
          <w:sz w:val="18"/>
          <w:szCs w:val="18"/>
          <w:color w:val="auto"/>
        </w:rPr>
      </w:pPr>
    </w:p>
    <w:p>
      <w:pPr>
        <w:ind w:left="1960" w:hanging="533"/>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Company’s retention objectives in light of competition for talent in the health care space; and</w:t>
      </w:r>
    </w:p>
    <w:p>
      <w:pPr>
        <w:spacing w:after="0" w:line="238" w:lineRule="exact"/>
        <w:rPr>
          <w:rFonts w:ascii="Arial" w:cs="Arial" w:eastAsia="Arial" w:hAnsi="Arial"/>
          <w:sz w:val="18"/>
          <w:szCs w:val="18"/>
          <w:color w:val="auto"/>
        </w:rPr>
      </w:pPr>
    </w:p>
    <w:p>
      <w:pPr>
        <w:ind w:left="1960" w:hanging="533"/>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diminution of the intended target value of the equity awards granted at our IPO in 2021 and in 2022.</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20"/>
          </w:cols>
          <w:pgMar w:left="440" w:top="296" w:right="439" w:bottom="1440" w:gutter="0" w:footer="0" w:header="0"/>
        </w:sectPr>
      </w:pPr>
    </w:p>
    <w:bookmarkStart w:id="50" w:name="page51"/>
    <w:bookmarkEnd w:id="50"/>
    <w:p>
      <w:pPr>
        <w:jc w:val="both"/>
        <w:ind w:left="1420"/>
        <w:spacing w:after="0" w:line="24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With respect to the September 2023 PSUs, our NEOs can earn between 0% to 150% of their target award depending on the Company’s achievement of certain performance metrics over a one-year period (i.e., fiscal year 2024). The Compensation Committee chose to measure performance for this grant using a one-year performance period, although the Compensation Committee intends to adopt PSUs contingent upon longer performance measurement cycles as the Company’s long-term incentive strategy evolves with respect to future grants. For more information, see “</w:t>
      </w:r>
      <w:r>
        <w:rPr>
          <w:rFonts w:ascii="Arial" w:cs="Arial" w:eastAsia="Arial" w:hAnsi="Arial"/>
          <w:sz w:val="18"/>
          <w:szCs w:val="18"/>
          <w:i w:val="1"/>
          <w:iCs w:val="1"/>
          <w:color w:val="auto"/>
        </w:rPr>
        <w:t>—2023</w:t>
      </w:r>
      <w:r>
        <w:rPr>
          <w:rFonts w:ascii="Arial" w:cs="Arial" w:eastAsia="Arial" w:hAnsi="Arial"/>
          <w:sz w:val="18"/>
          <w:szCs w:val="18"/>
          <w:color w:val="auto"/>
        </w:rPr>
        <w:t xml:space="preserve"> </w:t>
      </w:r>
      <w:r>
        <w:rPr>
          <w:rFonts w:ascii="Arial" w:cs="Arial" w:eastAsia="Arial" w:hAnsi="Arial"/>
          <w:sz w:val="18"/>
          <w:szCs w:val="18"/>
          <w:i w:val="1"/>
          <w:iCs w:val="1"/>
          <w:color w:val="auto"/>
        </w:rPr>
        <w:t>Executive Compensation Program in Detail—Long-Term Equity Incentives</w:t>
      </w:r>
      <w:r>
        <w:rPr>
          <w:rFonts w:ascii="Arial" w:cs="Arial" w:eastAsia="Arial" w:hAnsi="Arial"/>
          <w:sz w:val="18"/>
          <w:szCs w:val="18"/>
          <w:color w:val="auto"/>
        </w:rPr>
        <w:t>.”</w:t>
      </w:r>
    </w:p>
    <w:p>
      <w:pPr>
        <w:spacing w:after="0" w:line="206" w:lineRule="exact"/>
        <w:rPr>
          <w:sz w:val="20"/>
          <w:szCs w:val="20"/>
          <w:color w:val="auto"/>
        </w:rPr>
      </w:pPr>
    </w:p>
    <w:p>
      <w:pPr>
        <w:jc w:val="both"/>
        <w:ind w:left="1420" w:right="20" w:hanging="331"/>
        <w:spacing w:after="0" w:line="246" w:lineRule="auto"/>
        <w:tabs>
          <w:tab w:leader="none" w:pos="14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Compensation Clawback Policy</w:t>
      </w:r>
      <w:r>
        <w:rPr>
          <w:rFonts w:ascii="Arial" w:cs="Arial" w:eastAsia="Arial" w:hAnsi="Arial"/>
          <w:sz w:val="18"/>
          <w:szCs w:val="18"/>
          <w:color w:val="auto"/>
        </w:rPr>
        <w:t>. In October 2023, in accordance with SEC rules and the listing standards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Nasdaq Stock Market, our Board adopted a compensation clawback policy providing for the recovery of erroneously awarded incentive-based compensation in the event of certain restatements of our financial statements. For more information, see “</w:t>
      </w:r>
      <w:r>
        <w:rPr>
          <w:rFonts w:ascii="Arial" w:cs="Arial" w:eastAsia="Arial" w:hAnsi="Arial"/>
          <w:sz w:val="18"/>
          <w:szCs w:val="18"/>
          <w:i w:val="1"/>
          <w:iCs w:val="1"/>
          <w:color w:val="auto"/>
        </w:rPr>
        <w:t>—Other Compensation Matters—Alignment healthcare, Inc. Clawback Policy.</w:t>
      </w:r>
      <w:r>
        <w:rPr>
          <w:rFonts w:ascii="Arial" w:cs="Arial" w:eastAsia="Arial" w:hAnsi="Arial"/>
          <w:sz w:val="18"/>
          <w:szCs w:val="18"/>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2023 Advisory Vote on Executive Compensation (“Say on Pay”)</w:t>
      </w:r>
    </w:p>
    <w:p>
      <w:pPr>
        <w:spacing w:after="0" w:line="210" w:lineRule="exact"/>
        <w:rPr>
          <w:sz w:val="20"/>
          <w:szCs w:val="20"/>
          <w:color w:val="auto"/>
        </w:rPr>
      </w:pPr>
    </w:p>
    <w:p>
      <w:pPr>
        <w:jc w:val="both"/>
        <w:ind w:right="20" w:firstLine="440"/>
        <w:spacing w:after="0" w:line="247" w:lineRule="auto"/>
        <w:rPr>
          <w:sz w:val="20"/>
          <w:szCs w:val="20"/>
          <w:color w:val="auto"/>
        </w:rPr>
      </w:pPr>
      <w:r>
        <w:rPr>
          <w:rFonts w:ascii="Arial" w:cs="Arial" w:eastAsia="Arial" w:hAnsi="Arial"/>
          <w:sz w:val="18"/>
          <w:szCs w:val="18"/>
          <w:color w:val="auto"/>
        </w:rPr>
        <w:t>In 2023, our stockholders had their first opportunity to cast a non-binding advisory vote to approve the compensation of our Named Executive Officers at the annual stockholder meeting, the results of which were that approximately 66.9% of the votes cast were in support for our program. The Compensation Committee is continuing to work closely with its independent compensation consultant to ensure that our program evolves at a pace that is in the best interests of our stockholders and executive team.</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Best Practices &amp; Policies</w:t>
      </w:r>
    </w:p>
    <w:p>
      <w:pPr>
        <w:spacing w:after="0" w:line="212" w:lineRule="exact"/>
        <w:rPr>
          <w:sz w:val="20"/>
          <w:szCs w:val="20"/>
          <w:color w:val="auto"/>
        </w:rPr>
      </w:pPr>
    </w:p>
    <w:p>
      <w:pPr>
        <w:ind w:right="40" w:firstLine="440"/>
        <w:spacing w:after="0" w:line="253" w:lineRule="auto"/>
        <w:rPr>
          <w:sz w:val="20"/>
          <w:szCs w:val="20"/>
          <w:color w:val="auto"/>
        </w:rPr>
      </w:pPr>
      <w:r>
        <w:rPr>
          <w:rFonts w:ascii="Arial" w:cs="Arial" w:eastAsia="Arial" w:hAnsi="Arial"/>
          <w:sz w:val="18"/>
          <w:szCs w:val="18"/>
          <w:color w:val="auto"/>
        </w:rPr>
        <w:t>We believe the following practices and policies within our program promote sound compensation governance and are in the best interests of our stockholders and executives. We also believe that these principles have been instrumental in the Company’s retention and recruitment of executive talent and the</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20"/>
          </w:cols>
          <w:pgMar w:left="440" w:top="296" w:right="439" w:bottom="1440" w:gutter="0" w:footer="0" w:header="0"/>
        </w:sectPr>
      </w:pPr>
    </w:p>
    <w:bookmarkStart w:id="51" w:name="page52"/>
    <w:bookmarkEnd w:id="51"/>
    <w:p>
      <w:pPr>
        <w:ind w:right="8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successful execution of the Company’s initiatives and our overall performance relative to the challenging macroeconomic factors experienced by our competitors.: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 w:type="dxa"/>
            <w:vAlign w:val="bottom"/>
            <w:tcBorders>
              <w:bottom w:val="single" w:sz="8" w:color="95B3D7"/>
            </w:tcBorders>
          </w:tcPr>
          <w:p>
            <w:pPr>
              <w:spacing w:after="0"/>
              <w:rPr>
                <w:sz w:val="17"/>
                <w:szCs w:val="17"/>
                <w:color w:val="auto"/>
              </w:rPr>
            </w:pPr>
          </w:p>
        </w:tc>
        <w:tc>
          <w:tcPr>
            <w:tcW w:w="340" w:type="dxa"/>
            <w:vAlign w:val="bottom"/>
            <w:tcBorders>
              <w:bottom w:val="single" w:sz="8" w:color="95B3D7"/>
            </w:tcBorders>
          </w:tcPr>
          <w:p>
            <w:pPr>
              <w:spacing w:after="0"/>
              <w:rPr>
                <w:sz w:val="17"/>
                <w:szCs w:val="17"/>
                <w:color w:val="auto"/>
              </w:rPr>
            </w:pPr>
          </w:p>
        </w:tc>
        <w:tc>
          <w:tcPr>
            <w:tcW w:w="5080" w:type="dxa"/>
            <w:vAlign w:val="bottom"/>
            <w:tcBorders>
              <w:bottom w:val="single" w:sz="8" w:color="95B3D7"/>
            </w:tcBorders>
          </w:tcPr>
          <w:p>
            <w:pPr>
              <w:ind w:left="1940"/>
              <w:spacing w:after="0"/>
              <w:rPr>
                <w:sz w:val="20"/>
                <w:szCs w:val="20"/>
                <w:color w:val="auto"/>
              </w:rPr>
            </w:pPr>
            <w:r>
              <w:rPr>
                <w:rFonts w:ascii="Arial" w:cs="Arial" w:eastAsia="Arial" w:hAnsi="Arial"/>
                <w:sz w:val="16"/>
                <w:szCs w:val="16"/>
                <w:b w:val="1"/>
                <w:bCs w:val="1"/>
                <w:color w:val="auto"/>
              </w:rPr>
              <w:t>What We Do</w:t>
            </w:r>
          </w:p>
        </w:tc>
        <w:tc>
          <w:tcPr>
            <w:tcW w:w="320" w:type="dxa"/>
            <w:vAlign w:val="bottom"/>
            <w:tcBorders>
              <w:bottom w:val="single" w:sz="8" w:color="95B3D7"/>
            </w:tcBorders>
          </w:tcPr>
          <w:p>
            <w:pPr>
              <w:spacing w:after="0"/>
              <w:rPr>
                <w:sz w:val="17"/>
                <w:szCs w:val="17"/>
                <w:color w:val="auto"/>
              </w:rPr>
            </w:pPr>
          </w:p>
        </w:tc>
        <w:tc>
          <w:tcPr>
            <w:tcW w:w="5180" w:type="dxa"/>
            <w:vAlign w:val="bottom"/>
            <w:tcBorders>
              <w:bottom w:val="single" w:sz="8" w:color="95B3D7"/>
            </w:tcBorders>
            <w:gridSpan w:val="2"/>
          </w:tcPr>
          <w:p>
            <w:pPr>
              <w:ind w:left="1660"/>
              <w:spacing w:after="0"/>
              <w:rPr>
                <w:sz w:val="20"/>
                <w:szCs w:val="20"/>
                <w:color w:val="auto"/>
              </w:rPr>
            </w:pPr>
            <w:r>
              <w:rPr>
                <w:rFonts w:ascii="Arial" w:cs="Arial" w:eastAsia="Arial" w:hAnsi="Arial"/>
                <w:sz w:val="16"/>
                <w:szCs w:val="16"/>
                <w:b w:val="1"/>
                <w:bCs w:val="1"/>
                <w:color w:val="auto"/>
              </w:rPr>
              <w:t>What We Don’t Do</w:t>
            </w:r>
          </w:p>
        </w:tc>
      </w:tr>
      <w:tr>
        <w:trPr>
          <w:trHeight w:val="168"/>
        </w:trPr>
        <w:tc>
          <w:tcPr>
            <w:tcW w:w="100" w:type="dxa"/>
            <w:vAlign w:val="bottom"/>
          </w:tcPr>
          <w:p>
            <w:pPr>
              <w:spacing w:after="0" w:line="168" w:lineRule="exact"/>
              <w:rPr>
                <w:sz w:val="20"/>
                <w:szCs w:val="20"/>
                <w:color w:val="auto"/>
              </w:rPr>
            </w:pPr>
            <w:r>
              <w:rPr>
                <w:rFonts w:ascii="Arial" w:cs="Arial" w:eastAsia="Arial" w:hAnsi="Arial"/>
                <w:sz w:val="16"/>
                <w:szCs w:val="16"/>
                <w:color w:val="auto"/>
                <w:w w:val="99"/>
              </w:rPr>
              <w:t> </w:t>
            </w:r>
          </w:p>
        </w:tc>
        <w:tc>
          <w:tcPr>
            <w:tcW w:w="340" w:type="dxa"/>
            <w:vAlign w:val="bottom"/>
            <w:tcBorders>
              <w:right w:val="single" w:sz="8" w:color="95B3D7"/>
            </w:tcBorders>
            <w:shd w:val="clear" w:color="auto" w:fill="DBE5F1"/>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right w:val="single" w:sz="8" w:color="95B3D7"/>
            </w:tcBorders>
            <w:shd w:val="clear" w:color="auto" w:fill="DBE5F1"/>
          </w:tcPr>
          <w:p>
            <w:pPr>
              <w:ind w:left="100"/>
              <w:spacing w:after="0" w:line="168" w:lineRule="exact"/>
              <w:rPr>
                <w:sz w:val="20"/>
                <w:szCs w:val="20"/>
                <w:color w:val="auto"/>
              </w:rPr>
            </w:pPr>
            <w:r>
              <w:rPr>
                <w:rFonts w:ascii="Arial" w:cs="Arial" w:eastAsia="Arial" w:hAnsi="Arial"/>
                <w:sz w:val="16"/>
                <w:szCs w:val="16"/>
                <w:color w:val="auto"/>
              </w:rPr>
              <w:t>Emphasize variable pay over fixed pay, with a significant portion</w:t>
            </w:r>
          </w:p>
        </w:tc>
        <w:tc>
          <w:tcPr>
            <w:tcW w:w="320" w:type="dxa"/>
            <w:vAlign w:val="bottom"/>
            <w:tcBorders>
              <w:right w:val="single" w:sz="8" w:color="95B3D7"/>
            </w:tcBorders>
            <w:shd w:val="clear" w:color="auto" w:fill="DBE5F1"/>
          </w:tcPr>
          <w:p>
            <w:pPr>
              <w:jc w:val="right"/>
              <w:ind w:right="59"/>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shd w:val="clear" w:color="auto" w:fill="DBE5F1"/>
          </w:tcPr>
          <w:p>
            <w:pPr>
              <w:ind w:left="100"/>
              <w:spacing w:after="0" w:line="168" w:lineRule="exact"/>
              <w:rPr>
                <w:sz w:val="20"/>
                <w:szCs w:val="20"/>
                <w:color w:val="auto"/>
              </w:rPr>
            </w:pPr>
            <w:r>
              <w:rPr>
                <w:rFonts w:ascii="Arial" w:cs="Arial" w:eastAsia="Arial" w:hAnsi="Arial"/>
                <w:sz w:val="16"/>
                <w:szCs w:val="16"/>
                <w:color w:val="auto"/>
              </w:rPr>
              <w:t>No guaranteed or uncapped incentive payouts in our annual bonus</w:t>
            </w:r>
          </w:p>
        </w:tc>
        <w:tc>
          <w:tcPr>
            <w:tcW w:w="220" w:type="dxa"/>
            <w:vAlign w:val="bottom"/>
          </w:tcPr>
          <w:p>
            <w:pPr>
              <w:ind w:left="100"/>
              <w:spacing w:after="0" w:line="168" w:lineRule="exact"/>
              <w:rPr>
                <w:sz w:val="20"/>
                <w:szCs w:val="20"/>
                <w:color w:val="auto"/>
              </w:rPr>
            </w:pPr>
            <w:r>
              <w:rPr>
                <w:rFonts w:ascii="Arial" w:cs="Arial" w:eastAsia="Arial" w:hAnsi="Arial"/>
                <w:sz w:val="16"/>
                <w:szCs w:val="16"/>
                <w:color w:val="auto"/>
              </w:rPr>
              <w:t> </w:t>
            </w: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508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focused on long-term value creation</w:t>
            </w:r>
          </w:p>
        </w:tc>
        <w:tc>
          <w:tcPr>
            <w:tcW w:w="320" w:type="dxa"/>
            <w:vAlign w:val="bottom"/>
            <w:tcBorders>
              <w:bottom w:val="single" w:sz="8" w:color="95B3D7"/>
              <w:right w:val="single" w:sz="8" w:color="95B3D7"/>
            </w:tcBorders>
            <w:shd w:val="clear" w:color="auto" w:fill="DBE5F1"/>
          </w:tcPr>
          <w:p>
            <w:pPr>
              <w:spacing w:after="0"/>
              <w:rPr>
                <w:sz w:val="17"/>
                <w:szCs w:val="17"/>
                <w:color w:val="auto"/>
              </w:rPr>
            </w:pPr>
          </w:p>
        </w:tc>
        <w:tc>
          <w:tcPr>
            <w:tcW w:w="4960" w:type="dxa"/>
            <w:vAlign w:val="bottom"/>
            <w:tcBorders>
              <w:bottom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plan</w:t>
            </w:r>
          </w:p>
        </w:tc>
        <w:tc>
          <w:tcPr>
            <w:tcW w:w="220" w:type="dxa"/>
            <w:vAlign w:val="bottom"/>
          </w:tcPr>
          <w:p>
            <w:pPr>
              <w:spacing w:after="0"/>
              <w:rPr>
                <w:sz w:val="17"/>
                <w:szCs w:val="17"/>
                <w:color w:val="auto"/>
              </w:rPr>
            </w:pPr>
          </w:p>
        </w:tc>
      </w:tr>
      <w:tr>
        <w:trPr>
          <w:trHeight w:val="168"/>
        </w:trPr>
        <w:tc>
          <w:tcPr>
            <w:tcW w:w="100" w:type="dxa"/>
            <w:vAlign w:val="bottom"/>
          </w:tcPr>
          <w:p>
            <w:pPr>
              <w:spacing w:after="0"/>
              <w:rPr>
                <w:sz w:val="14"/>
                <w:szCs w:val="14"/>
                <w:color w:val="auto"/>
              </w:rPr>
            </w:pPr>
          </w:p>
        </w:tc>
        <w:tc>
          <w:tcPr>
            <w:tcW w:w="340" w:type="dxa"/>
            <w:vAlign w:val="bottom"/>
            <w:tcBorders>
              <w:right w:val="single" w:sz="8" w:color="95B3D7"/>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right w:val="single" w:sz="8" w:color="95B3D7"/>
            </w:tcBorders>
          </w:tcPr>
          <w:p>
            <w:pPr>
              <w:ind w:left="100"/>
              <w:spacing w:after="0" w:line="168" w:lineRule="exact"/>
              <w:rPr>
                <w:sz w:val="20"/>
                <w:szCs w:val="20"/>
                <w:color w:val="auto"/>
              </w:rPr>
            </w:pPr>
            <w:r>
              <w:rPr>
                <w:rFonts w:ascii="Arial" w:cs="Arial" w:eastAsia="Arial" w:hAnsi="Arial"/>
                <w:sz w:val="16"/>
                <w:szCs w:val="16"/>
                <w:color w:val="auto"/>
              </w:rPr>
              <w:t>Disclose our corporate performance goals and achievements relative</w:t>
            </w:r>
          </w:p>
        </w:tc>
        <w:tc>
          <w:tcPr>
            <w:tcW w:w="320" w:type="dxa"/>
            <w:vAlign w:val="bottom"/>
            <w:tcBorders>
              <w:right w:val="single" w:sz="8" w:color="95B3D7"/>
            </w:tcBorders>
          </w:tcPr>
          <w:p>
            <w:pPr>
              <w:jc w:val="right"/>
              <w:ind w:right="59"/>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Pr>
          <w:p>
            <w:pPr>
              <w:ind w:left="100"/>
              <w:spacing w:after="0" w:line="168" w:lineRule="exact"/>
              <w:rPr>
                <w:sz w:val="20"/>
                <w:szCs w:val="20"/>
                <w:color w:val="auto"/>
              </w:rPr>
            </w:pPr>
            <w:r>
              <w:rPr>
                <w:rFonts w:ascii="Arial" w:cs="Arial" w:eastAsia="Arial" w:hAnsi="Arial"/>
                <w:sz w:val="16"/>
                <w:szCs w:val="16"/>
                <w:color w:val="auto"/>
              </w:rPr>
              <w:t>No repricing or exchange of underwater options without stockholder</w:t>
            </w:r>
          </w:p>
        </w:tc>
        <w:tc>
          <w:tcPr>
            <w:tcW w:w="220" w:type="dxa"/>
            <w:vAlign w:val="bottom"/>
          </w:tcPr>
          <w:p>
            <w:pPr>
              <w:spacing w:after="0"/>
              <w:rPr>
                <w:sz w:val="14"/>
                <w:szCs w:val="14"/>
                <w:color w:val="auto"/>
              </w:rPr>
            </w:pPr>
          </w:p>
        </w:tc>
      </w:tr>
      <w:tr>
        <w:trPr>
          <w:trHeight w:val="203"/>
        </w:trPr>
        <w:tc>
          <w:tcPr>
            <w:tcW w:w="100" w:type="dxa"/>
            <w:vAlign w:val="bottom"/>
          </w:tcPr>
          <w:p>
            <w:pPr>
              <w:spacing w:after="0"/>
              <w:rPr>
                <w:sz w:val="17"/>
                <w:szCs w:val="17"/>
                <w:color w:val="auto"/>
              </w:rPr>
            </w:pPr>
          </w:p>
        </w:tc>
        <w:tc>
          <w:tcPr>
            <w:tcW w:w="340" w:type="dxa"/>
            <w:vAlign w:val="bottom"/>
            <w:tcBorders>
              <w:right w:val="single" w:sz="8" w:color="95B3D7"/>
            </w:tcBorders>
          </w:tcPr>
          <w:p>
            <w:pPr>
              <w:spacing w:after="0"/>
              <w:rPr>
                <w:sz w:val="17"/>
                <w:szCs w:val="17"/>
                <w:color w:val="auto"/>
              </w:rPr>
            </w:pPr>
          </w:p>
        </w:tc>
        <w:tc>
          <w:tcPr>
            <w:tcW w:w="5080" w:type="dxa"/>
            <w:vAlign w:val="bottom"/>
            <w:tcBorders>
              <w:right w:val="single" w:sz="8" w:color="95B3D7"/>
            </w:tcBorders>
          </w:tcPr>
          <w:p>
            <w:pPr>
              <w:ind w:left="100"/>
              <w:spacing w:after="0"/>
              <w:rPr>
                <w:sz w:val="20"/>
                <w:szCs w:val="20"/>
                <w:color w:val="auto"/>
              </w:rPr>
            </w:pPr>
            <w:r>
              <w:rPr>
                <w:rFonts w:ascii="Arial" w:cs="Arial" w:eastAsia="Arial" w:hAnsi="Arial"/>
                <w:sz w:val="16"/>
                <w:szCs w:val="16"/>
                <w:color w:val="auto"/>
              </w:rPr>
              <w:t>to these goals</w:t>
            </w:r>
          </w:p>
        </w:tc>
        <w:tc>
          <w:tcPr>
            <w:tcW w:w="320" w:type="dxa"/>
            <w:vAlign w:val="bottom"/>
            <w:tcBorders>
              <w:right w:val="single" w:sz="8" w:color="95B3D7"/>
            </w:tcBorders>
          </w:tcPr>
          <w:p>
            <w:pPr>
              <w:spacing w:after="0"/>
              <w:rPr>
                <w:sz w:val="17"/>
                <w:szCs w:val="17"/>
                <w:color w:val="auto"/>
              </w:rPr>
            </w:pPr>
          </w:p>
        </w:tc>
        <w:tc>
          <w:tcPr>
            <w:tcW w:w="5180" w:type="dxa"/>
            <w:vAlign w:val="bottom"/>
            <w:gridSpan w:val="2"/>
          </w:tcPr>
          <w:p>
            <w:pPr>
              <w:ind w:left="100"/>
              <w:spacing w:after="0"/>
              <w:rPr>
                <w:sz w:val="20"/>
                <w:szCs w:val="20"/>
                <w:color w:val="auto"/>
              </w:rPr>
            </w:pPr>
            <w:r>
              <w:rPr>
                <w:rFonts w:ascii="Arial" w:cs="Arial" w:eastAsia="Arial" w:hAnsi="Arial"/>
                <w:sz w:val="16"/>
                <w:szCs w:val="16"/>
                <w:color w:val="auto"/>
              </w:rPr>
              <w:t>approval</w:t>
            </w:r>
          </w:p>
        </w:tc>
      </w:tr>
      <w:tr>
        <w:trPr>
          <w:trHeight w:val="168"/>
        </w:trPr>
        <w:tc>
          <w:tcPr>
            <w:tcW w:w="100" w:type="dxa"/>
            <w:vAlign w:val="bottom"/>
          </w:tcPr>
          <w:p>
            <w:pPr>
              <w:spacing w:after="0"/>
              <w:rPr>
                <w:sz w:val="14"/>
                <w:szCs w:val="14"/>
                <w:color w:val="auto"/>
              </w:rPr>
            </w:pPr>
          </w:p>
        </w:tc>
        <w:tc>
          <w:tcPr>
            <w:tcW w:w="340" w:type="dxa"/>
            <w:vAlign w:val="bottom"/>
            <w:tcBorders>
              <w:top w:val="single" w:sz="8" w:color="95B3D7"/>
              <w:right w:val="single" w:sz="8" w:color="95B3D7"/>
            </w:tcBorders>
            <w:shd w:val="clear" w:color="auto" w:fill="DBE5F1"/>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top w:val="single" w:sz="8" w:color="95B3D7"/>
              <w:right w:val="single" w:sz="8" w:color="95B3D7"/>
            </w:tcBorders>
            <w:shd w:val="clear" w:color="auto" w:fill="DBE5F1"/>
          </w:tcPr>
          <w:p>
            <w:pPr>
              <w:ind w:left="100"/>
              <w:spacing w:after="0" w:line="168" w:lineRule="exact"/>
              <w:rPr>
                <w:sz w:val="20"/>
                <w:szCs w:val="20"/>
                <w:color w:val="auto"/>
              </w:rPr>
            </w:pPr>
            <w:r>
              <w:rPr>
                <w:rFonts w:ascii="Arial" w:cs="Arial" w:eastAsia="Arial" w:hAnsi="Arial"/>
                <w:sz w:val="16"/>
                <w:szCs w:val="16"/>
                <w:color w:val="auto"/>
              </w:rPr>
              <w:t>Use an independent compensation consultant</w:t>
            </w:r>
          </w:p>
        </w:tc>
        <w:tc>
          <w:tcPr>
            <w:tcW w:w="320" w:type="dxa"/>
            <w:vAlign w:val="bottom"/>
            <w:tcBorders>
              <w:top w:val="single" w:sz="8" w:color="95B3D7"/>
              <w:right w:val="single" w:sz="8" w:color="95B3D7"/>
            </w:tcBorders>
            <w:shd w:val="clear" w:color="auto" w:fill="DBE5F1"/>
          </w:tcPr>
          <w:p>
            <w:pPr>
              <w:jc w:val="right"/>
              <w:ind w:right="59"/>
              <w:spacing w:after="0" w:line="168" w:lineRule="exact"/>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Borders>
              <w:top w:val="single" w:sz="8" w:color="95B3D7"/>
            </w:tcBorders>
            <w:shd w:val="clear" w:color="auto" w:fill="DBE5F1"/>
          </w:tcPr>
          <w:p>
            <w:pPr>
              <w:ind w:left="100"/>
              <w:spacing w:after="0" w:line="168" w:lineRule="exact"/>
              <w:rPr>
                <w:sz w:val="20"/>
                <w:szCs w:val="20"/>
                <w:color w:val="auto"/>
              </w:rPr>
            </w:pPr>
            <w:r>
              <w:rPr>
                <w:rFonts w:ascii="Arial" w:cs="Arial" w:eastAsia="Arial" w:hAnsi="Arial"/>
                <w:sz w:val="16"/>
                <w:szCs w:val="16"/>
                <w:color w:val="auto"/>
              </w:rPr>
              <w:t>No option or stock appreciation rights granted below fair market</w:t>
            </w:r>
          </w:p>
        </w:tc>
        <w:tc>
          <w:tcPr>
            <w:tcW w:w="220" w:type="dxa"/>
            <w:vAlign w:val="bottom"/>
          </w:tcPr>
          <w:p>
            <w:pPr>
              <w:spacing w:after="0"/>
              <w:rPr>
                <w:sz w:val="14"/>
                <w:szCs w:val="14"/>
                <w:color w:val="auto"/>
              </w:rPr>
            </w:pP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5080" w:type="dxa"/>
            <w:vAlign w:val="bottom"/>
            <w:tcBorders>
              <w:bottom w:val="single" w:sz="8" w:color="95B3D7"/>
              <w:right w:val="single" w:sz="8" w:color="95B3D7"/>
            </w:tcBorders>
            <w:shd w:val="clear" w:color="auto" w:fill="DBE5F1"/>
          </w:tcPr>
          <w:p>
            <w:pPr>
              <w:spacing w:after="0"/>
              <w:rPr>
                <w:sz w:val="17"/>
                <w:szCs w:val="17"/>
                <w:color w:val="auto"/>
              </w:rPr>
            </w:pPr>
          </w:p>
        </w:tc>
        <w:tc>
          <w:tcPr>
            <w:tcW w:w="320" w:type="dxa"/>
            <w:vAlign w:val="bottom"/>
            <w:tcBorders>
              <w:bottom w:val="single" w:sz="8" w:color="95B3D7"/>
              <w:right w:val="single" w:sz="8" w:color="95B3D7"/>
            </w:tcBorders>
            <w:shd w:val="clear" w:color="auto" w:fill="DBE5F1"/>
          </w:tcPr>
          <w:p>
            <w:pPr>
              <w:spacing w:after="0"/>
              <w:rPr>
                <w:sz w:val="17"/>
                <w:szCs w:val="17"/>
                <w:color w:val="auto"/>
              </w:rPr>
            </w:pPr>
          </w:p>
        </w:tc>
        <w:tc>
          <w:tcPr>
            <w:tcW w:w="4960" w:type="dxa"/>
            <w:vAlign w:val="bottom"/>
            <w:tcBorders>
              <w:bottom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value</w:t>
            </w:r>
          </w:p>
        </w:tc>
        <w:tc>
          <w:tcPr>
            <w:tcW w:w="2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bottom w:val="single" w:sz="8" w:color="95B3D7"/>
              <w:right w:val="single" w:sz="8" w:color="95B3D7"/>
            </w:tcBorders>
          </w:tcPr>
          <w:p>
            <w:pPr>
              <w:ind w:left="100"/>
              <w:spacing w:after="0"/>
              <w:rPr>
                <w:sz w:val="20"/>
                <w:szCs w:val="20"/>
                <w:color w:val="auto"/>
              </w:rPr>
            </w:pPr>
            <w:r>
              <w:rPr>
                <w:rFonts w:ascii="Arial" w:cs="Arial" w:eastAsia="Arial" w:hAnsi="Arial"/>
                <w:sz w:val="16"/>
                <w:szCs w:val="16"/>
                <w:color w:val="auto"/>
              </w:rPr>
              <w:t>Maintain anti-hedging and anti-pledging policies</w:t>
            </w:r>
          </w:p>
        </w:tc>
        <w:tc>
          <w:tcPr>
            <w:tcW w:w="320" w:type="dxa"/>
            <w:vAlign w:val="bottom"/>
            <w:tcBorders>
              <w:bottom w:val="single" w:sz="8" w:color="95B3D7"/>
              <w:right w:val="single" w:sz="8" w:color="95B3D7"/>
            </w:tcBorders>
          </w:tcPr>
          <w:p>
            <w:pPr>
              <w:jc w:val="right"/>
              <w:ind w:right="59"/>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Borders>
              <w:bottom w:val="single" w:sz="8" w:color="95B3D7"/>
            </w:tcBorders>
          </w:tcPr>
          <w:p>
            <w:pPr>
              <w:ind w:left="100"/>
              <w:spacing w:after="0"/>
              <w:rPr>
                <w:sz w:val="20"/>
                <w:szCs w:val="20"/>
                <w:color w:val="auto"/>
              </w:rPr>
            </w:pPr>
            <w:r>
              <w:rPr>
                <w:rFonts w:ascii="Arial" w:cs="Arial" w:eastAsia="Arial" w:hAnsi="Arial"/>
                <w:sz w:val="16"/>
                <w:szCs w:val="16"/>
                <w:color w:val="auto"/>
              </w:rPr>
              <w:t>No significant perquisites</w:t>
            </w:r>
          </w:p>
        </w:tc>
        <w:tc>
          <w:tcPr>
            <w:tcW w:w="2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Conduct an annual advisory vote on the compensation of our NEOs.</w:t>
            </w:r>
          </w:p>
        </w:tc>
        <w:tc>
          <w:tcPr>
            <w:tcW w:w="320" w:type="dxa"/>
            <w:vAlign w:val="bottom"/>
            <w:tcBorders>
              <w:bottom w:val="single" w:sz="8" w:color="95B3D7"/>
              <w:right w:val="single" w:sz="8" w:color="95B3D7"/>
            </w:tcBorders>
            <w:shd w:val="clear" w:color="auto" w:fill="DBE5F1"/>
          </w:tcPr>
          <w:p>
            <w:pPr>
              <w:jc w:val="right"/>
              <w:ind w:right="59"/>
              <w:spacing w:after="0"/>
              <w:rPr>
                <w:sz w:val="20"/>
                <w:szCs w:val="20"/>
                <w:color w:val="auto"/>
              </w:rPr>
            </w:pPr>
            <w:r>
              <w:rPr>
                <w:rFonts w:ascii="Times New Roman" w:cs="Times New Roman" w:eastAsia="Times New Roman" w:hAnsi="Times New Roman"/>
                <w:sz w:val="16"/>
                <w:szCs w:val="16"/>
                <w:b w:val="1"/>
                <w:bCs w:val="1"/>
                <w:i w:val="1"/>
                <w:iCs w:val="1"/>
                <w:color w:val="auto"/>
              </w:rPr>
              <w:t>×</w:t>
            </w:r>
          </w:p>
        </w:tc>
        <w:tc>
          <w:tcPr>
            <w:tcW w:w="4960" w:type="dxa"/>
            <w:vAlign w:val="bottom"/>
            <w:tcBorders>
              <w:bottom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No tax gross-ups, other than for certain relocation expenses</w:t>
            </w:r>
          </w:p>
        </w:tc>
        <w:tc>
          <w:tcPr>
            <w:tcW w:w="220" w:type="dxa"/>
            <w:vAlign w:val="bottom"/>
          </w:tcPr>
          <w:p>
            <w:pPr>
              <w:spacing w:after="0"/>
              <w:rPr>
                <w:sz w:val="17"/>
                <w:szCs w:val="17"/>
                <w:color w:val="auto"/>
              </w:rPr>
            </w:pPr>
          </w:p>
        </w:tc>
      </w:tr>
      <w:tr>
        <w:trPr>
          <w:trHeight w:val="168"/>
        </w:trPr>
        <w:tc>
          <w:tcPr>
            <w:tcW w:w="100" w:type="dxa"/>
            <w:vAlign w:val="bottom"/>
          </w:tcPr>
          <w:p>
            <w:pPr>
              <w:spacing w:after="0"/>
              <w:rPr>
                <w:sz w:val="14"/>
                <w:szCs w:val="14"/>
                <w:color w:val="auto"/>
              </w:rPr>
            </w:pPr>
          </w:p>
        </w:tc>
        <w:tc>
          <w:tcPr>
            <w:tcW w:w="340" w:type="dxa"/>
            <w:vAlign w:val="bottom"/>
            <w:tcBorders>
              <w:right w:val="single" w:sz="8" w:color="95B3D7"/>
            </w:tcBorders>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right w:val="single" w:sz="8" w:color="95B3D7"/>
            </w:tcBorders>
          </w:tcPr>
          <w:p>
            <w:pPr>
              <w:ind w:left="100"/>
              <w:spacing w:after="0" w:line="168" w:lineRule="exact"/>
              <w:rPr>
                <w:sz w:val="20"/>
                <w:szCs w:val="20"/>
                <w:color w:val="auto"/>
              </w:rPr>
            </w:pPr>
            <w:r>
              <w:rPr>
                <w:rFonts w:ascii="Arial" w:cs="Arial" w:eastAsia="Arial" w:hAnsi="Arial"/>
                <w:sz w:val="16"/>
                <w:szCs w:val="16"/>
                <w:color w:val="auto"/>
              </w:rPr>
              <w:t>Maintain stock ownership guidelines for our executive officers and</w:t>
            </w:r>
          </w:p>
        </w:tc>
        <w:tc>
          <w:tcPr>
            <w:tcW w:w="320" w:type="dxa"/>
            <w:vAlign w:val="bottom"/>
            <w:tcBorders>
              <w:right w:val="single" w:sz="8" w:color="95B3D7"/>
            </w:tcBorders>
          </w:tcPr>
          <w:p>
            <w:pPr>
              <w:spacing w:after="0"/>
              <w:rPr>
                <w:sz w:val="14"/>
                <w:szCs w:val="14"/>
                <w:color w:val="auto"/>
              </w:rPr>
            </w:pPr>
          </w:p>
        </w:tc>
        <w:tc>
          <w:tcPr>
            <w:tcW w:w="49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tcPr>
          <w:p>
            <w:pPr>
              <w:spacing w:after="0"/>
              <w:rPr>
                <w:sz w:val="17"/>
                <w:szCs w:val="17"/>
                <w:color w:val="auto"/>
              </w:rPr>
            </w:pPr>
          </w:p>
        </w:tc>
        <w:tc>
          <w:tcPr>
            <w:tcW w:w="5080" w:type="dxa"/>
            <w:vAlign w:val="bottom"/>
            <w:tcBorders>
              <w:bottom w:val="single" w:sz="8" w:color="95B3D7"/>
              <w:right w:val="single" w:sz="8" w:color="95B3D7"/>
            </w:tcBorders>
          </w:tcPr>
          <w:p>
            <w:pPr>
              <w:ind w:left="100"/>
              <w:spacing w:after="0"/>
              <w:rPr>
                <w:sz w:val="20"/>
                <w:szCs w:val="20"/>
                <w:color w:val="auto"/>
              </w:rPr>
            </w:pPr>
            <w:r>
              <w:rPr>
                <w:rFonts w:ascii="Arial" w:cs="Arial" w:eastAsia="Arial" w:hAnsi="Arial"/>
                <w:sz w:val="16"/>
                <w:szCs w:val="16"/>
                <w:color w:val="auto"/>
              </w:rPr>
              <w:t>Board of Directors.</w:t>
            </w:r>
          </w:p>
        </w:tc>
        <w:tc>
          <w:tcPr>
            <w:tcW w:w="320" w:type="dxa"/>
            <w:vAlign w:val="bottom"/>
            <w:tcBorders>
              <w:bottom w:val="single" w:sz="8" w:color="95B3D7"/>
              <w:right w:val="single" w:sz="8" w:color="95B3D7"/>
            </w:tcBorders>
          </w:tcPr>
          <w:p>
            <w:pPr>
              <w:spacing w:after="0"/>
              <w:rPr>
                <w:sz w:val="17"/>
                <w:szCs w:val="17"/>
                <w:color w:val="auto"/>
              </w:rPr>
            </w:pPr>
          </w:p>
        </w:tc>
        <w:tc>
          <w:tcPr>
            <w:tcW w:w="4960" w:type="dxa"/>
            <w:vAlign w:val="bottom"/>
            <w:tcBorders>
              <w:bottom w:val="single" w:sz="8" w:color="95B3D7"/>
            </w:tcBorders>
          </w:tcPr>
          <w:p>
            <w:pPr>
              <w:spacing w:after="0"/>
              <w:rPr>
                <w:sz w:val="17"/>
                <w:szCs w:val="17"/>
                <w:color w:val="auto"/>
              </w:rPr>
            </w:pPr>
          </w:p>
        </w:tc>
        <w:tc>
          <w:tcPr>
            <w:tcW w:w="220" w:type="dxa"/>
            <w:vAlign w:val="bottom"/>
          </w:tcPr>
          <w:p>
            <w:pPr>
              <w:spacing w:after="0"/>
              <w:rPr>
                <w:sz w:val="17"/>
                <w:szCs w:val="17"/>
                <w:color w:val="auto"/>
              </w:rPr>
            </w:pPr>
          </w:p>
        </w:tc>
      </w:tr>
      <w:tr>
        <w:trPr>
          <w:trHeight w:val="168"/>
        </w:trPr>
        <w:tc>
          <w:tcPr>
            <w:tcW w:w="100" w:type="dxa"/>
            <w:vAlign w:val="bottom"/>
          </w:tcPr>
          <w:p>
            <w:pPr>
              <w:spacing w:after="0"/>
              <w:rPr>
                <w:sz w:val="14"/>
                <w:szCs w:val="14"/>
                <w:color w:val="auto"/>
              </w:rPr>
            </w:pPr>
          </w:p>
        </w:tc>
        <w:tc>
          <w:tcPr>
            <w:tcW w:w="340" w:type="dxa"/>
            <w:vAlign w:val="bottom"/>
            <w:tcBorders>
              <w:right w:val="single" w:sz="8" w:color="95B3D7"/>
            </w:tcBorders>
            <w:shd w:val="clear" w:color="auto" w:fill="DBE5F1"/>
          </w:tcPr>
          <w:p>
            <w:pPr>
              <w:ind w:left="120"/>
              <w:spacing w:after="0" w:line="161" w:lineRule="exact"/>
              <w:rPr>
                <w:sz w:val="20"/>
                <w:szCs w:val="20"/>
                <w:color w:val="auto"/>
              </w:rPr>
            </w:pPr>
            <w:r>
              <w:rPr>
                <w:rFonts w:ascii="MS PGothic" w:cs="MS PGothic" w:eastAsia="MS PGothic" w:hAnsi="MS PGothic"/>
                <w:sz w:val="16"/>
                <w:szCs w:val="16"/>
                <w:color w:val="auto"/>
              </w:rPr>
              <w:t>✓</w:t>
            </w:r>
          </w:p>
        </w:tc>
        <w:tc>
          <w:tcPr>
            <w:tcW w:w="5080" w:type="dxa"/>
            <w:vAlign w:val="bottom"/>
            <w:tcBorders>
              <w:right w:val="single" w:sz="8" w:color="95B3D7"/>
            </w:tcBorders>
            <w:shd w:val="clear" w:color="auto" w:fill="DBE5F1"/>
          </w:tcPr>
          <w:p>
            <w:pPr>
              <w:ind w:left="100"/>
              <w:spacing w:after="0" w:line="168" w:lineRule="exact"/>
              <w:rPr>
                <w:sz w:val="20"/>
                <w:szCs w:val="20"/>
                <w:color w:val="auto"/>
              </w:rPr>
            </w:pPr>
            <w:r>
              <w:rPr>
                <w:rFonts w:ascii="Arial" w:cs="Arial" w:eastAsia="Arial" w:hAnsi="Arial"/>
                <w:sz w:val="16"/>
                <w:szCs w:val="16"/>
                <w:color w:val="auto"/>
              </w:rPr>
              <w:t>Maintain a Clawback Policy consistent with the SEC and Nasdaq</w:t>
            </w:r>
          </w:p>
        </w:tc>
        <w:tc>
          <w:tcPr>
            <w:tcW w:w="320" w:type="dxa"/>
            <w:vAlign w:val="bottom"/>
            <w:tcBorders>
              <w:right w:val="single" w:sz="8" w:color="95B3D7"/>
            </w:tcBorders>
            <w:shd w:val="clear" w:color="auto" w:fill="DBE5F1"/>
          </w:tcPr>
          <w:p>
            <w:pPr>
              <w:spacing w:after="0"/>
              <w:rPr>
                <w:sz w:val="14"/>
                <w:szCs w:val="14"/>
                <w:color w:val="auto"/>
              </w:rPr>
            </w:pPr>
          </w:p>
        </w:tc>
        <w:tc>
          <w:tcPr>
            <w:tcW w:w="4960" w:type="dxa"/>
            <w:vAlign w:val="bottom"/>
            <w:shd w:val="clear" w:color="auto" w:fill="DBE5F1"/>
          </w:tcPr>
          <w:p>
            <w:pPr>
              <w:spacing w:after="0"/>
              <w:rPr>
                <w:sz w:val="14"/>
                <w:szCs w:val="14"/>
                <w:color w:val="auto"/>
              </w:rPr>
            </w:pPr>
          </w:p>
        </w:tc>
        <w:tc>
          <w:tcPr>
            <w:tcW w:w="220" w:type="dxa"/>
            <w:vAlign w:val="bottom"/>
          </w:tcPr>
          <w:p>
            <w:pPr>
              <w:spacing w:after="0"/>
              <w:rPr>
                <w:sz w:val="14"/>
                <w:szCs w:val="14"/>
                <w:color w:val="auto"/>
              </w:rPr>
            </w:pPr>
          </w:p>
        </w:tc>
      </w:tr>
      <w:tr>
        <w:trPr>
          <w:trHeight w:val="203"/>
        </w:trPr>
        <w:tc>
          <w:tcPr>
            <w:tcW w:w="100" w:type="dxa"/>
            <w:vAlign w:val="bottom"/>
          </w:tcPr>
          <w:p>
            <w:pPr>
              <w:spacing w:after="0"/>
              <w:rPr>
                <w:sz w:val="17"/>
                <w:szCs w:val="17"/>
                <w:color w:val="auto"/>
              </w:rPr>
            </w:pPr>
          </w:p>
        </w:tc>
        <w:tc>
          <w:tcPr>
            <w:tcW w:w="340" w:type="dxa"/>
            <w:vAlign w:val="bottom"/>
            <w:tcBorders>
              <w:bottom w:val="single" w:sz="8" w:color="95B3D7"/>
              <w:right w:val="single" w:sz="8" w:color="95B3D7"/>
            </w:tcBorders>
            <w:shd w:val="clear" w:color="auto" w:fill="DBE5F1"/>
          </w:tcPr>
          <w:p>
            <w:pPr>
              <w:spacing w:after="0"/>
              <w:rPr>
                <w:sz w:val="17"/>
                <w:szCs w:val="17"/>
                <w:color w:val="auto"/>
              </w:rPr>
            </w:pPr>
          </w:p>
        </w:tc>
        <w:tc>
          <w:tcPr>
            <w:tcW w:w="5080" w:type="dxa"/>
            <w:vAlign w:val="bottom"/>
            <w:tcBorders>
              <w:bottom w:val="single" w:sz="8" w:color="95B3D7"/>
              <w:right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listing standards.</w:t>
            </w:r>
          </w:p>
        </w:tc>
        <w:tc>
          <w:tcPr>
            <w:tcW w:w="320" w:type="dxa"/>
            <w:vAlign w:val="bottom"/>
            <w:tcBorders>
              <w:bottom w:val="single" w:sz="8" w:color="95B3D7"/>
              <w:right w:val="single" w:sz="8" w:color="95B3D7"/>
            </w:tcBorders>
            <w:shd w:val="clear" w:color="auto" w:fill="DBE5F1"/>
          </w:tcPr>
          <w:p>
            <w:pPr>
              <w:spacing w:after="0"/>
              <w:rPr>
                <w:sz w:val="17"/>
                <w:szCs w:val="17"/>
                <w:color w:val="auto"/>
              </w:rPr>
            </w:pPr>
          </w:p>
        </w:tc>
        <w:tc>
          <w:tcPr>
            <w:tcW w:w="4960" w:type="dxa"/>
            <w:vAlign w:val="bottom"/>
            <w:tcBorders>
              <w:bottom w:val="single" w:sz="8" w:color="95B3D7"/>
            </w:tcBorders>
            <w:shd w:val="clear" w:color="auto" w:fill="DBE5F1"/>
          </w:tcPr>
          <w:p>
            <w:pPr>
              <w:spacing w:after="0"/>
              <w:rPr>
                <w:sz w:val="17"/>
                <w:szCs w:val="17"/>
                <w:color w:val="auto"/>
              </w:rPr>
            </w:pPr>
          </w:p>
        </w:tc>
        <w:tc>
          <w:tcPr>
            <w:tcW w:w="220" w:type="dxa"/>
            <w:vAlign w:val="bottom"/>
          </w:tcPr>
          <w:p>
            <w:pPr>
              <w:spacing w:after="0"/>
              <w:rPr>
                <w:sz w:val="17"/>
                <w:szCs w:val="17"/>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What Guides Our Program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Executive Compensation Philosophy and Objectives</w:t>
      </w:r>
    </w:p>
    <w:p>
      <w:pPr>
        <w:spacing w:after="0" w:line="210"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Our executive compensation philosophy is to forge critical connections between performance, long-term value creation, employee engagement and retention, compensation governance and our cultural values. To that end, our executive compensation program is grounded in the following principles: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440" w:type="dxa"/>
            <w:vAlign w:val="bottom"/>
            <w:tcBorders>
              <w:top w:val="single" w:sz="8" w:color="95B3D7"/>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Attraction and Retention</w:t>
            </w:r>
          </w:p>
        </w:tc>
        <w:tc>
          <w:tcPr>
            <w:tcW w:w="8580" w:type="dxa"/>
            <w:vAlign w:val="bottom"/>
            <w:tcBorders>
              <w:top w:val="single" w:sz="8" w:color="95B3D7"/>
            </w:tcBorders>
            <w:shd w:val="clear" w:color="auto" w:fill="DBE5F1"/>
          </w:tcPr>
          <w:p>
            <w:pPr>
              <w:ind w:left="100"/>
              <w:spacing w:after="0"/>
              <w:rPr>
                <w:sz w:val="20"/>
                <w:szCs w:val="20"/>
                <w:color w:val="auto"/>
              </w:rPr>
            </w:pPr>
            <w:r>
              <w:rPr>
                <w:rFonts w:ascii="Arial" w:cs="Arial" w:eastAsia="Arial" w:hAnsi="Arial"/>
                <w:sz w:val="16"/>
                <w:szCs w:val="16"/>
                <w:color w:val="auto"/>
              </w:rPr>
              <w:t>Our compensation program should enable the Company to attract and retain highly talented people with exceptional</w:t>
            </w:r>
          </w:p>
        </w:tc>
      </w:tr>
      <w:tr>
        <w:trPr>
          <w:trHeight w:val="215"/>
        </w:trPr>
        <w:tc>
          <w:tcPr>
            <w:tcW w:w="2440" w:type="dxa"/>
            <w:vAlign w:val="bottom"/>
            <w:tcBorders>
              <w:right w:val="single" w:sz="8" w:color="95B3D7"/>
            </w:tcBorders>
            <w:shd w:val="clear" w:color="auto" w:fill="DBE5F1"/>
          </w:tcPr>
          <w:p>
            <w:pPr>
              <w:spacing w:after="0"/>
              <w:rPr>
                <w:sz w:val="18"/>
                <w:szCs w:val="18"/>
                <w:color w:val="auto"/>
              </w:rPr>
            </w:pPr>
          </w:p>
        </w:tc>
        <w:tc>
          <w:tcPr>
            <w:tcW w:w="8580" w:type="dxa"/>
            <w:vAlign w:val="bottom"/>
            <w:shd w:val="clear" w:color="auto" w:fill="DBE5F1"/>
          </w:tcPr>
          <w:p>
            <w:pPr>
              <w:ind w:left="100"/>
              <w:spacing w:after="0"/>
              <w:rPr>
                <w:sz w:val="20"/>
                <w:szCs w:val="20"/>
                <w:color w:val="auto"/>
              </w:rPr>
            </w:pPr>
            <w:r>
              <w:rPr>
                <w:rFonts w:ascii="Arial" w:cs="Arial" w:eastAsia="Arial" w:hAnsi="Arial"/>
                <w:sz w:val="16"/>
                <w:szCs w:val="16"/>
                <w:color w:val="auto"/>
              </w:rPr>
              <w:t>leadership capabilities.</w:t>
            </w:r>
          </w:p>
        </w:tc>
      </w:tr>
      <w:tr>
        <w:trPr>
          <w:trHeight w:val="97"/>
        </w:trPr>
        <w:tc>
          <w:tcPr>
            <w:tcW w:w="2440" w:type="dxa"/>
            <w:vAlign w:val="bottom"/>
            <w:tcBorders>
              <w:bottom w:val="single" w:sz="8" w:color="95B3D7"/>
              <w:right w:val="single" w:sz="8" w:color="95B3D7"/>
            </w:tcBorders>
            <w:shd w:val="clear" w:color="auto" w:fill="DBE5F1"/>
          </w:tcPr>
          <w:p>
            <w:pPr>
              <w:spacing w:after="0"/>
              <w:rPr>
                <w:sz w:val="8"/>
                <w:szCs w:val="8"/>
                <w:color w:val="auto"/>
              </w:rPr>
            </w:pPr>
          </w:p>
        </w:tc>
        <w:tc>
          <w:tcPr>
            <w:tcW w:w="8580" w:type="dxa"/>
            <w:vAlign w:val="bottom"/>
            <w:tcBorders>
              <w:bottom w:val="single" w:sz="8" w:color="95B3D7"/>
            </w:tcBorders>
            <w:shd w:val="clear" w:color="auto" w:fill="DBE5F1"/>
          </w:tcPr>
          <w:p>
            <w:pPr>
              <w:spacing w:after="0"/>
              <w:rPr>
                <w:sz w:val="8"/>
                <w:szCs w:val="8"/>
                <w:color w:val="auto"/>
              </w:rPr>
            </w:pPr>
          </w:p>
        </w:tc>
      </w:tr>
      <w:tr>
        <w:trPr>
          <w:trHeight w:val="263"/>
        </w:trPr>
        <w:tc>
          <w:tcPr>
            <w:tcW w:w="2440" w:type="dxa"/>
            <w:vAlign w:val="bottom"/>
            <w:tcBorders>
              <w:right w:val="single" w:sz="8" w:color="95B3D7"/>
            </w:tcBorders>
          </w:tcPr>
          <w:p>
            <w:pPr>
              <w:ind w:left="140"/>
              <w:spacing w:after="0"/>
              <w:rPr>
                <w:sz w:val="20"/>
                <w:szCs w:val="20"/>
                <w:color w:val="auto"/>
              </w:rPr>
            </w:pPr>
            <w:r>
              <w:rPr>
                <w:rFonts w:ascii="Arial" w:cs="Arial" w:eastAsia="Arial" w:hAnsi="Arial"/>
                <w:sz w:val="16"/>
                <w:szCs w:val="16"/>
                <w:b w:val="1"/>
                <w:bCs w:val="1"/>
                <w:color w:val="auto"/>
              </w:rPr>
              <w:t>Competitiveness</w:t>
            </w:r>
          </w:p>
        </w:tc>
        <w:tc>
          <w:tcPr>
            <w:tcW w:w="8580" w:type="dxa"/>
            <w:vAlign w:val="bottom"/>
          </w:tcPr>
          <w:p>
            <w:pPr>
              <w:ind w:left="100"/>
              <w:spacing w:after="0"/>
              <w:rPr>
                <w:sz w:val="20"/>
                <w:szCs w:val="20"/>
                <w:color w:val="auto"/>
              </w:rPr>
            </w:pPr>
            <w:r>
              <w:rPr>
                <w:rFonts w:ascii="Arial" w:cs="Arial" w:eastAsia="Arial" w:hAnsi="Arial"/>
                <w:sz w:val="16"/>
                <w:szCs w:val="16"/>
                <w:color w:val="auto"/>
              </w:rPr>
              <w:t>We seek to provide total compensation opportunity levels that are competitive with those being offered to individuals</w:t>
            </w:r>
          </w:p>
        </w:tc>
      </w:tr>
      <w:tr>
        <w:trPr>
          <w:trHeight w:val="215"/>
        </w:trPr>
        <w:tc>
          <w:tcPr>
            <w:tcW w:w="2440" w:type="dxa"/>
            <w:vAlign w:val="bottom"/>
            <w:tcBorders>
              <w:right w:val="single" w:sz="8" w:color="95B3D7"/>
            </w:tcBorders>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6"/>
                <w:szCs w:val="16"/>
                <w:color w:val="auto"/>
              </w:rPr>
              <w:t>holding comparable positions at other companies with which we compete for business and leadership talent.</w:t>
            </w:r>
          </w:p>
        </w:tc>
      </w:tr>
      <w:tr>
        <w:trPr>
          <w:trHeight w:val="97"/>
        </w:trPr>
        <w:tc>
          <w:tcPr>
            <w:tcW w:w="2440" w:type="dxa"/>
            <w:vAlign w:val="bottom"/>
            <w:tcBorders>
              <w:bottom w:val="single" w:sz="8" w:color="95B3D7"/>
              <w:right w:val="single" w:sz="8" w:color="95B3D7"/>
            </w:tcBorders>
          </w:tcPr>
          <w:p>
            <w:pPr>
              <w:spacing w:after="0"/>
              <w:rPr>
                <w:sz w:val="8"/>
                <w:szCs w:val="8"/>
                <w:color w:val="auto"/>
              </w:rPr>
            </w:pPr>
          </w:p>
        </w:tc>
        <w:tc>
          <w:tcPr>
            <w:tcW w:w="8580" w:type="dxa"/>
            <w:vAlign w:val="bottom"/>
            <w:tcBorders>
              <w:bottom w:val="single" w:sz="8" w:color="95B3D7"/>
            </w:tcBorders>
          </w:tcPr>
          <w:p>
            <w:pPr>
              <w:spacing w:after="0"/>
              <w:rPr>
                <w:sz w:val="8"/>
                <w:szCs w:val="8"/>
                <w:color w:val="auto"/>
              </w:rPr>
            </w:pPr>
          </w:p>
        </w:tc>
      </w:tr>
      <w:tr>
        <w:trPr>
          <w:trHeight w:val="263"/>
        </w:trPr>
        <w:tc>
          <w:tcPr>
            <w:tcW w:w="244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Stockholder Alignment</w:t>
            </w:r>
          </w:p>
        </w:tc>
        <w:tc>
          <w:tcPr>
            <w:tcW w:w="8580" w:type="dxa"/>
            <w:vAlign w:val="bottom"/>
            <w:shd w:val="clear" w:color="auto" w:fill="DBE5F1"/>
          </w:tcPr>
          <w:p>
            <w:pPr>
              <w:ind w:left="100"/>
              <w:spacing w:after="0"/>
              <w:rPr>
                <w:sz w:val="20"/>
                <w:szCs w:val="20"/>
                <w:color w:val="auto"/>
              </w:rPr>
            </w:pPr>
            <w:r>
              <w:rPr>
                <w:rFonts w:ascii="Arial" w:cs="Arial" w:eastAsia="Arial" w:hAnsi="Arial"/>
                <w:sz w:val="16"/>
                <w:szCs w:val="16"/>
                <w:color w:val="auto"/>
              </w:rPr>
              <w:t>We employ pay elements that are designed to create long-term value for our stockholders, as well as foster a culture</w:t>
            </w:r>
          </w:p>
        </w:tc>
      </w:tr>
      <w:tr>
        <w:trPr>
          <w:trHeight w:val="215"/>
        </w:trPr>
        <w:tc>
          <w:tcPr>
            <w:tcW w:w="2440" w:type="dxa"/>
            <w:vAlign w:val="bottom"/>
            <w:tcBorders>
              <w:right w:val="single" w:sz="8" w:color="95B3D7"/>
            </w:tcBorders>
            <w:shd w:val="clear" w:color="auto" w:fill="DBE5F1"/>
          </w:tcPr>
          <w:p>
            <w:pPr>
              <w:spacing w:after="0"/>
              <w:rPr>
                <w:sz w:val="18"/>
                <w:szCs w:val="18"/>
                <w:color w:val="auto"/>
              </w:rPr>
            </w:pPr>
          </w:p>
        </w:tc>
        <w:tc>
          <w:tcPr>
            <w:tcW w:w="8580" w:type="dxa"/>
            <w:vAlign w:val="bottom"/>
            <w:shd w:val="clear" w:color="auto" w:fill="DBE5F1"/>
          </w:tcPr>
          <w:p>
            <w:pPr>
              <w:ind w:left="100"/>
              <w:spacing w:after="0"/>
              <w:rPr>
                <w:sz w:val="20"/>
                <w:szCs w:val="20"/>
                <w:color w:val="auto"/>
              </w:rPr>
            </w:pPr>
            <w:r>
              <w:rPr>
                <w:rFonts w:ascii="Arial" w:cs="Arial" w:eastAsia="Arial" w:hAnsi="Arial"/>
                <w:sz w:val="16"/>
                <w:szCs w:val="16"/>
                <w:color w:val="auto"/>
              </w:rPr>
              <w:t>of ownership in the Company.</w:t>
            </w:r>
          </w:p>
        </w:tc>
      </w:tr>
      <w:tr>
        <w:trPr>
          <w:trHeight w:val="96"/>
        </w:trPr>
        <w:tc>
          <w:tcPr>
            <w:tcW w:w="2440" w:type="dxa"/>
            <w:vAlign w:val="bottom"/>
            <w:tcBorders>
              <w:bottom w:val="single" w:sz="8" w:color="95B3D7"/>
              <w:right w:val="single" w:sz="8" w:color="95B3D7"/>
            </w:tcBorders>
            <w:shd w:val="clear" w:color="auto" w:fill="DBE5F1"/>
          </w:tcPr>
          <w:p>
            <w:pPr>
              <w:spacing w:after="0"/>
              <w:rPr>
                <w:sz w:val="8"/>
                <w:szCs w:val="8"/>
                <w:color w:val="auto"/>
              </w:rPr>
            </w:pPr>
          </w:p>
        </w:tc>
        <w:tc>
          <w:tcPr>
            <w:tcW w:w="8580" w:type="dxa"/>
            <w:vAlign w:val="bottom"/>
            <w:tcBorders>
              <w:bottom w:val="single" w:sz="8" w:color="95B3D7"/>
            </w:tcBorders>
            <w:shd w:val="clear" w:color="auto" w:fill="DBE5F1"/>
          </w:tcPr>
          <w:p>
            <w:pPr>
              <w:spacing w:after="0"/>
              <w:rPr>
                <w:sz w:val="8"/>
                <w:szCs w:val="8"/>
                <w:color w:val="auto"/>
              </w:rPr>
            </w:pPr>
          </w:p>
        </w:tc>
      </w:tr>
      <w:tr>
        <w:trPr>
          <w:trHeight w:val="263"/>
        </w:trPr>
        <w:tc>
          <w:tcPr>
            <w:tcW w:w="2440" w:type="dxa"/>
            <w:vAlign w:val="bottom"/>
            <w:tcBorders>
              <w:right w:val="single" w:sz="8" w:color="95B3D7"/>
            </w:tcBorders>
          </w:tcPr>
          <w:p>
            <w:pPr>
              <w:ind w:left="140"/>
              <w:spacing w:after="0"/>
              <w:rPr>
                <w:sz w:val="20"/>
                <w:szCs w:val="20"/>
                <w:color w:val="auto"/>
              </w:rPr>
            </w:pPr>
            <w:r>
              <w:rPr>
                <w:rFonts w:ascii="Arial" w:cs="Arial" w:eastAsia="Arial" w:hAnsi="Arial"/>
                <w:sz w:val="16"/>
                <w:szCs w:val="16"/>
                <w:b w:val="1"/>
                <w:bCs w:val="1"/>
                <w:color w:val="auto"/>
              </w:rPr>
              <w:t>Pay for Performance</w:t>
            </w:r>
          </w:p>
        </w:tc>
        <w:tc>
          <w:tcPr>
            <w:tcW w:w="8580" w:type="dxa"/>
            <w:vAlign w:val="bottom"/>
          </w:tcPr>
          <w:p>
            <w:pPr>
              <w:ind w:left="100"/>
              <w:spacing w:after="0"/>
              <w:rPr>
                <w:sz w:val="20"/>
                <w:szCs w:val="20"/>
                <w:color w:val="auto"/>
              </w:rPr>
            </w:pPr>
            <w:r>
              <w:rPr>
                <w:rFonts w:ascii="Arial" w:cs="Arial" w:eastAsia="Arial" w:hAnsi="Arial"/>
                <w:sz w:val="16"/>
                <w:szCs w:val="16"/>
                <w:color w:val="auto"/>
              </w:rPr>
              <w:t>Our program is designed to ensure that a significant portion of an executive’s total compensation is variable (“at risk”)</w:t>
            </w:r>
          </w:p>
        </w:tc>
      </w:tr>
      <w:tr>
        <w:trPr>
          <w:trHeight w:val="189"/>
        </w:trPr>
        <w:tc>
          <w:tcPr>
            <w:tcW w:w="2440" w:type="dxa"/>
            <w:vAlign w:val="bottom"/>
            <w:tcBorders>
              <w:right w:val="single" w:sz="8" w:color="95B3D7"/>
            </w:tcBorders>
          </w:tcPr>
          <w:p>
            <w:pPr>
              <w:spacing w:after="0"/>
              <w:rPr>
                <w:sz w:val="16"/>
                <w:szCs w:val="16"/>
                <w:color w:val="auto"/>
              </w:rPr>
            </w:pPr>
          </w:p>
        </w:tc>
        <w:tc>
          <w:tcPr>
            <w:tcW w:w="8580" w:type="dxa"/>
            <w:vAlign w:val="bottom"/>
          </w:tcPr>
          <w:p>
            <w:pPr>
              <w:ind w:left="100"/>
              <w:spacing w:after="0"/>
              <w:rPr>
                <w:sz w:val="20"/>
                <w:szCs w:val="20"/>
                <w:color w:val="auto"/>
              </w:rPr>
            </w:pPr>
            <w:r>
              <w:rPr>
                <w:rFonts w:ascii="Arial" w:cs="Arial" w:eastAsia="Arial" w:hAnsi="Arial"/>
                <w:sz w:val="16"/>
                <w:szCs w:val="16"/>
                <w:color w:val="auto"/>
              </w:rPr>
              <w:t>and dependent upon the attainment of certain specific and measurable short-term and long-term business</w:t>
            </w:r>
          </w:p>
        </w:tc>
      </w:tr>
      <w:tr>
        <w:trPr>
          <w:trHeight w:val="215"/>
        </w:trPr>
        <w:tc>
          <w:tcPr>
            <w:tcW w:w="2440" w:type="dxa"/>
            <w:vAlign w:val="bottom"/>
            <w:tcBorders>
              <w:right w:val="single" w:sz="8" w:color="95B3D7"/>
            </w:tcBorders>
          </w:tcPr>
          <w:p>
            <w:pPr>
              <w:spacing w:after="0"/>
              <w:rPr>
                <w:sz w:val="18"/>
                <w:szCs w:val="18"/>
                <w:color w:val="auto"/>
              </w:rPr>
            </w:pPr>
          </w:p>
        </w:tc>
        <w:tc>
          <w:tcPr>
            <w:tcW w:w="8580" w:type="dxa"/>
            <w:vAlign w:val="bottom"/>
          </w:tcPr>
          <w:p>
            <w:pPr>
              <w:ind w:left="100"/>
              <w:spacing w:after="0"/>
              <w:rPr>
                <w:sz w:val="20"/>
                <w:szCs w:val="20"/>
                <w:color w:val="auto"/>
              </w:rPr>
            </w:pPr>
            <w:r>
              <w:rPr>
                <w:rFonts w:ascii="Arial" w:cs="Arial" w:eastAsia="Arial" w:hAnsi="Arial"/>
                <w:sz w:val="16"/>
                <w:szCs w:val="16"/>
                <w:color w:val="auto"/>
              </w:rPr>
              <w:t>performance objectives.</w:t>
            </w:r>
          </w:p>
        </w:tc>
      </w:tr>
      <w:tr>
        <w:trPr>
          <w:trHeight w:val="96"/>
        </w:trPr>
        <w:tc>
          <w:tcPr>
            <w:tcW w:w="2440" w:type="dxa"/>
            <w:vAlign w:val="bottom"/>
            <w:tcBorders>
              <w:bottom w:val="single" w:sz="8" w:color="95B3D7"/>
              <w:right w:val="single" w:sz="8" w:color="95B3D7"/>
            </w:tcBorders>
          </w:tcPr>
          <w:p>
            <w:pPr>
              <w:spacing w:after="0"/>
              <w:rPr>
                <w:sz w:val="8"/>
                <w:szCs w:val="8"/>
                <w:color w:val="auto"/>
              </w:rPr>
            </w:pPr>
          </w:p>
        </w:tc>
        <w:tc>
          <w:tcPr>
            <w:tcW w:w="8580" w:type="dxa"/>
            <w:vAlign w:val="bottom"/>
            <w:tcBorders>
              <w:bottom w:val="single" w:sz="8" w:color="95B3D7"/>
            </w:tcBorders>
          </w:tcPr>
          <w:p>
            <w:pPr>
              <w:spacing w:after="0"/>
              <w:rPr>
                <w:sz w:val="8"/>
                <w:szCs w:val="8"/>
                <w:color w:val="auto"/>
              </w:rPr>
            </w:pPr>
          </w:p>
        </w:tc>
      </w:tr>
      <w:tr>
        <w:trPr>
          <w:trHeight w:val="263"/>
        </w:trPr>
        <w:tc>
          <w:tcPr>
            <w:tcW w:w="2440" w:type="dxa"/>
            <w:vAlign w:val="bottom"/>
            <w:tcBorders>
              <w:right w:val="single" w:sz="8" w:color="95B3D7"/>
            </w:tcBorders>
            <w:shd w:val="clear" w:color="auto" w:fill="DBE5F1"/>
          </w:tcPr>
          <w:p>
            <w:pPr>
              <w:ind w:left="140"/>
              <w:spacing w:after="0"/>
              <w:rPr>
                <w:sz w:val="20"/>
                <w:szCs w:val="20"/>
                <w:color w:val="auto"/>
              </w:rPr>
            </w:pPr>
            <w:r>
              <w:rPr>
                <w:rFonts w:ascii="Arial" w:cs="Arial" w:eastAsia="Arial" w:hAnsi="Arial"/>
                <w:sz w:val="16"/>
                <w:szCs w:val="16"/>
                <w:b w:val="1"/>
                <w:bCs w:val="1"/>
                <w:color w:val="auto"/>
              </w:rPr>
              <w:t>Responsible Governance</w:t>
            </w:r>
          </w:p>
        </w:tc>
        <w:tc>
          <w:tcPr>
            <w:tcW w:w="8580" w:type="dxa"/>
            <w:vAlign w:val="bottom"/>
            <w:shd w:val="clear" w:color="auto" w:fill="DBE5F1"/>
          </w:tcPr>
          <w:p>
            <w:pPr>
              <w:ind w:left="100"/>
              <w:spacing w:after="0"/>
              <w:rPr>
                <w:sz w:val="20"/>
                <w:szCs w:val="20"/>
                <w:color w:val="auto"/>
              </w:rPr>
            </w:pPr>
            <w:r>
              <w:rPr>
                <w:rFonts w:ascii="Arial" w:cs="Arial" w:eastAsia="Arial" w:hAnsi="Arial"/>
                <w:sz w:val="16"/>
                <w:szCs w:val="16"/>
                <w:color w:val="auto"/>
              </w:rPr>
              <w:t>Decisions about compensation should be guided by best-practice governance standards and rigorous processes that</w:t>
            </w:r>
          </w:p>
        </w:tc>
      </w:tr>
      <w:tr>
        <w:trPr>
          <w:trHeight w:val="215"/>
        </w:trPr>
        <w:tc>
          <w:tcPr>
            <w:tcW w:w="2440" w:type="dxa"/>
            <w:vAlign w:val="bottom"/>
            <w:tcBorders>
              <w:right w:val="single" w:sz="8" w:color="95B3D7"/>
            </w:tcBorders>
            <w:shd w:val="clear" w:color="auto" w:fill="DBE5F1"/>
          </w:tcPr>
          <w:p>
            <w:pPr>
              <w:spacing w:after="0"/>
              <w:rPr>
                <w:sz w:val="18"/>
                <w:szCs w:val="18"/>
                <w:color w:val="auto"/>
              </w:rPr>
            </w:pPr>
          </w:p>
        </w:tc>
        <w:tc>
          <w:tcPr>
            <w:tcW w:w="8580" w:type="dxa"/>
            <w:vAlign w:val="bottom"/>
            <w:shd w:val="clear" w:color="auto" w:fill="DBE5F1"/>
          </w:tcPr>
          <w:p>
            <w:pPr>
              <w:ind w:left="100"/>
              <w:spacing w:after="0"/>
              <w:rPr>
                <w:sz w:val="20"/>
                <w:szCs w:val="20"/>
                <w:color w:val="auto"/>
              </w:rPr>
            </w:pPr>
            <w:r>
              <w:rPr>
                <w:rFonts w:ascii="Arial" w:cs="Arial" w:eastAsia="Arial" w:hAnsi="Arial"/>
                <w:sz w:val="16"/>
                <w:szCs w:val="16"/>
                <w:color w:val="auto"/>
              </w:rPr>
              <w:t>encourage prudent decision-making.</w:t>
            </w:r>
          </w:p>
        </w:tc>
      </w:tr>
      <w:tr>
        <w:trPr>
          <w:trHeight w:val="97"/>
        </w:trPr>
        <w:tc>
          <w:tcPr>
            <w:tcW w:w="2440" w:type="dxa"/>
            <w:vAlign w:val="bottom"/>
            <w:tcBorders>
              <w:bottom w:val="single" w:sz="8" w:color="95B3D7"/>
              <w:right w:val="single" w:sz="8" w:color="95B3D7"/>
            </w:tcBorders>
            <w:shd w:val="clear" w:color="auto" w:fill="DBE5F1"/>
          </w:tcPr>
          <w:p>
            <w:pPr>
              <w:spacing w:after="0"/>
              <w:rPr>
                <w:sz w:val="8"/>
                <w:szCs w:val="8"/>
                <w:color w:val="auto"/>
              </w:rPr>
            </w:pPr>
          </w:p>
        </w:tc>
        <w:tc>
          <w:tcPr>
            <w:tcW w:w="8580" w:type="dxa"/>
            <w:vAlign w:val="bottom"/>
            <w:tcBorders>
              <w:bottom w:val="single" w:sz="8" w:color="95B3D7"/>
            </w:tcBorders>
            <w:shd w:val="clear" w:color="auto" w:fill="DBE5F1"/>
          </w:tcPr>
          <w:p>
            <w:pPr>
              <w:spacing w:after="0"/>
              <w:rPr>
                <w:sz w:val="8"/>
                <w:szCs w:val="8"/>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Elements of Pay</w:t>
      </w:r>
    </w:p>
    <w:p>
      <w:pPr>
        <w:spacing w:after="0" w:line="210"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The executive compensation program uses a mix of fixed and variable pay, with an emphasis on variable pay. The program is structured to create a meaningful balance between achieving strong short-term annual results while ensuring long-term viability and success. Therefore, the mix of incentives is</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20"/>
          </w:cols>
          <w:pgMar w:left="440" w:top="296" w:right="439" w:bottom="1440" w:gutter="0" w:footer="0" w:header="0"/>
        </w:sectPr>
      </w:pPr>
    </w:p>
    <w:bookmarkStart w:id="52" w:name="page53"/>
    <w:bookmarkEnd w:id="52"/>
    <w:p>
      <w:pPr>
        <w:jc w:val="both"/>
        <w:ind w:right="2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reviewed and determined regularly by the Compensation Committee based on the short-and long-term objectives of the business. The following table illustrates the elements of pay we currently employ, the manner in which we position these elements relative to the market and the objectives achieved by each element: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8"/>
              </w:rPr>
              <w:t>Target</w:t>
            </w:r>
          </w:p>
        </w:tc>
        <w:tc>
          <w:tcPr>
            <w:tcW w:w="3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rPr>
              <w:t>Positioning</w:t>
            </w:r>
          </w:p>
        </w:tc>
        <w:tc>
          <w:tcPr>
            <w:tcW w:w="3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6"/>
                <w:szCs w:val="16"/>
                <w:b w:val="1"/>
                <w:bCs w:val="1"/>
                <w:color w:val="auto"/>
                <w:w w:val="98"/>
              </w:rPr>
              <w:t>vs.</w:t>
            </w:r>
          </w:p>
        </w:tc>
        <w:tc>
          <w:tcPr>
            <w:tcW w:w="35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240" w:type="dxa"/>
            <w:vAlign w:val="bottom"/>
            <w:tcBorders>
              <w:bottom w:val="single" w:sz="8" w:color="95B3D7"/>
            </w:tcBorders>
          </w:tcPr>
          <w:p>
            <w:pPr>
              <w:ind w:left="280"/>
              <w:spacing w:after="0"/>
              <w:rPr>
                <w:sz w:val="20"/>
                <w:szCs w:val="20"/>
                <w:color w:val="auto"/>
              </w:rPr>
            </w:pPr>
            <w:r>
              <w:rPr>
                <w:rFonts w:ascii="Arial" w:cs="Arial" w:eastAsia="Arial" w:hAnsi="Arial"/>
                <w:sz w:val="16"/>
                <w:szCs w:val="16"/>
                <w:b w:val="1"/>
                <w:bCs w:val="1"/>
                <w:color w:val="auto"/>
              </w:rPr>
              <w:t>Element</w:t>
            </w:r>
          </w:p>
        </w:tc>
        <w:tc>
          <w:tcPr>
            <w:tcW w:w="1780" w:type="dxa"/>
            <w:vAlign w:val="bottom"/>
            <w:tcBorders>
              <w:bottom w:val="single" w:sz="8" w:color="95B3D7"/>
            </w:tcBorders>
          </w:tcPr>
          <w:p>
            <w:pPr>
              <w:jc w:val="center"/>
              <w:spacing w:after="0"/>
              <w:rPr>
                <w:sz w:val="20"/>
                <w:szCs w:val="20"/>
                <w:color w:val="auto"/>
              </w:rPr>
            </w:pPr>
            <w:r>
              <w:rPr>
                <w:rFonts w:ascii="Arial" w:cs="Arial" w:eastAsia="Arial" w:hAnsi="Arial"/>
                <w:sz w:val="16"/>
                <w:szCs w:val="16"/>
                <w:b w:val="1"/>
                <w:bCs w:val="1"/>
                <w:color w:val="auto"/>
              </w:rPr>
              <w:t>Market</w:t>
            </w:r>
          </w:p>
        </w:tc>
        <w:tc>
          <w:tcPr>
            <w:tcW w:w="3500" w:type="dxa"/>
            <w:vAlign w:val="bottom"/>
            <w:tcBorders>
              <w:bottom w:val="single" w:sz="8" w:color="95B3D7"/>
            </w:tcBorders>
          </w:tcPr>
          <w:p>
            <w:pPr>
              <w:ind w:left="1100"/>
              <w:spacing w:after="0"/>
              <w:rPr>
                <w:sz w:val="20"/>
                <w:szCs w:val="20"/>
                <w:color w:val="auto"/>
              </w:rPr>
            </w:pPr>
            <w:r>
              <w:rPr>
                <w:rFonts w:ascii="Arial" w:cs="Arial" w:eastAsia="Arial" w:hAnsi="Arial"/>
                <w:sz w:val="16"/>
                <w:szCs w:val="16"/>
                <w:b w:val="1"/>
                <w:bCs w:val="1"/>
                <w:color w:val="auto"/>
              </w:rPr>
              <w:t>Primary Objective</w:t>
            </w:r>
          </w:p>
        </w:tc>
        <w:tc>
          <w:tcPr>
            <w:tcW w:w="600" w:type="dxa"/>
            <w:vAlign w:val="bottom"/>
            <w:tcBorders>
              <w:bottom w:val="single" w:sz="8" w:color="95B3D7"/>
            </w:tcBorders>
          </w:tcPr>
          <w:p>
            <w:pPr>
              <w:spacing w:after="0"/>
              <w:rPr>
                <w:sz w:val="19"/>
                <w:szCs w:val="19"/>
                <w:color w:val="auto"/>
              </w:rPr>
            </w:pPr>
          </w:p>
        </w:tc>
        <w:tc>
          <w:tcPr>
            <w:tcW w:w="3900" w:type="dxa"/>
            <w:vAlign w:val="bottom"/>
            <w:tcBorders>
              <w:bottom w:val="single" w:sz="8" w:color="95B3D7"/>
            </w:tcBorders>
          </w:tcPr>
          <w:p>
            <w:pPr>
              <w:ind w:left="840"/>
              <w:spacing w:after="0"/>
              <w:rPr>
                <w:sz w:val="20"/>
                <w:szCs w:val="20"/>
                <w:color w:val="auto"/>
              </w:rPr>
            </w:pPr>
            <w:r>
              <w:rPr>
                <w:rFonts w:ascii="Arial" w:cs="Arial" w:eastAsia="Arial" w:hAnsi="Arial"/>
                <w:sz w:val="16"/>
                <w:szCs w:val="16"/>
                <w:b w:val="1"/>
                <w:bCs w:val="1"/>
                <w:color w:val="auto"/>
              </w:rPr>
              <w:t>Determination Factors</w:t>
            </w:r>
          </w:p>
        </w:tc>
        <w:tc>
          <w:tcPr>
            <w:tcW w:w="0" w:type="dxa"/>
            <w:vAlign w:val="bottom"/>
          </w:tcPr>
          <w:p>
            <w:pPr>
              <w:spacing w:after="0"/>
              <w:rPr>
                <w:sz w:val="1"/>
                <w:szCs w:val="1"/>
                <w:color w:val="auto"/>
              </w:rPr>
            </w:pPr>
          </w:p>
        </w:tc>
      </w:tr>
      <w:tr>
        <w:trPr>
          <w:trHeight w:val="175"/>
        </w:trPr>
        <w:tc>
          <w:tcPr>
            <w:tcW w:w="1240" w:type="dxa"/>
            <w:vAlign w:val="bottom"/>
            <w:tcBorders>
              <w:right w:val="single" w:sz="8" w:color="95B3D7"/>
            </w:tcBorders>
            <w:shd w:val="clear" w:color="auto" w:fill="DBE5F1"/>
          </w:tcPr>
          <w:p>
            <w:pPr>
              <w:spacing w:after="0" w:line="175" w:lineRule="exact"/>
              <w:rPr>
                <w:sz w:val="20"/>
                <w:szCs w:val="20"/>
                <w:color w:val="auto"/>
              </w:rPr>
            </w:pPr>
            <w:r>
              <w:rPr>
                <w:rFonts w:ascii="Arial" w:cs="Arial" w:eastAsia="Arial" w:hAnsi="Arial"/>
                <w:sz w:val="16"/>
                <w:szCs w:val="16"/>
                <w:b w:val="1"/>
                <w:bCs w:val="1"/>
                <w:color w:val="auto"/>
              </w:rPr>
              <w:t>  Base</w:t>
            </w:r>
          </w:p>
        </w:tc>
        <w:tc>
          <w:tcPr>
            <w:tcW w:w="1780" w:type="dxa"/>
            <w:vAlign w:val="bottom"/>
            <w:tcBorders>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99"/>
              </w:rPr>
              <w:t>Target at</w:t>
            </w:r>
          </w:p>
        </w:tc>
        <w:tc>
          <w:tcPr>
            <w:tcW w:w="3500" w:type="dxa"/>
            <w:vAlign w:val="bottom"/>
            <w:tcBorders>
              <w:right w:val="single" w:sz="8" w:color="95B3D7"/>
            </w:tcBorders>
            <w:shd w:val="clear" w:color="auto" w:fill="DBE5F1"/>
          </w:tcPr>
          <w:p>
            <w:pPr>
              <w:ind w:left="80"/>
              <w:spacing w:after="0" w:line="175"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Attract and retain high-performing and</w:t>
            </w:r>
          </w:p>
        </w:tc>
        <w:tc>
          <w:tcPr>
            <w:tcW w:w="4500" w:type="dxa"/>
            <w:vAlign w:val="bottom"/>
            <w:gridSpan w:val="2"/>
            <w:shd w:val="clear" w:color="auto" w:fill="DBE5F1"/>
          </w:tcPr>
          <w:p>
            <w:pPr>
              <w:ind w:left="100"/>
              <w:spacing w:after="0" w:line="175"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Value of role in competitive marketplace</w:t>
            </w:r>
          </w:p>
        </w:tc>
        <w:tc>
          <w:tcPr>
            <w:tcW w:w="0" w:type="dxa"/>
            <w:vAlign w:val="bottom"/>
          </w:tcPr>
          <w:p>
            <w:pPr>
              <w:spacing w:after="0"/>
              <w:rPr>
                <w:sz w:val="1"/>
                <w:szCs w:val="1"/>
                <w:color w:val="auto"/>
              </w:rPr>
            </w:pPr>
          </w:p>
        </w:tc>
      </w:tr>
      <w:tr>
        <w:trPr>
          <w:trHeight w:val="228"/>
        </w:trPr>
        <w:tc>
          <w:tcPr>
            <w:tcW w:w="124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6"/>
                <w:szCs w:val="16"/>
                <w:b w:val="1"/>
                <w:bCs w:val="1"/>
                <w:color w:val="auto"/>
              </w:rPr>
              <w:t>  Salary</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Median</w:t>
            </w:r>
          </w:p>
        </w:tc>
        <w:tc>
          <w:tcPr>
            <w:tcW w:w="3500" w:type="dxa"/>
            <w:vAlign w:val="bottom"/>
            <w:tcBorders>
              <w:right w:val="single" w:sz="8" w:color="95B3D7"/>
            </w:tcBorders>
            <w:shd w:val="clear" w:color="auto" w:fill="DBE5F1"/>
          </w:tcPr>
          <w:p>
            <w:pPr>
              <w:ind w:left="400"/>
              <w:spacing w:after="0"/>
              <w:rPr>
                <w:sz w:val="20"/>
                <w:szCs w:val="20"/>
                <w:color w:val="auto"/>
              </w:rPr>
            </w:pPr>
            <w:r>
              <w:rPr>
                <w:rFonts w:ascii="Arial" w:cs="Arial" w:eastAsia="Arial" w:hAnsi="Arial"/>
                <w:sz w:val="16"/>
                <w:szCs w:val="16"/>
                <w:color w:val="auto"/>
              </w:rPr>
              <w:t>experienced individuals</w:t>
            </w:r>
          </w:p>
        </w:tc>
        <w:tc>
          <w:tcPr>
            <w:tcW w:w="4500" w:type="dxa"/>
            <w:vAlign w:val="bottom"/>
            <w:gridSpan w:val="2"/>
            <w:vMerge w:val="restart"/>
            <w:shd w:val="clear" w:color="auto" w:fill="DBE5F1"/>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Value of role to the Company</w:t>
            </w:r>
          </w:p>
        </w:tc>
        <w:tc>
          <w:tcPr>
            <w:tcW w:w="0" w:type="dxa"/>
            <w:vAlign w:val="bottom"/>
          </w:tcPr>
          <w:p>
            <w:pPr>
              <w:spacing w:after="0"/>
              <w:rPr>
                <w:sz w:val="1"/>
                <w:szCs w:val="1"/>
                <w:color w:val="auto"/>
              </w:rPr>
            </w:pPr>
          </w:p>
        </w:tc>
      </w:tr>
      <w:tr>
        <w:trPr>
          <w:trHeight w:val="68"/>
        </w:trPr>
        <w:tc>
          <w:tcPr>
            <w:tcW w:w="1240" w:type="dxa"/>
            <w:vAlign w:val="bottom"/>
            <w:tcBorders>
              <w:right w:val="single" w:sz="8" w:color="95B3D7"/>
            </w:tcBorders>
            <w:shd w:val="clear" w:color="auto" w:fill="DBE5F1"/>
          </w:tcPr>
          <w:p>
            <w:pPr>
              <w:spacing w:after="0"/>
              <w:rPr>
                <w:sz w:val="5"/>
                <w:szCs w:val="5"/>
                <w:color w:val="auto"/>
              </w:rPr>
            </w:pPr>
          </w:p>
        </w:tc>
        <w:tc>
          <w:tcPr>
            <w:tcW w:w="1780" w:type="dxa"/>
            <w:vAlign w:val="bottom"/>
            <w:tcBorders>
              <w:right w:val="single" w:sz="8" w:color="95B3D7"/>
            </w:tcBorders>
            <w:shd w:val="clear" w:color="auto" w:fill="DBE5F1"/>
          </w:tcPr>
          <w:p>
            <w:pPr>
              <w:spacing w:after="0"/>
              <w:rPr>
                <w:sz w:val="5"/>
                <w:szCs w:val="5"/>
                <w:color w:val="auto"/>
              </w:rPr>
            </w:pPr>
          </w:p>
        </w:tc>
        <w:tc>
          <w:tcPr>
            <w:tcW w:w="3500" w:type="dxa"/>
            <w:vAlign w:val="bottom"/>
            <w:tcBorders>
              <w:right w:val="single" w:sz="8" w:color="95B3D7"/>
            </w:tcBorders>
            <w:vMerge w:val="restart"/>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Provide steady source of income so</w:t>
            </w:r>
          </w:p>
        </w:tc>
        <w:tc>
          <w:tcPr>
            <w:tcW w:w="4500" w:type="dxa"/>
            <w:vAlign w:val="bottom"/>
            <w:gridSpan w:val="2"/>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177"/>
        </w:trPr>
        <w:tc>
          <w:tcPr>
            <w:tcW w:w="1240" w:type="dxa"/>
            <w:vAlign w:val="bottom"/>
            <w:tcBorders>
              <w:right w:val="single" w:sz="8" w:color="95B3D7"/>
            </w:tcBorders>
            <w:shd w:val="clear" w:color="auto" w:fill="DBE5F1"/>
          </w:tcPr>
          <w:p>
            <w:pPr>
              <w:spacing w:after="0"/>
              <w:rPr>
                <w:sz w:val="15"/>
                <w:szCs w:val="15"/>
                <w:color w:val="auto"/>
              </w:rPr>
            </w:pPr>
          </w:p>
        </w:tc>
        <w:tc>
          <w:tcPr>
            <w:tcW w:w="1780" w:type="dxa"/>
            <w:vAlign w:val="bottom"/>
            <w:tcBorders>
              <w:right w:val="single" w:sz="8" w:color="95B3D7"/>
            </w:tcBorders>
            <w:shd w:val="clear" w:color="auto" w:fill="DBE5F1"/>
          </w:tcPr>
          <w:p>
            <w:pPr>
              <w:spacing w:after="0"/>
              <w:rPr>
                <w:sz w:val="15"/>
                <w:szCs w:val="15"/>
                <w:color w:val="auto"/>
              </w:rPr>
            </w:pPr>
          </w:p>
        </w:tc>
        <w:tc>
          <w:tcPr>
            <w:tcW w:w="3500" w:type="dxa"/>
            <w:vAlign w:val="bottom"/>
            <w:tcBorders>
              <w:right w:val="single" w:sz="8" w:color="95B3D7"/>
            </w:tcBorders>
            <w:vMerge w:val="continue"/>
            <w:shd w:val="clear" w:color="auto" w:fill="DBE5F1"/>
          </w:tcPr>
          <w:p>
            <w:pPr>
              <w:spacing w:after="0"/>
              <w:rPr>
                <w:sz w:val="15"/>
                <w:szCs w:val="15"/>
                <w:color w:val="auto"/>
              </w:rPr>
            </w:pPr>
          </w:p>
        </w:tc>
        <w:tc>
          <w:tcPr>
            <w:tcW w:w="4500" w:type="dxa"/>
            <w:vAlign w:val="bottom"/>
            <w:gridSpan w:val="2"/>
            <w:vMerge w:val="restart"/>
            <w:shd w:val="clear" w:color="auto" w:fill="DBE5F1"/>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Skills, experience and performance of individual</w:t>
            </w:r>
          </w:p>
        </w:tc>
        <w:tc>
          <w:tcPr>
            <w:tcW w:w="0" w:type="dxa"/>
            <w:vAlign w:val="bottom"/>
          </w:tcPr>
          <w:p>
            <w:pPr>
              <w:spacing w:after="0"/>
              <w:rPr>
                <w:sz w:val="1"/>
                <w:szCs w:val="1"/>
                <w:color w:val="auto"/>
              </w:rPr>
            </w:pPr>
          </w:p>
        </w:tc>
      </w:tr>
      <w:tr>
        <w:trPr>
          <w:trHeight w:val="81"/>
        </w:trPr>
        <w:tc>
          <w:tcPr>
            <w:tcW w:w="1240" w:type="dxa"/>
            <w:vAlign w:val="bottom"/>
            <w:tcBorders>
              <w:right w:val="single" w:sz="8" w:color="95B3D7"/>
            </w:tcBorders>
            <w:shd w:val="clear" w:color="auto" w:fill="DBE5F1"/>
          </w:tcPr>
          <w:p>
            <w:pPr>
              <w:spacing w:after="0"/>
              <w:rPr>
                <w:sz w:val="7"/>
                <w:szCs w:val="7"/>
                <w:color w:val="auto"/>
              </w:rPr>
            </w:pPr>
          </w:p>
        </w:tc>
        <w:tc>
          <w:tcPr>
            <w:tcW w:w="1780" w:type="dxa"/>
            <w:vAlign w:val="bottom"/>
            <w:tcBorders>
              <w:right w:val="single" w:sz="8" w:color="95B3D7"/>
            </w:tcBorders>
            <w:shd w:val="clear" w:color="auto" w:fill="DBE5F1"/>
          </w:tcPr>
          <w:p>
            <w:pPr>
              <w:spacing w:after="0"/>
              <w:rPr>
                <w:sz w:val="7"/>
                <w:szCs w:val="7"/>
                <w:color w:val="auto"/>
              </w:rPr>
            </w:pPr>
          </w:p>
        </w:tc>
        <w:tc>
          <w:tcPr>
            <w:tcW w:w="3500" w:type="dxa"/>
            <w:vAlign w:val="bottom"/>
            <w:tcBorders>
              <w:right w:val="single" w:sz="8" w:color="95B3D7"/>
            </w:tcBorders>
            <w:vMerge w:val="restart"/>
            <w:shd w:val="clear" w:color="auto" w:fill="DBE5F1"/>
          </w:tcPr>
          <w:p>
            <w:pPr>
              <w:ind w:left="400"/>
              <w:spacing w:after="0"/>
              <w:rPr>
                <w:sz w:val="20"/>
                <w:szCs w:val="20"/>
                <w:color w:val="auto"/>
              </w:rPr>
            </w:pPr>
            <w:r>
              <w:rPr>
                <w:rFonts w:ascii="Arial" w:cs="Arial" w:eastAsia="Arial" w:hAnsi="Arial"/>
                <w:sz w:val="16"/>
                <w:szCs w:val="16"/>
                <w:color w:val="auto"/>
              </w:rPr>
              <w:t>executives can focus on the needs of the</w:t>
            </w:r>
          </w:p>
        </w:tc>
        <w:tc>
          <w:tcPr>
            <w:tcW w:w="4500" w:type="dxa"/>
            <w:vAlign w:val="bottom"/>
            <w:gridSpan w:val="2"/>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240" w:type="dxa"/>
            <w:vAlign w:val="bottom"/>
            <w:tcBorders>
              <w:right w:val="single" w:sz="8" w:color="95B3D7"/>
            </w:tcBorders>
            <w:shd w:val="clear" w:color="auto" w:fill="DBE5F1"/>
          </w:tcPr>
          <w:p>
            <w:pPr>
              <w:spacing w:after="0"/>
              <w:rPr>
                <w:sz w:val="9"/>
                <w:szCs w:val="9"/>
                <w:color w:val="auto"/>
              </w:rPr>
            </w:pPr>
          </w:p>
        </w:tc>
        <w:tc>
          <w:tcPr>
            <w:tcW w:w="1780" w:type="dxa"/>
            <w:vAlign w:val="bottom"/>
            <w:tcBorders>
              <w:right w:val="single" w:sz="8" w:color="95B3D7"/>
            </w:tcBorders>
            <w:shd w:val="clear" w:color="auto" w:fill="DBE5F1"/>
          </w:tcPr>
          <w:p>
            <w:pPr>
              <w:spacing w:after="0"/>
              <w:rPr>
                <w:sz w:val="9"/>
                <w:szCs w:val="9"/>
                <w:color w:val="auto"/>
              </w:rPr>
            </w:pPr>
          </w:p>
        </w:tc>
        <w:tc>
          <w:tcPr>
            <w:tcW w:w="3500" w:type="dxa"/>
            <w:vAlign w:val="bottom"/>
            <w:tcBorders>
              <w:right w:val="single" w:sz="8" w:color="95B3D7"/>
            </w:tcBorders>
            <w:vMerge w:val="continue"/>
            <w:shd w:val="clear" w:color="auto" w:fill="DBE5F1"/>
          </w:tcPr>
          <w:p>
            <w:pPr>
              <w:spacing w:after="0"/>
              <w:rPr>
                <w:sz w:val="9"/>
                <w:szCs w:val="9"/>
                <w:color w:val="auto"/>
              </w:rPr>
            </w:pPr>
          </w:p>
        </w:tc>
        <w:tc>
          <w:tcPr>
            <w:tcW w:w="4500" w:type="dxa"/>
            <w:vAlign w:val="bottom"/>
            <w:gridSpan w:val="2"/>
            <w:vMerge w:val="restart"/>
            <w:shd w:val="clear" w:color="auto" w:fill="DBE5F1"/>
          </w:tcPr>
          <w:p>
            <w:pPr>
              <w:ind w:left="420"/>
              <w:spacing w:after="0"/>
              <w:rPr>
                <w:sz w:val="20"/>
                <w:szCs w:val="20"/>
                <w:color w:val="auto"/>
              </w:rPr>
            </w:pPr>
            <w:r>
              <w:rPr>
                <w:rFonts w:ascii="Arial" w:cs="Arial" w:eastAsia="Arial" w:hAnsi="Arial"/>
                <w:sz w:val="16"/>
                <w:szCs w:val="16"/>
                <w:color w:val="auto"/>
              </w:rPr>
              <w:t>compared to the market as well as others in the</w:t>
            </w:r>
          </w:p>
        </w:tc>
        <w:tc>
          <w:tcPr>
            <w:tcW w:w="0" w:type="dxa"/>
            <w:vAlign w:val="bottom"/>
          </w:tcPr>
          <w:p>
            <w:pPr>
              <w:spacing w:after="0"/>
              <w:rPr>
                <w:sz w:val="1"/>
                <w:szCs w:val="1"/>
                <w:color w:val="auto"/>
              </w:rPr>
            </w:pPr>
          </w:p>
        </w:tc>
      </w:tr>
      <w:tr>
        <w:trPr>
          <w:trHeight w:val="81"/>
        </w:trPr>
        <w:tc>
          <w:tcPr>
            <w:tcW w:w="1240" w:type="dxa"/>
            <w:vAlign w:val="bottom"/>
            <w:tcBorders>
              <w:right w:val="single" w:sz="8" w:color="95B3D7"/>
            </w:tcBorders>
            <w:shd w:val="clear" w:color="auto" w:fill="DBE5F1"/>
          </w:tcPr>
          <w:p>
            <w:pPr>
              <w:spacing w:after="0"/>
              <w:rPr>
                <w:sz w:val="7"/>
                <w:szCs w:val="7"/>
                <w:color w:val="auto"/>
              </w:rPr>
            </w:pPr>
          </w:p>
        </w:tc>
        <w:tc>
          <w:tcPr>
            <w:tcW w:w="1780" w:type="dxa"/>
            <w:vAlign w:val="bottom"/>
            <w:tcBorders>
              <w:right w:val="single" w:sz="8" w:color="95B3D7"/>
            </w:tcBorders>
            <w:shd w:val="clear" w:color="auto" w:fill="DBE5F1"/>
          </w:tcPr>
          <w:p>
            <w:pPr>
              <w:spacing w:after="0"/>
              <w:rPr>
                <w:sz w:val="7"/>
                <w:szCs w:val="7"/>
                <w:color w:val="auto"/>
              </w:rPr>
            </w:pPr>
          </w:p>
        </w:tc>
        <w:tc>
          <w:tcPr>
            <w:tcW w:w="3500" w:type="dxa"/>
            <w:vAlign w:val="bottom"/>
            <w:tcBorders>
              <w:right w:val="single" w:sz="8" w:color="95B3D7"/>
            </w:tcBorders>
            <w:vMerge w:val="restart"/>
            <w:shd w:val="clear" w:color="auto" w:fill="DBE5F1"/>
          </w:tcPr>
          <w:p>
            <w:pPr>
              <w:ind w:left="400"/>
              <w:spacing w:after="0"/>
              <w:rPr>
                <w:sz w:val="20"/>
                <w:szCs w:val="20"/>
                <w:color w:val="auto"/>
              </w:rPr>
            </w:pPr>
            <w:r>
              <w:rPr>
                <w:rFonts w:ascii="Arial" w:cs="Arial" w:eastAsia="Arial" w:hAnsi="Arial"/>
                <w:sz w:val="16"/>
                <w:szCs w:val="16"/>
                <w:color w:val="auto"/>
              </w:rPr>
              <w:t>business</w:t>
            </w:r>
          </w:p>
        </w:tc>
        <w:tc>
          <w:tcPr>
            <w:tcW w:w="4500" w:type="dxa"/>
            <w:vAlign w:val="bottom"/>
            <w:gridSpan w:val="2"/>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1240" w:type="dxa"/>
            <w:vAlign w:val="bottom"/>
            <w:tcBorders>
              <w:right w:val="single" w:sz="8" w:color="95B3D7"/>
            </w:tcBorders>
            <w:shd w:val="clear" w:color="auto" w:fill="DBE5F1"/>
          </w:tcPr>
          <w:p>
            <w:pPr>
              <w:spacing w:after="0"/>
              <w:rPr>
                <w:sz w:val="11"/>
                <w:szCs w:val="11"/>
                <w:color w:val="auto"/>
              </w:rPr>
            </w:pPr>
          </w:p>
        </w:tc>
        <w:tc>
          <w:tcPr>
            <w:tcW w:w="1780" w:type="dxa"/>
            <w:vAlign w:val="bottom"/>
            <w:tcBorders>
              <w:right w:val="single" w:sz="8" w:color="95B3D7"/>
            </w:tcBorders>
            <w:shd w:val="clear" w:color="auto" w:fill="DBE5F1"/>
          </w:tcPr>
          <w:p>
            <w:pPr>
              <w:spacing w:after="0"/>
              <w:rPr>
                <w:sz w:val="11"/>
                <w:szCs w:val="11"/>
                <w:color w:val="auto"/>
              </w:rPr>
            </w:pPr>
          </w:p>
        </w:tc>
        <w:tc>
          <w:tcPr>
            <w:tcW w:w="3500" w:type="dxa"/>
            <w:vAlign w:val="bottom"/>
            <w:tcBorders>
              <w:right w:val="single" w:sz="8" w:color="95B3D7"/>
            </w:tcBorders>
            <w:vMerge w:val="continue"/>
            <w:shd w:val="clear" w:color="auto" w:fill="DBE5F1"/>
          </w:tcPr>
          <w:p>
            <w:pPr>
              <w:spacing w:after="0"/>
              <w:rPr>
                <w:sz w:val="11"/>
                <w:szCs w:val="11"/>
                <w:color w:val="auto"/>
              </w:rPr>
            </w:pPr>
          </w:p>
        </w:tc>
        <w:tc>
          <w:tcPr>
            <w:tcW w:w="4500" w:type="dxa"/>
            <w:vAlign w:val="bottom"/>
            <w:gridSpan w:val="2"/>
            <w:vMerge w:val="restart"/>
            <w:shd w:val="clear" w:color="auto" w:fill="DBE5F1"/>
          </w:tcPr>
          <w:p>
            <w:pPr>
              <w:ind w:left="420"/>
              <w:spacing w:after="0"/>
              <w:rPr>
                <w:sz w:val="20"/>
                <w:szCs w:val="20"/>
                <w:color w:val="auto"/>
              </w:rPr>
            </w:pPr>
            <w:r>
              <w:rPr>
                <w:rFonts w:ascii="Arial" w:cs="Arial" w:eastAsia="Arial" w:hAnsi="Arial"/>
                <w:sz w:val="16"/>
                <w:szCs w:val="16"/>
                <w:color w:val="auto"/>
              </w:rPr>
              <w:t>Company</w:t>
            </w:r>
          </w:p>
        </w:tc>
        <w:tc>
          <w:tcPr>
            <w:tcW w:w="0" w:type="dxa"/>
            <w:vAlign w:val="bottom"/>
          </w:tcPr>
          <w:p>
            <w:pPr>
              <w:spacing w:after="0"/>
              <w:rPr>
                <w:sz w:val="1"/>
                <w:szCs w:val="1"/>
                <w:color w:val="auto"/>
              </w:rPr>
            </w:pPr>
          </w:p>
        </w:tc>
      </w:tr>
      <w:tr>
        <w:trPr>
          <w:trHeight w:val="81"/>
        </w:trPr>
        <w:tc>
          <w:tcPr>
            <w:tcW w:w="1240" w:type="dxa"/>
            <w:vAlign w:val="bottom"/>
            <w:tcBorders>
              <w:right w:val="single" w:sz="8" w:color="95B3D7"/>
            </w:tcBorders>
            <w:shd w:val="clear" w:color="auto" w:fill="DBE5F1"/>
          </w:tcPr>
          <w:p>
            <w:pPr>
              <w:spacing w:after="0"/>
              <w:rPr>
                <w:sz w:val="7"/>
                <w:szCs w:val="7"/>
                <w:color w:val="auto"/>
              </w:rPr>
            </w:pPr>
          </w:p>
        </w:tc>
        <w:tc>
          <w:tcPr>
            <w:tcW w:w="1780" w:type="dxa"/>
            <w:vAlign w:val="bottom"/>
            <w:tcBorders>
              <w:right w:val="single" w:sz="8" w:color="95B3D7"/>
            </w:tcBorders>
            <w:shd w:val="clear" w:color="auto" w:fill="DBE5F1"/>
          </w:tcPr>
          <w:p>
            <w:pPr>
              <w:spacing w:after="0"/>
              <w:rPr>
                <w:sz w:val="7"/>
                <w:szCs w:val="7"/>
                <w:color w:val="auto"/>
              </w:rPr>
            </w:pPr>
          </w:p>
        </w:tc>
        <w:tc>
          <w:tcPr>
            <w:tcW w:w="3500" w:type="dxa"/>
            <w:vAlign w:val="bottom"/>
            <w:tcBorders>
              <w:right w:val="single" w:sz="8" w:color="95B3D7"/>
            </w:tcBorders>
            <w:shd w:val="clear" w:color="auto" w:fill="DBE5F1"/>
          </w:tcPr>
          <w:p>
            <w:pPr>
              <w:spacing w:after="0"/>
              <w:rPr>
                <w:sz w:val="7"/>
                <w:szCs w:val="7"/>
                <w:color w:val="auto"/>
              </w:rPr>
            </w:pPr>
          </w:p>
        </w:tc>
        <w:tc>
          <w:tcPr>
            <w:tcW w:w="4500" w:type="dxa"/>
            <w:vAlign w:val="bottom"/>
            <w:gridSpan w:val="2"/>
            <w:vMerge w:val="continue"/>
            <w:shd w:val="clear" w:color="auto" w:fill="DBE5F1"/>
          </w:tcPr>
          <w:p>
            <w:pPr>
              <w:spacing w:after="0"/>
              <w:rPr>
                <w:sz w:val="7"/>
                <w:szCs w:val="7"/>
                <w:color w:val="auto"/>
              </w:rPr>
            </w:pPr>
          </w:p>
        </w:tc>
        <w:tc>
          <w:tcPr>
            <w:tcW w:w="0" w:type="dxa"/>
            <w:vAlign w:val="bottom"/>
          </w:tcPr>
          <w:p>
            <w:pPr>
              <w:spacing w:after="0"/>
              <w:rPr>
                <w:sz w:val="1"/>
                <w:szCs w:val="1"/>
                <w:color w:val="auto"/>
              </w:rPr>
            </w:pPr>
          </w:p>
        </w:tc>
      </w:tr>
      <w:tr>
        <w:trPr>
          <w:trHeight w:val="144"/>
        </w:trPr>
        <w:tc>
          <w:tcPr>
            <w:tcW w:w="1240" w:type="dxa"/>
            <w:vAlign w:val="bottom"/>
            <w:tcBorders>
              <w:bottom w:val="single" w:sz="8" w:color="95B3D7"/>
              <w:right w:val="single" w:sz="8" w:color="95B3D7"/>
            </w:tcBorders>
            <w:shd w:val="clear" w:color="auto" w:fill="DBE5F1"/>
          </w:tcPr>
          <w:p>
            <w:pPr>
              <w:spacing w:after="0"/>
              <w:rPr>
                <w:sz w:val="12"/>
                <w:szCs w:val="12"/>
                <w:color w:val="auto"/>
              </w:rPr>
            </w:pPr>
          </w:p>
        </w:tc>
        <w:tc>
          <w:tcPr>
            <w:tcW w:w="1780" w:type="dxa"/>
            <w:vAlign w:val="bottom"/>
            <w:tcBorders>
              <w:bottom w:val="single" w:sz="8" w:color="95B3D7"/>
              <w:right w:val="single" w:sz="8" w:color="95B3D7"/>
            </w:tcBorders>
            <w:shd w:val="clear" w:color="auto" w:fill="DBE5F1"/>
          </w:tcPr>
          <w:p>
            <w:pPr>
              <w:spacing w:after="0"/>
              <w:rPr>
                <w:sz w:val="12"/>
                <w:szCs w:val="12"/>
                <w:color w:val="auto"/>
              </w:rPr>
            </w:pPr>
          </w:p>
        </w:tc>
        <w:tc>
          <w:tcPr>
            <w:tcW w:w="3500" w:type="dxa"/>
            <w:vAlign w:val="bottom"/>
            <w:tcBorders>
              <w:bottom w:val="single" w:sz="8" w:color="95B3D7"/>
              <w:right w:val="single" w:sz="8" w:color="95B3D7"/>
            </w:tcBorders>
            <w:shd w:val="clear" w:color="auto" w:fill="DBE5F1"/>
          </w:tcPr>
          <w:p>
            <w:pPr>
              <w:spacing w:after="0"/>
              <w:rPr>
                <w:sz w:val="12"/>
                <w:szCs w:val="12"/>
                <w:color w:val="auto"/>
              </w:rPr>
            </w:pPr>
          </w:p>
        </w:tc>
        <w:tc>
          <w:tcPr>
            <w:tcW w:w="4500" w:type="dxa"/>
            <w:vAlign w:val="bottom"/>
            <w:tcBorders>
              <w:bottom w:val="single" w:sz="8" w:color="95B3D7"/>
            </w:tcBorders>
            <w:gridSpan w:val="2"/>
            <w:shd w:val="clear" w:color="auto" w:fill="DBE5F1"/>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40" w:type="dxa"/>
            <w:vAlign w:val="bottom"/>
            <w:tcBorders>
              <w:right w:val="single" w:sz="8" w:color="95B3D7"/>
            </w:tcBorders>
          </w:tcPr>
          <w:p>
            <w:pPr>
              <w:spacing w:after="0" w:line="175" w:lineRule="exact"/>
              <w:rPr>
                <w:sz w:val="20"/>
                <w:szCs w:val="20"/>
                <w:color w:val="auto"/>
              </w:rPr>
            </w:pPr>
            <w:r>
              <w:rPr>
                <w:rFonts w:ascii="Arial" w:cs="Arial" w:eastAsia="Arial" w:hAnsi="Arial"/>
                <w:sz w:val="16"/>
                <w:szCs w:val="16"/>
                <w:b w:val="1"/>
                <w:bCs w:val="1"/>
                <w:color w:val="auto"/>
              </w:rPr>
              <w:t>  Annual</w:t>
            </w:r>
          </w:p>
        </w:tc>
        <w:tc>
          <w:tcPr>
            <w:tcW w:w="1780" w:type="dxa"/>
            <w:vAlign w:val="bottom"/>
            <w:tcBorders>
              <w:right w:val="single" w:sz="8" w:color="95B3D7"/>
            </w:tcBorders>
          </w:tcPr>
          <w:p>
            <w:pPr>
              <w:jc w:val="center"/>
              <w:spacing w:after="0" w:line="175" w:lineRule="exact"/>
              <w:rPr>
                <w:sz w:val="20"/>
                <w:szCs w:val="20"/>
                <w:color w:val="auto"/>
              </w:rPr>
            </w:pPr>
            <w:r>
              <w:rPr>
                <w:rFonts w:ascii="Arial" w:cs="Arial" w:eastAsia="Arial" w:hAnsi="Arial"/>
                <w:sz w:val="16"/>
                <w:szCs w:val="16"/>
                <w:color w:val="auto"/>
                <w:w w:val="99"/>
              </w:rPr>
              <w:t>Target at</w:t>
            </w:r>
          </w:p>
        </w:tc>
        <w:tc>
          <w:tcPr>
            <w:tcW w:w="3500" w:type="dxa"/>
            <w:vAlign w:val="bottom"/>
            <w:tcBorders>
              <w:right w:val="single" w:sz="8" w:color="95B3D7"/>
            </w:tcBorders>
          </w:tcPr>
          <w:p>
            <w:pPr>
              <w:ind w:left="80"/>
              <w:spacing w:after="0" w:line="175"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Motivate executives to achieve challenging</w:t>
            </w:r>
          </w:p>
        </w:tc>
        <w:tc>
          <w:tcPr>
            <w:tcW w:w="4500" w:type="dxa"/>
            <w:vAlign w:val="bottom"/>
            <w:gridSpan w:val="2"/>
          </w:tcPr>
          <w:p>
            <w:pPr>
              <w:ind w:left="100"/>
              <w:spacing w:after="0" w:line="175"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Target awards based on competitive marketplace, level</w:t>
            </w:r>
          </w:p>
        </w:tc>
        <w:tc>
          <w:tcPr>
            <w:tcW w:w="0" w:type="dxa"/>
            <w:vAlign w:val="bottom"/>
          </w:tcPr>
          <w:p>
            <w:pPr>
              <w:spacing w:after="0"/>
              <w:rPr>
                <w:sz w:val="1"/>
                <w:szCs w:val="1"/>
                <w:color w:val="auto"/>
              </w:rPr>
            </w:pPr>
          </w:p>
        </w:tc>
      </w:tr>
      <w:tr>
        <w:trPr>
          <w:trHeight w:val="189"/>
        </w:trPr>
        <w:tc>
          <w:tcPr>
            <w:tcW w:w="1240" w:type="dxa"/>
            <w:vAlign w:val="bottom"/>
            <w:tcBorders>
              <w:right w:val="single" w:sz="8" w:color="95B3D7"/>
            </w:tcBorders>
          </w:tcPr>
          <w:p>
            <w:pPr>
              <w:spacing w:after="0"/>
              <w:rPr>
                <w:sz w:val="20"/>
                <w:szCs w:val="20"/>
                <w:color w:val="auto"/>
              </w:rPr>
            </w:pPr>
            <w:r>
              <w:rPr>
                <w:rFonts w:ascii="Arial" w:cs="Arial" w:eastAsia="Arial" w:hAnsi="Arial"/>
                <w:sz w:val="16"/>
                <w:szCs w:val="16"/>
                <w:b w:val="1"/>
                <w:bCs w:val="1"/>
                <w:color w:val="auto"/>
              </w:rPr>
              <w:t>  Cash</w:t>
            </w:r>
          </w:p>
        </w:tc>
        <w:tc>
          <w:tcPr>
            <w:tcW w:w="1780" w:type="dxa"/>
            <w:vAlign w:val="bottom"/>
            <w:tcBorders>
              <w:right w:val="single" w:sz="8" w:color="95B3D7"/>
            </w:tcBorders>
          </w:tcPr>
          <w:p>
            <w:pPr>
              <w:jc w:val="center"/>
              <w:spacing w:after="0"/>
              <w:rPr>
                <w:sz w:val="20"/>
                <w:szCs w:val="20"/>
                <w:color w:val="auto"/>
              </w:rPr>
            </w:pPr>
            <w:r>
              <w:rPr>
                <w:rFonts w:ascii="Arial" w:cs="Arial" w:eastAsia="Arial" w:hAnsi="Arial"/>
                <w:sz w:val="16"/>
                <w:szCs w:val="16"/>
                <w:color w:val="auto"/>
                <w:w w:val="99"/>
              </w:rPr>
              <w:t>Median</w:t>
            </w:r>
          </w:p>
        </w:tc>
        <w:tc>
          <w:tcPr>
            <w:tcW w:w="3500" w:type="dxa"/>
            <w:vAlign w:val="bottom"/>
            <w:tcBorders>
              <w:right w:val="single" w:sz="8" w:color="95B3D7"/>
            </w:tcBorders>
          </w:tcPr>
          <w:p>
            <w:pPr>
              <w:ind w:left="400"/>
              <w:spacing w:after="0"/>
              <w:rPr>
                <w:sz w:val="20"/>
                <w:szCs w:val="20"/>
                <w:color w:val="auto"/>
              </w:rPr>
            </w:pPr>
            <w:r>
              <w:rPr>
                <w:rFonts w:ascii="Arial" w:cs="Arial" w:eastAsia="Arial" w:hAnsi="Arial"/>
                <w:sz w:val="16"/>
                <w:szCs w:val="16"/>
                <w:color w:val="auto"/>
              </w:rPr>
              <w:t>short-term performance goals</w:t>
            </w:r>
          </w:p>
        </w:tc>
        <w:tc>
          <w:tcPr>
            <w:tcW w:w="4500" w:type="dxa"/>
            <w:vAlign w:val="bottom"/>
            <w:gridSpan w:val="2"/>
          </w:tcPr>
          <w:p>
            <w:pPr>
              <w:ind w:left="420"/>
              <w:spacing w:after="0"/>
              <w:rPr>
                <w:sz w:val="20"/>
                <w:szCs w:val="20"/>
                <w:color w:val="auto"/>
              </w:rPr>
            </w:pPr>
            <w:r>
              <w:rPr>
                <w:rFonts w:ascii="Arial" w:cs="Arial" w:eastAsia="Arial" w:hAnsi="Arial"/>
                <w:sz w:val="16"/>
                <w:szCs w:val="16"/>
                <w:color w:val="auto"/>
              </w:rPr>
              <w:t>of position, skills and performance of executive</w:t>
            </w:r>
          </w:p>
        </w:tc>
        <w:tc>
          <w:tcPr>
            <w:tcW w:w="0" w:type="dxa"/>
            <w:vAlign w:val="bottom"/>
          </w:tcPr>
          <w:p>
            <w:pPr>
              <w:spacing w:after="0"/>
              <w:rPr>
                <w:sz w:val="1"/>
                <w:szCs w:val="1"/>
                <w:color w:val="auto"/>
              </w:rPr>
            </w:pPr>
          </w:p>
        </w:tc>
      </w:tr>
      <w:tr>
        <w:trPr>
          <w:trHeight w:val="223"/>
        </w:trPr>
        <w:tc>
          <w:tcPr>
            <w:tcW w:w="1240" w:type="dxa"/>
            <w:vAlign w:val="bottom"/>
            <w:tcBorders>
              <w:right w:val="single" w:sz="8" w:color="95B3D7"/>
            </w:tcBorders>
          </w:tcPr>
          <w:p>
            <w:pPr>
              <w:spacing w:after="0"/>
              <w:rPr>
                <w:sz w:val="20"/>
                <w:szCs w:val="20"/>
                <w:color w:val="auto"/>
              </w:rPr>
            </w:pPr>
            <w:r>
              <w:rPr>
                <w:rFonts w:ascii="Arial" w:cs="Arial" w:eastAsia="Arial" w:hAnsi="Arial"/>
                <w:sz w:val="16"/>
                <w:szCs w:val="16"/>
                <w:b w:val="1"/>
                <w:bCs w:val="1"/>
                <w:color w:val="auto"/>
              </w:rPr>
              <w:t>  Incentives</w:t>
            </w:r>
          </w:p>
        </w:tc>
        <w:tc>
          <w:tcPr>
            <w:tcW w:w="1780" w:type="dxa"/>
            <w:vAlign w:val="bottom"/>
            <w:tcBorders>
              <w:right w:val="single" w:sz="8" w:color="95B3D7"/>
            </w:tcBorders>
          </w:tcPr>
          <w:p>
            <w:pPr>
              <w:spacing w:after="0"/>
              <w:rPr>
                <w:sz w:val="19"/>
                <w:szCs w:val="19"/>
                <w:color w:val="auto"/>
              </w:rPr>
            </w:pPr>
          </w:p>
        </w:tc>
        <w:tc>
          <w:tcPr>
            <w:tcW w:w="3500" w:type="dxa"/>
            <w:vAlign w:val="bottom"/>
            <w:tcBorders>
              <w:right w:val="single" w:sz="8" w:color="95B3D7"/>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Align with annual financial objectives</w:t>
            </w:r>
          </w:p>
        </w:tc>
        <w:tc>
          <w:tcPr>
            <w:tcW w:w="45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75% of actual awards based on achievement against the</w:t>
            </w:r>
          </w:p>
        </w:tc>
        <w:tc>
          <w:tcPr>
            <w:tcW w:w="0" w:type="dxa"/>
            <w:vAlign w:val="bottom"/>
          </w:tcPr>
          <w:p>
            <w:pPr>
              <w:spacing w:after="0"/>
              <w:rPr>
                <w:sz w:val="1"/>
                <w:szCs w:val="1"/>
                <w:color w:val="auto"/>
              </w:rPr>
            </w:pPr>
          </w:p>
        </w:tc>
      </w:tr>
      <w:tr>
        <w:trPr>
          <w:trHeight w:val="61"/>
        </w:trPr>
        <w:tc>
          <w:tcPr>
            <w:tcW w:w="1240" w:type="dxa"/>
            <w:vAlign w:val="bottom"/>
            <w:tcBorders>
              <w:right w:val="single" w:sz="8" w:color="95B3D7"/>
            </w:tcBorders>
          </w:tcPr>
          <w:p>
            <w:pPr>
              <w:spacing w:after="0"/>
              <w:rPr>
                <w:sz w:val="5"/>
                <w:szCs w:val="5"/>
                <w:color w:val="auto"/>
              </w:rPr>
            </w:pPr>
          </w:p>
        </w:tc>
        <w:tc>
          <w:tcPr>
            <w:tcW w:w="1780" w:type="dxa"/>
            <w:vAlign w:val="bottom"/>
            <w:tcBorders>
              <w:right w:val="single" w:sz="8" w:color="95B3D7"/>
            </w:tcBorders>
          </w:tcPr>
          <w:p>
            <w:pPr>
              <w:spacing w:after="0"/>
              <w:rPr>
                <w:sz w:val="5"/>
                <w:szCs w:val="5"/>
                <w:color w:val="auto"/>
              </w:rPr>
            </w:pPr>
          </w:p>
        </w:tc>
        <w:tc>
          <w:tcPr>
            <w:tcW w:w="3500" w:type="dxa"/>
            <w:vAlign w:val="bottom"/>
            <w:tcBorders>
              <w:right w:val="single" w:sz="8" w:color="95B3D7"/>
            </w:tcBorders>
            <w:vMerge w:val="continue"/>
          </w:tcPr>
          <w:p>
            <w:pPr>
              <w:spacing w:after="0"/>
              <w:rPr>
                <w:sz w:val="5"/>
                <w:szCs w:val="5"/>
                <w:color w:val="auto"/>
              </w:rPr>
            </w:pPr>
          </w:p>
        </w:tc>
        <w:tc>
          <w:tcPr>
            <w:tcW w:w="45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5"/>
        </w:trPr>
        <w:tc>
          <w:tcPr>
            <w:tcW w:w="1240" w:type="dxa"/>
            <w:vAlign w:val="bottom"/>
            <w:tcBorders>
              <w:right w:val="single" w:sz="8" w:color="95B3D7"/>
            </w:tcBorders>
          </w:tcPr>
          <w:p>
            <w:pPr>
              <w:spacing w:after="0"/>
              <w:rPr>
                <w:sz w:val="18"/>
                <w:szCs w:val="18"/>
                <w:color w:val="auto"/>
              </w:rPr>
            </w:pPr>
          </w:p>
        </w:tc>
        <w:tc>
          <w:tcPr>
            <w:tcW w:w="1780" w:type="dxa"/>
            <w:vAlign w:val="bottom"/>
            <w:tcBorders>
              <w:right w:val="single" w:sz="8" w:color="95B3D7"/>
            </w:tcBorders>
          </w:tcPr>
          <w:p>
            <w:pPr>
              <w:spacing w:after="0"/>
              <w:rPr>
                <w:sz w:val="18"/>
                <w:szCs w:val="18"/>
                <w:color w:val="auto"/>
              </w:rPr>
            </w:pPr>
          </w:p>
        </w:tc>
        <w:tc>
          <w:tcPr>
            <w:tcW w:w="3500" w:type="dxa"/>
            <w:vAlign w:val="bottom"/>
            <w:tcBorders>
              <w:right w:val="single" w:sz="8" w:color="95B3D7"/>
            </w:tcBorders>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6"/>
                <w:szCs w:val="16"/>
                <w:color w:val="auto"/>
              </w:rPr>
              <w:t>following annual corporate metrics:</w:t>
            </w:r>
          </w:p>
        </w:tc>
        <w:tc>
          <w:tcPr>
            <w:tcW w:w="0" w:type="dxa"/>
            <w:vAlign w:val="bottom"/>
          </w:tcPr>
          <w:p>
            <w:pPr>
              <w:spacing w:after="0"/>
              <w:rPr>
                <w:sz w:val="1"/>
                <w:szCs w:val="1"/>
                <w:color w:val="auto"/>
              </w:rPr>
            </w:pPr>
          </w:p>
        </w:tc>
      </w:tr>
      <w:tr>
        <w:trPr>
          <w:trHeight w:val="257"/>
        </w:trPr>
        <w:tc>
          <w:tcPr>
            <w:tcW w:w="1240" w:type="dxa"/>
            <w:vAlign w:val="bottom"/>
            <w:tcBorders>
              <w:right w:val="single" w:sz="8" w:color="95B3D7"/>
            </w:tcBorders>
          </w:tcPr>
          <w:p>
            <w:pPr>
              <w:spacing w:after="0"/>
              <w:rPr>
                <w:sz w:val="22"/>
                <w:szCs w:val="22"/>
                <w:color w:val="auto"/>
              </w:rPr>
            </w:pPr>
          </w:p>
        </w:tc>
        <w:tc>
          <w:tcPr>
            <w:tcW w:w="1780" w:type="dxa"/>
            <w:vAlign w:val="bottom"/>
            <w:tcBorders>
              <w:right w:val="single" w:sz="8" w:color="95B3D7"/>
            </w:tcBorders>
          </w:tcPr>
          <w:p>
            <w:pPr>
              <w:spacing w:after="0"/>
              <w:rPr>
                <w:sz w:val="22"/>
                <w:szCs w:val="22"/>
                <w:color w:val="auto"/>
              </w:rPr>
            </w:pPr>
          </w:p>
        </w:tc>
        <w:tc>
          <w:tcPr>
            <w:tcW w:w="3500" w:type="dxa"/>
            <w:vAlign w:val="bottom"/>
            <w:tcBorders>
              <w:right w:val="single" w:sz="8" w:color="95B3D7"/>
            </w:tcBorders>
          </w:tcPr>
          <w:p>
            <w:pPr>
              <w:spacing w:after="0"/>
              <w:rPr>
                <w:sz w:val="22"/>
                <w:szCs w:val="22"/>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w w:val="73"/>
              </w:rPr>
              <w:t>o </w:t>
            </w:r>
          </w:p>
        </w:tc>
        <w:tc>
          <w:tcPr>
            <w:tcW w:w="3900" w:type="dxa"/>
            <w:vAlign w:val="bottom"/>
          </w:tcPr>
          <w:p>
            <w:pPr>
              <w:ind w:left="60"/>
              <w:spacing w:after="0"/>
              <w:rPr>
                <w:sz w:val="20"/>
                <w:szCs w:val="20"/>
                <w:color w:val="auto"/>
              </w:rPr>
            </w:pPr>
            <w:r>
              <w:rPr>
                <w:rFonts w:ascii="Arial" w:cs="Arial" w:eastAsia="Arial" w:hAnsi="Arial"/>
                <w:sz w:val="16"/>
                <w:szCs w:val="16"/>
                <w:color w:val="auto"/>
              </w:rPr>
              <w:t>  Health Plan membership</w:t>
            </w:r>
          </w:p>
        </w:tc>
        <w:tc>
          <w:tcPr>
            <w:tcW w:w="0" w:type="dxa"/>
            <w:vAlign w:val="bottom"/>
          </w:tcPr>
          <w:p>
            <w:pPr>
              <w:spacing w:after="0"/>
              <w:rPr>
                <w:sz w:val="1"/>
                <w:szCs w:val="1"/>
                <w:color w:val="auto"/>
              </w:rPr>
            </w:pPr>
          </w:p>
        </w:tc>
      </w:tr>
      <w:tr>
        <w:trPr>
          <w:trHeight w:val="257"/>
        </w:trPr>
        <w:tc>
          <w:tcPr>
            <w:tcW w:w="1240" w:type="dxa"/>
            <w:vAlign w:val="bottom"/>
            <w:tcBorders>
              <w:right w:val="single" w:sz="8" w:color="95B3D7"/>
            </w:tcBorders>
          </w:tcPr>
          <w:p>
            <w:pPr>
              <w:spacing w:after="0"/>
              <w:rPr>
                <w:sz w:val="22"/>
                <w:szCs w:val="22"/>
                <w:color w:val="auto"/>
              </w:rPr>
            </w:pPr>
          </w:p>
        </w:tc>
        <w:tc>
          <w:tcPr>
            <w:tcW w:w="1780" w:type="dxa"/>
            <w:vAlign w:val="bottom"/>
            <w:tcBorders>
              <w:right w:val="single" w:sz="8" w:color="95B3D7"/>
            </w:tcBorders>
          </w:tcPr>
          <w:p>
            <w:pPr>
              <w:spacing w:after="0"/>
              <w:rPr>
                <w:sz w:val="22"/>
                <w:szCs w:val="22"/>
                <w:color w:val="auto"/>
              </w:rPr>
            </w:pPr>
          </w:p>
        </w:tc>
        <w:tc>
          <w:tcPr>
            <w:tcW w:w="3500" w:type="dxa"/>
            <w:vAlign w:val="bottom"/>
            <w:tcBorders>
              <w:right w:val="single" w:sz="8" w:color="95B3D7"/>
            </w:tcBorders>
          </w:tcPr>
          <w:p>
            <w:pPr>
              <w:spacing w:after="0"/>
              <w:rPr>
                <w:sz w:val="22"/>
                <w:szCs w:val="22"/>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w w:val="73"/>
              </w:rPr>
              <w:t>o </w:t>
            </w:r>
          </w:p>
        </w:tc>
        <w:tc>
          <w:tcPr>
            <w:tcW w:w="3900" w:type="dxa"/>
            <w:vAlign w:val="bottom"/>
          </w:tcPr>
          <w:p>
            <w:pPr>
              <w:ind w:left="60"/>
              <w:spacing w:after="0"/>
              <w:rPr>
                <w:sz w:val="20"/>
                <w:szCs w:val="20"/>
                <w:color w:val="auto"/>
              </w:rPr>
            </w:pPr>
            <w:r>
              <w:rPr>
                <w:rFonts w:ascii="Arial" w:cs="Arial" w:eastAsia="Arial" w:hAnsi="Arial"/>
                <w:sz w:val="16"/>
                <w:szCs w:val="16"/>
                <w:color w:val="auto"/>
              </w:rPr>
              <w:t>  Adjusted gross profit</w:t>
            </w:r>
          </w:p>
        </w:tc>
        <w:tc>
          <w:tcPr>
            <w:tcW w:w="0" w:type="dxa"/>
            <w:vAlign w:val="bottom"/>
          </w:tcPr>
          <w:p>
            <w:pPr>
              <w:spacing w:after="0"/>
              <w:rPr>
                <w:sz w:val="1"/>
                <w:szCs w:val="1"/>
                <w:color w:val="auto"/>
              </w:rPr>
            </w:pPr>
          </w:p>
        </w:tc>
      </w:tr>
      <w:tr>
        <w:trPr>
          <w:trHeight w:val="257"/>
        </w:trPr>
        <w:tc>
          <w:tcPr>
            <w:tcW w:w="1240" w:type="dxa"/>
            <w:vAlign w:val="bottom"/>
            <w:tcBorders>
              <w:right w:val="single" w:sz="8" w:color="95B3D7"/>
            </w:tcBorders>
          </w:tcPr>
          <w:p>
            <w:pPr>
              <w:spacing w:after="0"/>
              <w:rPr>
                <w:sz w:val="22"/>
                <w:szCs w:val="22"/>
                <w:color w:val="auto"/>
              </w:rPr>
            </w:pPr>
          </w:p>
        </w:tc>
        <w:tc>
          <w:tcPr>
            <w:tcW w:w="1780" w:type="dxa"/>
            <w:vAlign w:val="bottom"/>
            <w:tcBorders>
              <w:right w:val="single" w:sz="8" w:color="95B3D7"/>
            </w:tcBorders>
          </w:tcPr>
          <w:p>
            <w:pPr>
              <w:spacing w:after="0"/>
              <w:rPr>
                <w:sz w:val="22"/>
                <w:szCs w:val="22"/>
                <w:color w:val="auto"/>
              </w:rPr>
            </w:pPr>
          </w:p>
        </w:tc>
        <w:tc>
          <w:tcPr>
            <w:tcW w:w="3500" w:type="dxa"/>
            <w:vAlign w:val="bottom"/>
            <w:tcBorders>
              <w:right w:val="single" w:sz="8" w:color="95B3D7"/>
            </w:tcBorders>
          </w:tcPr>
          <w:p>
            <w:pPr>
              <w:spacing w:after="0"/>
              <w:rPr>
                <w:sz w:val="22"/>
                <w:szCs w:val="22"/>
                <w:color w:val="auto"/>
              </w:rPr>
            </w:pPr>
          </w:p>
        </w:tc>
        <w:tc>
          <w:tcPr>
            <w:tcW w:w="600" w:type="dxa"/>
            <w:vAlign w:val="bottom"/>
          </w:tcPr>
          <w:p>
            <w:pPr>
              <w:ind w:left="420"/>
              <w:spacing w:after="0"/>
              <w:rPr>
                <w:sz w:val="20"/>
                <w:szCs w:val="20"/>
                <w:color w:val="auto"/>
              </w:rPr>
            </w:pPr>
            <w:r>
              <w:rPr>
                <w:rFonts w:ascii="Arial" w:cs="Arial" w:eastAsia="Arial" w:hAnsi="Arial"/>
                <w:sz w:val="14"/>
                <w:szCs w:val="14"/>
                <w:color w:val="auto"/>
                <w:w w:val="73"/>
              </w:rPr>
              <w:t>o </w:t>
            </w:r>
          </w:p>
        </w:tc>
        <w:tc>
          <w:tcPr>
            <w:tcW w:w="3900" w:type="dxa"/>
            <w:vAlign w:val="bottom"/>
          </w:tcPr>
          <w:p>
            <w:pPr>
              <w:ind w:left="60"/>
              <w:spacing w:after="0"/>
              <w:rPr>
                <w:sz w:val="20"/>
                <w:szCs w:val="20"/>
                <w:color w:val="auto"/>
              </w:rPr>
            </w:pPr>
            <w:r>
              <w:rPr>
                <w:rFonts w:ascii="Arial" w:cs="Arial" w:eastAsia="Arial" w:hAnsi="Arial"/>
                <w:sz w:val="16"/>
                <w:szCs w:val="16"/>
                <w:color w:val="auto"/>
              </w:rPr>
              <w:t>  Adjusted EBITDA</w:t>
            </w:r>
          </w:p>
        </w:tc>
        <w:tc>
          <w:tcPr>
            <w:tcW w:w="0" w:type="dxa"/>
            <w:vAlign w:val="bottom"/>
          </w:tcPr>
          <w:p>
            <w:pPr>
              <w:spacing w:after="0"/>
              <w:rPr>
                <w:sz w:val="1"/>
                <w:szCs w:val="1"/>
                <w:color w:val="auto"/>
              </w:rPr>
            </w:pPr>
          </w:p>
        </w:tc>
      </w:tr>
      <w:tr>
        <w:trPr>
          <w:trHeight w:val="244"/>
        </w:trPr>
        <w:tc>
          <w:tcPr>
            <w:tcW w:w="1240" w:type="dxa"/>
            <w:vAlign w:val="bottom"/>
            <w:tcBorders>
              <w:right w:val="single" w:sz="8" w:color="95B3D7"/>
            </w:tcBorders>
          </w:tcPr>
          <w:p>
            <w:pPr>
              <w:spacing w:after="0"/>
              <w:rPr>
                <w:sz w:val="21"/>
                <w:szCs w:val="21"/>
                <w:color w:val="auto"/>
              </w:rPr>
            </w:pPr>
          </w:p>
        </w:tc>
        <w:tc>
          <w:tcPr>
            <w:tcW w:w="1780" w:type="dxa"/>
            <w:vAlign w:val="bottom"/>
            <w:tcBorders>
              <w:right w:val="single" w:sz="8" w:color="95B3D7"/>
            </w:tcBorders>
          </w:tcPr>
          <w:p>
            <w:pPr>
              <w:spacing w:after="0"/>
              <w:rPr>
                <w:sz w:val="21"/>
                <w:szCs w:val="21"/>
                <w:color w:val="auto"/>
              </w:rPr>
            </w:pPr>
          </w:p>
        </w:tc>
        <w:tc>
          <w:tcPr>
            <w:tcW w:w="3500" w:type="dxa"/>
            <w:vAlign w:val="bottom"/>
            <w:tcBorders>
              <w:right w:val="single" w:sz="8" w:color="95B3D7"/>
            </w:tcBorders>
          </w:tcPr>
          <w:p>
            <w:pPr>
              <w:spacing w:after="0"/>
              <w:rPr>
                <w:sz w:val="21"/>
                <w:szCs w:val="21"/>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25% of actual awards based on achievement of</w:t>
            </w:r>
          </w:p>
        </w:tc>
        <w:tc>
          <w:tcPr>
            <w:tcW w:w="0" w:type="dxa"/>
            <w:vAlign w:val="bottom"/>
          </w:tcPr>
          <w:p>
            <w:pPr>
              <w:spacing w:after="0"/>
              <w:rPr>
                <w:sz w:val="1"/>
                <w:szCs w:val="1"/>
                <w:color w:val="auto"/>
              </w:rPr>
            </w:pPr>
          </w:p>
        </w:tc>
      </w:tr>
      <w:tr>
        <w:trPr>
          <w:trHeight w:val="189"/>
        </w:trPr>
        <w:tc>
          <w:tcPr>
            <w:tcW w:w="1240" w:type="dxa"/>
            <w:vAlign w:val="bottom"/>
            <w:tcBorders>
              <w:right w:val="single" w:sz="8" w:color="95B3D7"/>
            </w:tcBorders>
          </w:tcPr>
          <w:p>
            <w:pPr>
              <w:spacing w:after="0"/>
              <w:rPr>
                <w:sz w:val="16"/>
                <w:szCs w:val="16"/>
                <w:color w:val="auto"/>
              </w:rPr>
            </w:pPr>
          </w:p>
        </w:tc>
        <w:tc>
          <w:tcPr>
            <w:tcW w:w="1780" w:type="dxa"/>
            <w:vAlign w:val="bottom"/>
            <w:tcBorders>
              <w:right w:val="single" w:sz="8" w:color="95B3D7"/>
            </w:tcBorders>
          </w:tcPr>
          <w:p>
            <w:pPr>
              <w:spacing w:after="0"/>
              <w:rPr>
                <w:sz w:val="16"/>
                <w:szCs w:val="16"/>
                <w:color w:val="auto"/>
              </w:rPr>
            </w:pPr>
          </w:p>
        </w:tc>
        <w:tc>
          <w:tcPr>
            <w:tcW w:w="3500" w:type="dxa"/>
            <w:vAlign w:val="bottom"/>
            <w:tcBorders>
              <w:right w:val="single" w:sz="8" w:color="95B3D7"/>
            </w:tcBorders>
          </w:tcPr>
          <w:p>
            <w:pPr>
              <w:spacing w:after="0"/>
              <w:rPr>
                <w:sz w:val="16"/>
                <w:szCs w:val="16"/>
                <w:color w:val="auto"/>
              </w:rPr>
            </w:pPr>
          </w:p>
        </w:tc>
        <w:tc>
          <w:tcPr>
            <w:tcW w:w="4500" w:type="dxa"/>
            <w:vAlign w:val="bottom"/>
            <w:gridSpan w:val="2"/>
          </w:tcPr>
          <w:p>
            <w:pPr>
              <w:ind w:left="420"/>
              <w:spacing w:after="0"/>
              <w:rPr>
                <w:sz w:val="20"/>
                <w:szCs w:val="20"/>
                <w:color w:val="auto"/>
              </w:rPr>
            </w:pPr>
            <w:r>
              <w:rPr>
                <w:rFonts w:ascii="Arial" w:cs="Arial" w:eastAsia="Arial" w:hAnsi="Arial"/>
                <w:sz w:val="16"/>
                <w:szCs w:val="16"/>
                <w:color w:val="auto"/>
              </w:rPr>
              <w:t>individual and/or departmental goals (other than the</w:t>
            </w:r>
          </w:p>
        </w:tc>
        <w:tc>
          <w:tcPr>
            <w:tcW w:w="0" w:type="dxa"/>
            <w:vAlign w:val="bottom"/>
          </w:tcPr>
          <w:p>
            <w:pPr>
              <w:spacing w:after="0"/>
              <w:rPr>
                <w:sz w:val="1"/>
                <w:szCs w:val="1"/>
                <w:color w:val="auto"/>
              </w:rPr>
            </w:pPr>
          </w:p>
        </w:tc>
      </w:tr>
      <w:tr>
        <w:trPr>
          <w:trHeight w:val="215"/>
        </w:trPr>
        <w:tc>
          <w:tcPr>
            <w:tcW w:w="1240" w:type="dxa"/>
            <w:vAlign w:val="bottom"/>
            <w:tcBorders>
              <w:right w:val="single" w:sz="8" w:color="95B3D7"/>
            </w:tcBorders>
          </w:tcPr>
          <w:p>
            <w:pPr>
              <w:spacing w:after="0"/>
              <w:rPr>
                <w:sz w:val="18"/>
                <w:szCs w:val="18"/>
                <w:color w:val="auto"/>
              </w:rPr>
            </w:pPr>
          </w:p>
        </w:tc>
        <w:tc>
          <w:tcPr>
            <w:tcW w:w="1780" w:type="dxa"/>
            <w:vAlign w:val="bottom"/>
            <w:tcBorders>
              <w:right w:val="single" w:sz="8" w:color="95B3D7"/>
            </w:tcBorders>
          </w:tcPr>
          <w:p>
            <w:pPr>
              <w:spacing w:after="0"/>
              <w:rPr>
                <w:sz w:val="18"/>
                <w:szCs w:val="18"/>
                <w:color w:val="auto"/>
              </w:rPr>
            </w:pPr>
          </w:p>
        </w:tc>
        <w:tc>
          <w:tcPr>
            <w:tcW w:w="3500" w:type="dxa"/>
            <w:vAlign w:val="bottom"/>
            <w:tcBorders>
              <w:right w:val="single" w:sz="8" w:color="95B3D7"/>
            </w:tcBorders>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6"/>
                <w:szCs w:val="16"/>
                <w:color w:val="auto"/>
              </w:rPr>
              <w:t>CEO)</w:t>
            </w:r>
          </w:p>
        </w:tc>
        <w:tc>
          <w:tcPr>
            <w:tcW w:w="0" w:type="dxa"/>
            <w:vAlign w:val="bottom"/>
          </w:tcPr>
          <w:p>
            <w:pPr>
              <w:spacing w:after="0"/>
              <w:rPr>
                <w:sz w:val="1"/>
                <w:szCs w:val="1"/>
                <w:color w:val="auto"/>
              </w:rPr>
            </w:pPr>
          </w:p>
        </w:tc>
      </w:tr>
      <w:tr>
        <w:trPr>
          <w:trHeight w:val="244"/>
        </w:trPr>
        <w:tc>
          <w:tcPr>
            <w:tcW w:w="1240" w:type="dxa"/>
            <w:vAlign w:val="bottom"/>
            <w:tcBorders>
              <w:right w:val="single" w:sz="8" w:color="95B3D7"/>
            </w:tcBorders>
          </w:tcPr>
          <w:p>
            <w:pPr>
              <w:spacing w:after="0"/>
              <w:rPr>
                <w:sz w:val="21"/>
                <w:szCs w:val="21"/>
                <w:color w:val="auto"/>
              </w:rPr>
            </w:pPr>
          </w:p>
        </w:tc>
        <w:tc>
          <w:tcPr>
            <w:tcW w:w="1780" w:type="dxa"/>
            <w:vAlign w:val="bottom"/>
            <w:tcBorders>
              <w:right w:val="single" w:sz="8" w:color="95B3D7"/>
            </w:tcBorders>
          </w:tcPr>
          <w:p>
            <w:pPr>
              <w:spacing w:after="0"/>
              <w:rPr>
                <w:sz w:val="21"/>
                <w:szCs w:val="21"/>
                <w:color w:val="auto"/>
              </w:rPr>
            </w:pPr>
          </w:p>
        </w:tc>
        <w:tc>
          <w:tcPr>
            <w:tcW w:w="3500" w:type="dxa"/>
            <w:vAlign w:val="bottom"/>
            <w:tcBorders>
              <w:right w:val="single" w:sz="8" w:color="95B3D7"/>
            </w:tcBorders>
          </w:tcPr>
          <w:p>
            <w:pPr>
              <w:spacing w:after="0"/>
              <w:rPr>
                <w:sz w:val="21"/>
                <w:szCs w:val="21"/>
                <w:color w:val="auto"/>
              </w:rPr>
            </w:pPr>
          </w:p>
        </w:tc>
        <w:tc>
          <w:tcPr>
            <w:tcW w:w="45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For 2023, awards were subject to a modifier (-25% to</w:t>
            </w:r>
          </w:p>
        </w:tc>
        <w:tc>
          <w:tcPr>
            <w:tcW w:w="0" w:type="dxa"/>
            <w:vAlign w:val="bottom"/>
          </w:tcPr>
          <w:p>
            <w:pPr>
              <w:spacing w:after="0"/>
              <w:rPr>
                <w:sz w:val="1"/>
                <w:szCs w:val="1"/>
                <w:color w:val="auto"/>
              </w:rPr>
            </w:pPr>
          </w:p>
        </w:tc>
      </w:tr>
      <w:tr>
        <w:trPr>
          <w:trHeight w:val="189"/>
        </w:trPr>
        <w:tc>
          <w:tcPr>
            <w:tcW w:w="1240" w:type="dxa"/>
            <w:vAlign w:val="bottom"/>
            <w:tcBorders>
              <w:right w:val="single" w:sz="8" w:color="95B3D7"/>
            </w:tcBorders>
          </w:tcPr>
          <w:p>
            <w:pPr>
              <w:spacing w:after="0"/>
              <w:rPr>
                <w:sz w:val="16"/>
                <w:szCs w:val="16"/>
                <w:color w:val="auto"/>
              </w:rPr>
            </w:pPr>
          </w:p>
        </w:tc>
        <w:tc>
          <w:tcPr>
            <w:tcW w:w="1780" w:type="dxa"/>
            <w:vAlign w:val="bottom"/>
            <w:tcBorders>
              <w:right w:val="single" w:sz="8" w:color="95B3D7"/>
            </w:tcBorders>
          </w:tcPr>
          <w:p>
            <w:pPr>
              <w:spacing w:after="0"/>
              <w:rPr>
                <w:sz w:val="16"/>
                <w:szCs w:val="16"/>
                <w:color w:val="auto"/>
              </w:rPr>
            </w:pPr>
          </w:p>
        </w:tc>
        <w:tc>
          <w:tcPr>
            <w:tcW w:w="3500" w:type="dxa"/>
            <w:vAlign w:val="bottom"/>
            <w:tcBorders>
              <w:right w:val="single" w:sz="8" w:color="95B3D7"/>
            </w:tcBorders>
          </w:tcPr>
          <w:p>
            <w:pPr>
              <w:spacing w:after="0"/>
              <w:rPr>
                <w:sz w:val="16"/>
                <w:szCs w:val="16"/>
                <w:color w:val="auto"/>
              </w:rPr>
            </w:pPr>
          </w:p>
        </w:tc>
        <w:tc>
          <w:tcPr>
            <w:tcW w:w="4500" w:type="dxa"/>
            <w:vAlign w:val="bottom"/>
            <w:gridSpan w:val="2"/>
          </w:tcPr>
          <w:p>
            <w:pPr>
              <w:ind w:left="420"/>
              <w:spacing w:after="0"/>
              <w:rPr>
                <w:sz w:val="20"/>
                <w:szCs w:val="20"/>
                <w:color w:val="auto"/>
              </w:rPr>
            </w:pPr>
            <w:r>
              <w:rPr>
                <w:rFonts w:ascii="Arial" w:cs="Arial" w:eastAsia="Arial" w:hAnsi="Arial"/>
                <w:sz w:val="16"/>
                <w:szCs w:val="16"/>
                <w:color w:val="auto"/>
              </w:rPr>
              <w:t>+50%) based on the Company’s CMS Star Ratings, with</w:t>
            </w:r>
          </w:p>
        </w:tc>
        <w:tc>
          <w:tcPr>
            <w:tcW w:w="0" w:type="dxa"/>
            <w:vAlign w:val="bottom"/>
          </w:tcPr>
          <w:p>
            <w:pPr>
              <w:spacing w:after="0"/>
              <w:rPr>
                <w:sz w:val="1"/>
                <w:szCs w:val="1"/>
                <w:color w:val="auto"/>
              </w:rPr>
            </w:pPr>
          </w:p>
        </w:tc>
      </w:tr>
      <w:tr>
        <w:trPr>
          <w:trHeight w:val="189"/>
        </w:trPr>
        <w:tc>
          <w:tcPr>
            <w:tcW w:w="1240" w:type="dxa"/>
            <w:vAlign w:val="bottom"/>
            <w:tcBorders>
              <w:right w:val="single" w:sz="8" w:color="95B3D7"/>
            </w:tcBorders>
          </w:tcPr>
          <w:p>
            <w:pPr>
              <w:spacing w:after="0"/>
              <w:rPr>
                <w:sz w:val="16"/>
                <w:szCs w:val="16"/>
                <w:color w:val="auto"/>
              </w:rPr>
            </w:pPr>
          </w:p>
        </w:tc>
        <w:tc>
          <w:tcPr>
            <w:tcW w:w="1780" w:type="dxa"/>
            <w:vAlign w:val="bottom"/>
            <w:tcBorders>
              <w:right w:val="single" w:sz="8" w:color="95B3D7"/>
            </w:tcBorders>
          </w:tcPr>
          <w:p>
            <w:pPr>
              <w:spacing w:after="0"/>
              <w:rPr>
                <w:sz w:val="16"/>
                <w:szCs w:val="16"/>
                <w:color w:val="auto"/>
              </w:rPr>
            </w:pPr>
          </w:p>
        </w:tc>
        <w:tc>
          <w:tcPr>
            <w:tcW w:w="3500" w:type="dxa"/>
            <w:vAlign w:val="bottom"/>
            <w:tcBorders>
              <w:right w:val="single" w:sz="8" w:color="95B3D7"/>
            </w:tcBorders>
          </w:tcPr>
          <w:p>
            <w:pPr>
              <w:spacing w:after="0"/>
              <w:rPr>
                <w:sz w:val="16"/>
                <w:szCs w:val="16"/>
                <w:color w:val="auto"/>
              </w:rPr>
            </w:pPr>
          </w:p>
        </w:tc>
        <w:tc>
          <w:tcPr>
            <w:tcW w:w="4500" w:type="dxa"/>
            <w:vAlign w:val="bottom"/>
            <w:gridSpan w:val="2"/>
          </w:tcPr>
          <w:p>
            <w:pPr>
              <w:ind w:left="420"/>
              <w:spacing w:after="0"/>
              <w:rPr>
                <w:sz w:val="20"/>
                <w:szCs w:val="20"/>
                <w:color w:val="auto"/>
              </w:rPr>
            </w:pPr>
            <w:r>
              <w:rPr>
                <w:rFonts w:ascii="Arial" w:cs="Arial" w:eastAsia="Arial" w:hAnsi="Arial"/>
                <w:sz w:val="16"/>
                <w:szCs w:val="16"/>
                <w:color w:val="auto"/>
              </w:rPr>
              <w:t>potential payouts ranging from 0% to 200% of target</w:t>
            </w:r>
          </w:p>
        </w:tc>
        <w:tc>
          <w:tcPr>
            <w:tcW w:w="0" w:type="dxa"/>
            <w:vAlign w:val="bottom"/>
          </w:tcPr>
          <w:p>
            <w:pPr>
              <w:spacing w:after="0"/>
              <w:rPr>
                <w:sz w:val="1"/>
                <w:szCs w:val="1"/>
                <w:color w:val="auto"/>
              </w:rPr>
            </w:pPr>
          </w:p>
        </w:tc>
      </w:tr>
      <w:tr>
        <w:trPr>
          <w:trHeight w:val="215"/>
        </w:trPr>
        <w:tc>
          <w:tcPr>
            <w:tcW w:w="1240" w:type="dxa"/>
            <w:vAlign w:val="bottom"/>
            <w:tcBorders>
              <w:right w:val="single" w:sz="8" w:color="95B3D7"/>
            </w:tcBorders>
          </w:tcPr>
          <w:p>
            <w:pPr>
              <w:spacing w:after="0"/>
              <w:rPr>
                <w:sz w:val="18"/>
                <w:szCs w:val="18"/>
                <w:color w:val="auto"/>
              </w:rPr>
            </w:pPr>
          </w:p>
        </w:tc>
        <w:tc>
          <w:tcPr>
            <w:tcW w:w="1780" w:type="dxa"/>
            <w:vAlign w:val="bottom"/>
            <w:tcBorders>
              <w:right w:val="single" w:sz="8" w:color="95B3D7"/>
            </w:tcBorders>
          </w:tcPr>
          <w:p>
            <w:pPr>
              <w:spacing w:after="0"/>
              <w:rPr>
                <w:sz w:val="18"/>
                <w:szCs w:val="18"/>
                <w:color w:val="auto"/>
              </w:rPr>
            </w:pPr>
          </w:p>
        </w:tc>
        <w:tc>
          <w:tcPr>
            <w:tcW w:w="3500" w:type="dxa"/>
            <w:vAlign w:val="bottom"/>
            <w:tcBorders>
              <w:right w:val="single" w:sz="8" w:color="95B3D7"/>
            </w:tcBorders>
          </w:tcPr>
          <w:p>
            <w:pPr>
              <w:spacing w:after="0"/>
              <w:rPr>
                <w:sz w:val="18"/>
                <w:szCs w:val="18"/>
                <w:color w:val="auto"/>
              </w:rPr>
            </w:pPr>
          </w:p>
        </w:tc>
        <w:tc>
          <w:tcPr>
            <w:tcW w:w="4500" w:type="dxa"/>
            <w:vAlign w:val="bottom"/>
            <w:gridSpan w:val="2"/>
          </w:tcPr>
          <w:p>
            <w:pPr>
              <w:ind w:left="420"/>
              <w:spacing w:after="0"/>
              <w:rPr>
                <w:sz w:val="20"/>
                <w:szCs w:val="20"/>
                <w:color w:val="auto"/>
              </w:rPr>
            </w:pPr>
            <w:r>
              <w:rPr>
                <w:rFonts w:ascii="Arial" w:cs="Arial" w:eastAsia="Arial" w:hAnsi="Arial"/>
                <w:sz w:val="16"/>
                <w:szCs w:val="16"/>
                <w:color w:val="auto"/>
              </w:rPr>
              <w:t>bonus</w:t>
            </w:r>
          </w:p>
        </w:tc>
        <w:tc>
          <w:tcPr>
            <w:tcW w:w="0" w:type="dxa"/>
            <w:vAlign w:val="bottom"/>
          </w:tcPr>
          <w:p>
            <w:pPr>
              <w:spacing w:after="0"/>
              <w:rPr>
                <w:sz w:val="1"/>
                <w:szCs w:val="1"/>
                <w:color w:val="auto"/>
              </w:rPr>
            </w:pPr>
          </w:p>
        </w:tc>
      </w:tr>
      <w:tr>
        <w:trPr>
          <w:trHeight w:val="144"/>
        </w:trPr>
        <w:tc>
          <w:tcPr>
            <w:tcW w:w="1240" w:type="dxa"/>
            <w:vAlign w:val="bottom"/>
            <w:tcBorders>
              <w:bottom w:val="single" w:sz="8" w:color="95B3D7"/>
              <w:right w:val="single" w:sz="8" w:color="95B3D7"/>
            </w:tcBorders>
          </w:tcPr>
          <w:p>
            <w:pPr>
              <w:spacing w:after="0"/>
              <w:rPr>
                <w:sz w:val="12"/>
                <w:szCs w:val="12"/>
                <w:color w:val="auto"/>
              </w:rPr>
            </w:pPr>
          </w:p>
        </w:tc>
        <w:tc>
          <w:tcPr>
            <w:tcW w:w="1780" w:type="dxa"/>
            <w:vAlign w:val="bottom"/>
            <w:tcBorders>
              <w:bottom w:val="single" w:sz="8" w:color="95B3D7"/>
              <w:right w:val="single" w:sz="8" w:color="95B3D7"/>
            </w:tcBorders>
          </w:tcPr>
          <w:p>
            <w:pPr>
              <w:spacing w:after="0"/>
              <w:rPr>
                <w:sz w:val="12"/>
                <w:szCs w:val="12"/>
                <w:color w:val="auto"/>
              </w:rPr>
            </w:pPr>
          </w:p>
        </w:tc>
        <w:tc>
          <w:tcPr>
            <w:tcW w:w="3500" w:type="dxa"/>
            <w:vAlign w:val="bottom"/>
            <w:tcBorders>
              <w:bottom w:val="single" w:sz="8" w:color="95B3D7"/>
              <w:right w:val="single" w:sz="8" w:color="95B3D7"/>
            </w:tcBorders>
          </w:tcPr>
          <w:p>
            <w:pPr>
              <w:spacing w:after="0"/>
              <w:rPr>
                <w:sz w:val="12"/>
                <w:szCs w:val="12"/>
                <w:color w:val="auto"/>
              </w:rPr>
            </w:pPr>
          </w:p>
        </w:tc>
        <w:tc>
          <w:tcPr>
            <w:tcW w:w="4500" w:type="dxa"/>
            <w:vAlign w:val="bottom"/>
            <w:tcBorders>
              <w:bottom w:val="single" w:sz="8" w:color="95B3D7"/>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240" w:type="dxa"/>
            <w:vAlign w:val="bottom"/>
            <w:tcBorders>
              <w:right w:val="single" w:sz="8" w:color="95B3D7"/>
            </w:tcBorders>
            <w:shd w:val="clear" w:color="auto" w:fill="DBE5F1"/>
          </w:tcPr>
          <w:p>
            <w:pPr>
              <w:spacing w:after="0" w:line="175" w:lineRule="exact"/>
              <w:rPr>
                <w:sz w:val="20"/>
                <w:szCs w:val="20"/>
                <w:color w:val="auto"/>
              </w:rPr>
            </w:pPr>
            <w:r>
              <w:rPr>
                <w:rFonts w:ascii="Arial" w:cs="Arial" w:eastAsia="Arial" w:hAnsi="Arial"/>
                <w:sz w:val="16"/>
                <w:szCs w:val="16"/>
                <w:b w:val="1"/>
                <w:bCs w:val="1"/>
                <w:color w:val="auto"/>
              </w:rPr>
              <w:t>  Long-</w:t>
            </w:r>
          </w:p>
        </w:tc>
        <w:tc>
          <w:tcPr>
            <w:tcW w:w="1780" w:type="dxa"/>
            <w:vAlign w:val="bottom"/>
            <w:tcBorders>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color w:val="auto"/>
                <w:w w:val="95"/>
              </w:rPr>
              <w:t>Target</w:t>
            </w:r>
          </w:p>
        </w:tc>
        <w:tc>
          <w:tcPr>
            <w:tcW w:w="3500" w:type="dxa"/>
            <w:vAlign w:val="bottom"/>
            <w:tcBorders>
              <w:right w:val="single" w:sz="8" w:color="95B3D7"/>
            </w:tcBorders>
            <w:shd w:val="clear" w:color="auto" w:fill="DBE5F1"/>
          </w:tcPr>
          <w:p>
            <w:pPr>
              <w:ind w:left="80"/>
              <w:spacing w:after="0" w:line="175"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Align executives’ interests with those of</w:t>
            </w:r>
          </w:p>
        </w:tc>
        <w:tc>
          <w:tcPr>
            <w:tcW w:w="4500" w:type="dxa"/>
            <w:vAlign w:val="bottom"/>
            <w:gridSpan w:val="2"/>
            <w:shd w:val="clear" w:color="auto" w:fill="DBE5F1"/>
          </w:tcPr>
          <w:p>
            <w:pPr>
              <w:ind w:left="100"/>
              <w:spacing w:after="0" w:line="175" w:lineRule="exact"/>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Awards based on competitive marketplace, current value</w:t>
            </w:r>
          </w:p>
        </w:tc>
        <w:tc>
          <w:tcPr>
            <w:tcW w:w="0" w:type="dxa"/>
            <w:vAlign w:val="bottom"/>
          </w:tcPr>
          <w:p>
            <w:pPr>
              <w:spacing w:after="0"/>
              <w:rPr>
                <w:sz w:val="1"/>
                <w:szCs w:val="1"/>
                <w:color w:val="auto"/>
              </w:rPr>
            </w:pPr>
          </w:p>
        </w:tc>
      </w:tr>
      <w:tr>
        <w:trPr>
          <w:trHeight w:val="189"/>
        </w:trPr>
        <w:tc>
          <w:tcPr>
            <w:tcW w:w="124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6"/>
                <w:szCs w:val="16"/>
                <w:b w:val="1"/>
                <w:bCs w:val="1"/>
                <w:color w:val="auto"/>
              </w:rPr>
              <w:t>  Term</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w w:val="99"/>
              </w:rPr>
              <w:t>between</w:t>
            </w:r>
          </w:p>
        </w:tc>
        <w:tc>
          <w:tcPr>
            <w:tcW w:w="3500" w:type="dxa"/>
            <w:vAlign w:val="bottom"/>
            <w:tcBorders>
              <w:right w:val="single" w:sz="8" w:color="95B3D7"/>
            </w:tcBorders>
            <w:shd w:val="clear" w:color="auto" w:fill="DBE5F1"/>
          </w:tcPr>
          <w:p>
            <w:pPr>
              <w:ind w:left="400"/>
              <w:spacing w:after="0"/>
              <w:rPr>
                <w:sz w:val="20"/>
                <w:szCs w:val="20"/>
                <w:color w:val="auto"/>
              </w:rPr>
            </w:pPr>
            <w:r>
              <w:rPr>
                <w:rFonts w:ascii="Arial" w:cs="Arial" w:eastAsia="Arial" w:hAnsi="Arial"/>
                <w:sz w:val="16"/>
                <w:szCs w:val="16"/>
                <w:color w:val="auto"/>
              </w:rPr>
              <w:t>stockholders</w:t>
            </w:r>
          </w:p>
        </w:tc>
        <w:tc>
          <w:tcPr>
            <w:tcW w:w="4500" w:type="dxa"/>
            <w:vAlign w:val="bottom"/>
            <w:gridSpan w:val="2"/>
            <w:shd w:val="clear" w:color="auto" w:fill="DBE5F1"/>
          </w:tcPr>
          <w:p>
            <w:pPr>
              <w:ind w:left="420"/>
              <w:spacing w:after="0"/>
              <w:rPr>
                <w:sz w:val="20"/>
                <w:szCs w:val="20"/>
                <w:color w:val="auto"/>
              </w:rPr>
            </w:pPr>
            <w:r>
              <w:rPr>
                <w:rFonts w:ascii="Arial" w:cs="Arial" w:eastAsia="Arial" w:hAnsi="Arial"/>
                <w:sz w:val="16"/>
                <w:szCs w:val="16"/>
                <w:color w:val="auto"/>
              </w:rPr>
              <w:t>of unvested equity holdings, level of position, skills and</w:t>
            </w:r>
          </w:p>
        </w:tc>
        <w:tc>
          <w:tcPr>
            <w:tcW w:w="0" w:type="dxa"/>
            <w:vAlign w:val="bottom"/>
          </w:tcPr>
          <w:p>
            <w:pPr>
              <w:spacing w:after="0"/>
              <w:rPr>
                <w:sz w:val="1"/>
                <w:szCs w:val="1"/>
                <w:color w:val="auto"/>
              </w:rPr>
            </w:pPr>
          </w:p>
        </w:tc>
      </w:tr>
      <w:tr>
        <w:trPr>
          <w:trHeight w:val="189"/>
        </w:trPr>
        <w:tc>
          <w:tcPr>
            <w:tcW w:w="1240" w:type="dxa"/>
            <w:vAlign w:val="bottom"/>
            <w:tcBorders>
              <w:right w:val="single" w:sz="8" w:color="95B3D7"/>
            </w:tcBorders>
            <w:shd w:val="clear" w:color="auto" w:fill="DBE5F1"/>
          </w:tcPr>
          <w:p>
            <w:pPr>
              <w:spacing w:after="0"/>
              <w:rPr>
                <w:sz w:val="20"/>
                <w:szCs w:val="20"/>
                <w:color w:val="auto"/>
              </w:rPr>
            </w:pPr>
            <w:r>
              <w:rPr>
                <w:rFonts w:ascii="Arial" w:cs="Arial" w:eastAsia="Arial" w:hAnsi="Arial"/>
                <w:sz w:val="16"/>
                <w:szCs w:val="16"/>
                <w:b w:val="1"/>
                <w:bCs w:val="1"/>
                <w:color w:val="auto"/>
              </w:rPr>
              <w:t>  Equity</w:t>
            </w:r>
          </w:p>
        </w:tc>
        <w:tc>
          <w:tcPr>
            <w:tcW w:w="1780" w:type="dxa"/>
            <w:vAlign w:val="bottom"/>
            <w:tcBorders>
              <w:right w:val="single" w:sz="8" w:color="95B3D7"/>
            </w:tcBorders>
            <w:shd w:val="clear" w:color="auto" w:fill="DBE5F1"/>
          </w:tcPr>
          <w:p>
            <w:pPr>
              <w:jc w:val="center"/>
              <w:spacing w:after="0"/>
              <w:rPr>
                <w:sz w:val="20"/>
                <w:szCs w:val="20"/>
                <w:color w:val="auto"/>
              </w:rPr>
            </w:pPr>
            <w:r>
              <w:rPr>
                <w:rFonts w:ascii="Arial" w:cs="Arial" w:eastAsia="Arial" w:hAnsi="Arial"/>
                <w:sz w:val="16"/>
                <w:szCs w:val="16"/>
                <w:color w:val="auto"/>
              </w:rPr>
              <w:t>50th - 75th</w:t>
            </w:r>
          </w:p>
        </w:tc>
        <w:tc>
          <w:tcPr>
            <w:tcW w:w="3500" w:type="dxa"/>
            <w:vAlign w:val="bottom"/>
            <w:tcBorders>
              <w:right w:val="single" w:sz="8" w:color="95B3D7"/>
            </w:tcBorders>
            <w:vMerge w:val="restart"/>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Align with long-term business strategy</w:t>
            </w:r>
          </w:p>
        </w:tc>
        <w:tc>
          <w:tcPr>
            <w:tcW w:w="4500" w:type="dxa"/>
            <w:vAlign w:val="bottom"/>
            <w:gridSpan w:val="2"/>
            <w:shd w:val="clear" w:color="auto" w:fill="DBE5F1"/>
          </w:tcPr>
          <w:p>
            <w:pPr>
              <w:ind w:left="420"/>
              <w:spacing w:after="0"/>
              <w:rPr>
                <w:sz w:val="20"/>
                <w:szCs w:val="20"/>
                <w:color w:val="auto"/>
              </w:rPr>
            </w:pPr>
            <w:r>
              <w:rPr>
                <w:rFonts w:ascii="Arial" w:cs="Arial" w:eastAsia="Arial" w:hAnsi="Arial"/>
                <w:sz w:val="16"/>
                <w:szCs w:val="16"/>
                <w:color w:val="auto"/>
              </w:rPr>
              <w:t>performance of the executive</w:t>
            </w:r>
          </w:p>
        </w:tc>
        <w:tc>
          <w:tcPr>
            <w:tcW w:w="0" w:type="dxa"/>
            <w:vAlign w:val="bottom"/>
          </w:tcPr>
          <w:p>
            <w:pPr>
              <w:spacing w:after="0"/>
              <w:rPr>
                <w:sz w:val="1"/>
                <w:szCs w:val="1"/>
                <w:color w:val="auto"/>
              </w:rPr>
            </w:pPr>
          </w:p>
        </w:tc>
      </w:tr>
      <w:tr>
        <w:trPr>
          <w:trHeight w:val="107"/>
        </w:trPr>
        <w:tc>
          <w:tcPr>
            <w:tcW w:w="1240" w:type="dxa"/>
            <w:vAlign w:val="bottom"/>
            <w:tcBorders>
              <w:right w:val="single" w:sz="8" w:color="95B3D7"/>
            </w:tcBorders>
            <w:vMerge w:val="restart"/>
            <w:shd w:val="clear" w:color="auto" w:fill="DBE5F1"/>
          </w:tcPr>
          <w:p>
            <w:pPr>
              <w:spacing w:after="0"/>
              <w:rPr>
                <w:sz w:val="20"/>
                <w:szCs w:val="20"/>
                <w:color w:val="auto"/>
              </w:rPr>
            </w:pPr>
            <w:r>
              <w:rPr>
                <w:rFonts w:ascii="Arial" w:cs="Arial" w:eastAsia="Arial" w:hAnsi="Arial"/>
                <w:sz w:val="16"/>
                <w:szCs w:val="16"/>
                <w:b w:val="1"/>
                <w:bCs w:val="1"/>
                <w:color w:val="auto"/>
              </w:rPr>
              <w:t>  Incentives</w:t>
            </w:r>
          </w:p>
        </w:tc>
        <w:tc>
          <w:tcPr>
            <w:tcW w:w="1780" w:type="dxa"/>
            <w:vAlign w:val="bottom"/>
            <w:tcBorders>
              <w:right w:val="single" w:sz="8" w:color="95B3D7"/>
            </w:tcBorders>
            <w:vMerge w:val="restart"/>
            <w:shd w:val="clear" w:color="auto" w:fill="DBE5F1"/>
          </w:tcPr>
          <w:p>
            <w:pPr>
              <w:jc w:val="center"/>
              <w:spacing w:after="0"/>
              <w:rPr>
                <w:sz w:val="20"/>
                <w:szCs w:val="20"/>
                <w:color w:val="auto"/>
              </w:rPr>
            </w:pPr>
            <w:r>
              <w:rPr>
                <w:rFonts w:ascii="Arial" w:cs="Arial" w:eastAsia="Arial" w:hAnsi="Arial"/>
                <w:sz w:val="16"/>
                <w:szCs w:val="16"/>
                <w:color w:val="auto"/>
              </w:rPr>
              <w:t>percentile</w:t>
            </w:r>
          </w:p>
        </w:tc>
        <w:tc>
          <w:tcPr>
            <w:tcW w:w="3500" w:type="dxa"/>
            <w:vAlign w:val="bottom"/>
            <w:tcBorders>
              <w:right w:val="single" w:sz="8" w:color="95B3D7"/>
            </w:tcBorders>
            <w:vMerge w:val="continue"/>
            <w:shd w:val="clear" w:color="auto" w:fill="DBE5F1"/>
          </w:tcPr>
          <w:p>
            <w:pPr>
              <w:spacing w:after="0"/>
              <w:rPr>
                <w:sz w:val="9"/>
                <w:szCs w:val="9"/>
                <w:color w:val="auto"/>
              </w:rPr>
            </w:pPr>
          </w:p>
        </w:tc>
        <w:tc>
          <w:tcPr>
            <w:tcW w:w="4500" w:type="dxa"/>
            <w:vAlign w:val="bottom"/>
            <w:gridSpan w:val="2"/>
            <w:vMerge w:val="restart"/>
            <w:shd w:val="clear" w:color="auto" w:fill="DBE5F1"/>
          </w:tcPr>
          <w:p>
            <w:pPr>
              <w:ind w:left="10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For 2023, awards were issued using 100% PSUs that</w:t>
            </w:r>
          </w:p>
        </w:tc>
        <w:tc>
          <w:tcPr>
            <w:tcW w:w="0" w:type="dxa"/>
            <w:vAlign w:val="bottom"/>
          </w:tcPr>
          <w:p>
            <w:pPr>
              <w:spacing w:after="0"/>
              <w:rPr>
                <w:sz w:val="1"/>
                <w:szCs w:val="1"/>
                <w:color w:val="auto"/>
              </w:rPr>
            </w:pPr>
          </w:p>
        </w:tc>
      </w:tr>
      <w:tr>
        <w:trPr>
          <w:trHeight w:val="116"/>
        </w:trPr>
        <w:tc>
          <w:tcPr>
            <w:tcW w:w="1240" w:type="dxa"/>
            <w:vAlign w:val="bottom"/>
            <w:tcBorders>
              <w:right w:val="single" w:sz="8" w:color="95B3D7"/>
            </w:tcBorders>
            <w:vMerge w:val="continue"/>
            <w:shd w:val="clear" w:color="auto" w:fill="DBE5F1"/>
          </w:tcPr>
          <w:p>
            <w:pPr>
              <w:spacing w:after="0"/>
              <w:rPr>
                <w:sz w:val="10"/>
                <w:szCs w:val="10"/>
                <w:color w:val="auto"/>
              </w:rPr>
            </w:pPr>
          </w:p>
        </w:tc>
        <w:tc>
          <w:tcPr>
            <w:tcW w:w="1780" w:type="dxa"/>
            <w:vAlign w:val="bottom"/>
            <w:tcBorders>
              <w:right w:val="single" w:sz="8" w:color="95B3D7"/>
            </w:tcBorders>
            <w:vMerge w:val="continue"/>
            <w:shd w:val="clear" w:color="auto" w:fill="DBE5F1"/>
          </w:tcPr>
          <w:p>
            <w:pPr>
              <w:spacing w:after="0"/>
              <w:rPr>
                <w:sz w:val="10"/>
                <w:szCs w:val="10"/>
                <w:color w:val="auto"/>
              </w:rPr>
            </w:pPr>
          </w:p>
        </w:tc>
        <w:tc>
          <w:tcPr>
            <w:tcW w:w="3500" w:type="dxa"/>
            <w:vAlign w:val="bottom"/>
            <w:tcBorders>
              <w:right w:val="single" w:sz="8" w:color="95B3D7"/>
            </w:tcBorders>
            <w:vMerge w:val="restart"/>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Retain executive talent through multi-year</w:t>
            </w:r>
          </w:p>
        </w:tc>
        <w:tc>
          <w:tcPr>
            <w:tcW w:w="4500" w:type="dxa"/>
            <w:vAlign w:val="bottom"/>
            <w:gridSpan w:val="2"/>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1240" w:type="dxa"/>
            <w:vAlign w:val="bottom"/>
            <w:tcBorders>
              <w:right w:val="single" w:sz="8" w:color="95B3D7"/>
            </w:tcBorders>
            <w:shd w:val="clear" w:color="auto" w:fill="DBE5F1"/>
          </w:tcPr>
          <w:p>
            <w:pPr>
              <w:spacing w:after="0"/>
              <w:rPr>
                <w:sz w:val="5"/>
                <w:szCs w:val="5"/>
                <w:color w:val="auto"/>
              </w:rPr>
            </w:pPr>
          </w:p>
        </w:tc>
        <w:tc>
          <w:tcPr>
            <w:tcW w:w="1780" w:type="dxa"/>
            <w:vAlign w:val="bottom"/>
            <w:tcBorders>
              <w:right w:val="single" w:sz="8" w:color="95B3D7"/>
            </w:tcBorders>
            <w:shd w:val="clear" w:color="auto" w:fill="DBE5F1"/>
          </w:tcPr>
          <w:p>
            <w:pPr>
              <w:spacing w:after="0"/>
              <w:rPr>
                <w:sz w:val="5"/>
                <w:szCs w:val="5"/>
                <w:color w:val="auto"/>
              </w:rPr>
            </w:pPr>
          </w:p>
        </w:tc>
        <w:tc>
          <w:tcPr>
            <w:tcW w:w="3500" w:type="dxa"/>
            <w:vAlign w:val="bottom"/>
            <w:tcBorders>
              <w:right w:val="single" w:sz="8" w:color="95B3D7"/>
            </w:tcBorders>
            <w:vMerge w:val="continue"/>
            <w:shd w:val="clear" w:color="auto" w:fill="DBE5F1"/>
          </w:tcPr>
          <w:p>
            <w:pPr>
              <w:spacing w:after="0"/>
              <w:rPr>
                <w:sz w:val="5"/>
                <w:szCs w:val="5"/>
                <w:color w:val="auto"/>
              </w:rPr>
            </w:pPr>
          </w:p>
        </w:tc>
        <w:tc>
          <w:tcPr>
            <w:tcW w:w="4500" w:type="dxa"/>
            <w:vAlign w:val="bottom"/>
            <w:gridSpan w:val="2"/>
            <w:vMerge w:val="continue"/>
            <w:shd w:val="clear" w:color="auto" w:fill="DBE5F1"/>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240" w:type="dxa"/>
            <w:vAlign w:val="bottom"/>
            <w:tcBorders>
              <w:right w:val="single" w:sz="8" w:color="95B3D7"/>
            </w:tcBorders>
            <w:shd w:val="clear" w:color="auto" w:fill="DBE5F1"/>
          </w:tcPr>
          <w:p>
            <w:pPr>
              <w:spacing w:after="0"/>
              <w:rPr>
                <w:sz w:val="7"/>
                <w:szCs w:val="7"/>
                <w:color w:val="auto"/>
              </w:rPr>
            </w:pPr>
          </w:p>
        </w:tc>
        <w:tc>
          <w:tcPr>
            <w:tcW w:w="1780" w:type="dxa"/>
            <w:vAlign w:val="bottom"/>
            <w:tcBorders>
              <w:right w:val="single" w:sz="8" w:color="95B3D7"/>
            </w:tcBorders>
            <w:shd w:val="clear" w:color="auto" w:fill="DBE5F1"/>
          </w:tcPr>
          <w:p>
            <w:pPr>
              <w:spacing w:after="0"/>
              <w:rPr>
                <w:sz w:val="7"/>
                <w:szCs w:val="7"/>
                <w:color w:val="auto"/>
              </w:rPr>
            </w:pPr>
          </w:p>
        </w:tc>
        <w:tc>
          <w:tcPr>
            <w:tcW w:w="3500" w:type="dxa"/>
            <w:vAlign w:val="bottom"/>
            <w:tcBorders>
              <w:right w:val="single" w:sz="8" w:color="95B3D7"/>
            </w:tcBorders>
            <w:vMerge w:val="continue"/>
            <w:shd w:val="clear" w:color="auto" w:fill="DBE5F1"/>
          </w:tcPr>
          <w:p>
            <w:pPr>
              <w:spacing w:after="0"/>
              <w:rPr>
                <w:sz w:val="7"/>
                <w:szCs w:val="7"/>
                <w:color w:val="auto"/>
              </w:rPr>
            </w:pPr>
          </w:p>
        </w:tc>
        <w:tc>
          <w:tcPr>
            <w:tcW w:w="4500" w:type="dxa"/>
            <w:vAlign w:val="bottom"/>
            <w:gridSpan w:val="2"/>
            <w:vMerge w:val="restart"/>
            <w:shd w:val="clear" w:color="auto" w:fill="DBE5F1"/>
          </w:tcPr>
          <w:p>
            <w:pPr>
              <w:ind w:left="420"/>
              <w:spacing w:after="0"/>
              <w:rPr>
                <w:sz w:val="20"/>
                <w:szCs w:val="20"/>
                <w:color w:val="auto"/>
              </w:rPr>
            </w:pPr>
            <w:r>
              <w:rPr>
                <w:rFonts w:ascii="Arial" w:cs="Arial" w:eastAsia="Arial" w:hAnsi="Arial"/>
                <w:sz w:val="16"/>
                <w:szCs w:val="16"/>
                <w:color w:val="auto"/>
              </w:rPr>
              <w:t>vest after the end of the performance period based on</w:t>
            </w:r>
          </w:p>
        </w:tc>
        <w:tc>
          <w:tcPr>
            <w:tcW w:w="0" w:type="dxa"/>
            <w:vAlign w:val="bottom"/>
          </w:tcPr>
          <w:p>
            <w:pPr>
              <w:spacing w:after="0"/>
              <w:rPr>
                <w:sz w:val="1"/>
                <w:szCs w:val="1"/>
                <w:color w:val="auto"/>
              </w:rPr>
            </w:pPr>
          </w:p>
        </w:tc>
      </w:tr>
      <w:tr>
        <w:trPr>
          <w:trHeight w:val="108"/>
        </w:trPr>
        <w:tc>
          <w:tcPr>
            <w:tcW w:w="1240" w:type="dxa"/>
            <w:vAlign w:val="bottom"/>
            <w:tcBorders>
              <w:right w:val="single" w:sz="8" w:color="95B3D7"/>
            </w:tcBorders>
            <w:shd w:val="clear" w:color="auto" w:fill="DBE5F1"/>
          </w:tcPr>
          <w:p>
            <w:pPr>
              <w:spacing w:after="0"/>
              <w:rPr>
                <w:sz w:val="9"/>
                <w:szCs w:val="9"/>
                <w:color w:val="auto"/>
              </w:rPr>
            </w:pPr>
          </w:p>
        </w:tc>
        <w:tc>
          <w:tcPr>
            <w:tcW w:w="1780" w:type="dxa"/>
            <w:vAlign w:val="bottom"/>
            <w:tcBorders>
              <w:right w:val="single" w:sz="8" w:color="95B3D7"/>
            </w:tcBorders>
            <w:shd w:val="clear" w:color="auto" w:fill="DBE5F1"/>
          </w:tcPr>
          <w:p>
            <w:pPr>
              <w:spacing w:after="0"/>
              <w:rPr>
                <w:sz w:val="9"/>
                <w:szCs w:val="9"/>
                <w:color w:val="auto"/>
              </w:rPr>
            </w:pPr>
          </w:p>
        </w:tc>
        <w:tc>
          <w:tcPr>
            <w:tcW w:w="3500" w:type="dxa"/>
            <w:vAlign w:val="bottom"/>
            <w:tcBorders>
              <w:right w:val="single" w:sz="8" w:color="95B3D7"/>
            </w:tcBorders>
            <w:vMerge w:val="restart"/>
            <w:shd w:val="clear" w:color="auto" w:fill="DBE5F1"/>
          </w:tcPr>
          <w:p>
            <w:pPr>
              <w:ind w:left="400"/>
              <w:spacing w:after="0"/>
              <w:rPr>
                <w:sz w:val="20"/>
                <w:szCs w:val="20"/>
                <w:color w:val="auto"/>
              </w:rPr>
            </w:pPr>
            <w:r>
              <w:rPr>
                <w:rFonts w:ascii="Arial" w:cs="Arial" w:eastAsia="Arial" w:hAnsi="Arial"/>
                <w:sz w:val="16"/>
                <w:szCs w:val="16"/>
                <w:color w:val="auto"/>
              </w:rPr>
              <w:t>vesting schedules</w:t>
            </w:r>
          </w:p>
        </w:tc>
        <w:tc>
          <w:tcPr>
            <w:tcW w:w="4500" w:type="dxa"/>
            <w:vAlign w:val="bottom"/>
            <w:gridSpan w:val="2"/>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240" w:type="dxa"/>
            <w:vAlign w:val="bottom"/>
            <w:tcBorders>
              <w:right w:val="single" w:sz="8" w:color="95B3D7"/>
            </w:tcBorders>
            <w:shd w:val="clear" w:color="auto" w:fill="DBE5F1"/>
          </w:tcPr>
          <w:p>
            <w:pPr>
              <w:spacing w:after="0"/>
              <w:rPr>
                <w:sz w:val="9"/>
                <w:szCs w:val="9"/>
                <w:color w:val="auto"/>
              </w:rPr>
            </w:pPr>
          </w:p>
        </w:tc>
        <w:tc>
          <w:tcPr>
            <w:tcW w:w="1780" w:type="dxa"/>
            <w:vAlign w:val="bottom"/>
            <w:tcBorders>
              <w:right w:val="single" w:sz="8" w:color="95B3D7"/>
            </w:tcBorders>
            <w:shd w:val="clear" w:color="auto" w:fill="DBE5F1"/>
          </w:tcPr>
          <w:p>
            <w:pPr>
              <w:spacing w:after="0"/>
              <w:rPr>
                <w:sz w:val="9"/>
                <w:szCs w:val="9"/>
                <w:color w:val="auto"/>
              </w:rPr>
            </w:pPr>
          </w:p>
        </w:tc>
        <w:tc>
          <w:tcPr>
            <w:tcW w:w="3500" w:type="dxa"/>
            <w:vAlign w:val="bottom"/>
            <w:tcBorders>
              <w:right w:val="single" w:sz="8" w:color="95B3D7"/>
            </w:tcBorders>
            <w:vMerge w:val="continue"/>
            <w:shd w:val="clear" w:color="auto" w:fill="DBE5F1"/>
          </w:tcPr>
          <w:p>
            <w:pPr>
              <w:spacing w:after="0"/>
              <w:rPr>
                <w:sz w:val="9"/>
                <w:szCs w:val="9"/>
                <w:color w:val="auto"/>
              </w:rPr>
            </w:pPr>
          </w:p>
        </w:tc>
        <w:tc>
          <w:tcPr>
            <w:tcW w:w="4500" w:type="dxa"/>
            <w:vAlign w:val="bottom"/>
            <w:gridSpan w:val="2"/>
            <w:vMerge w:val="restart"/>
            <w:shd w:val="clear" w:color="auto" w:fill="DBE5F1"/>
          </w:tcPr>
          <w:p>
            <w:pPr>
              <w:ind w:left="420"/>
              <w:spacing w:after="0"/>
              <w:rPr>
                <w:sz w:val="20"/>
                <w:szCs w:val="20"/>
                <w:color w:val="auto"/>
              </w:rPr>
            </w:pPr>
            <w:r>
              <w:rPr>
                <w:rFonts w:ascii="Arial" w:cs="Arial" w:eastAsia="Arial" w:hAnsi="Arial"/>
                <w:sz w:val="16"/>
                <w:szCs w:val="16"/>
                <w:color w:val="auto"/>
              </w:rPr>
              <w:t>the following metrics:</w:t>
            </w:r>
          </w:p>
        </w:tc>
        <w:tc>
          <w:tcPr>
            <w:tcW w:w="0" w:type="dxa"/>
            <w:vAlign w:val="bottom"/>
          </w:tcPr>
          <w:p>
            <w:pPr>
              <w:spacing w:after="0"/>
              <w:rPr>
                <w:sz w:val="1"/>
                <w:szCs w:val="1"/>
                <w:color w:val="auto"/>
              </w:rPr>
            </w:pPr>
          </w:p>
        </w:tc>
      </w:tr>
      <w:tr>
        <w:trPr>
          <w:trHeight w:val="108"/>
        </w:trPr>
        <w:tc>
          <w:tcPr>
            <w:tcW w:w="1240" w:type="dxa"/>
            <w:vAlign w:val="bottom"/>
            <w:tcBorders>
              <w:right w:val="single" w:sz="8" w:color="95B3D7"/>
            </w:tcBorders>
            <w:shd w:val="clear" w:color="auto" w:fill="DBE5F1"/>
          </w:tcPr>
          <w:p>
            <w:pPr>
              <w:spacing w:after="0"/>
              <w:rPr>
                <w:sz w:val="9"/>
                <w:szCs w:val="9"/>
                <w:color w:val="auto"/>
              </w:rPr>
            </w:pPr>
          </w:p>
        </w:tc>
        <w:tc>
          <w:tcPr>
            <w:tcW w:w="1780" w:type="dxa"/>
            <w:vAlign w:val="bottom"/>
            <w:tcBorders>
              <w:right w:val="single" w:sz="8" w:color="95B3D7"/>
            </w:tcBorders>
            <w:shd w:val="clear" w:color="auto" w:fill="DBE5F1"/>
          </w:tcPr>
          <w:p>
            <w:pPr>
              <w:spacing w:after="0"/>
              <w:rPr>
                <w:sz w:val="9"/>
                <w:szCs w:val="9"/>
                <w:color w:val="auto"/>
              </w:rPr>
            </w:pPr>
          </w:p>
        </w:tc>
        <w:tc>
          <w:tcPr>
            <w:tcW w:w="3500" w:type="dxa"/>
            <w:vAlign w:val="bottom"/>
            <w:tcBorders>
              <w:right w:val="single" w:sz="8" w:color="95B3D7"/>
            </w:tcBorders>
            <w:vMerge w:val="restart"/>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Motivate sustainable performance that</w:t>
            </w:r>
          </w:p>
        </w:tc>
        <w:tc>
          <w:tcPr>
            <w:tcW w:w="4500" w:type="dxa"/>
            <w:vAlign w:val="bottom"/>
            <w:gridSpan w:val="2"/>
            <w:vMerge w:val="continue"/>
            <w:shd w:val="clear" w:color="auto" w:fill="DBE5F1"/>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1240" w:type="dxa"/>
            <w:vAlign w:val="bottom"/>
            <w:tcBorders>
              <w:right w:val="single" w:sz="8" w:color="95B3D7"/>
            </w:tcBorders>
            <w:shd w:val="clear" w:color="auto" w:fill="DBE5F1"/>
          </w:tcPr>
          <w:p>
            <w:pPr>
              <w:spacing w:after="0"/>
              <w:rPr>
                <w:sz w:val="11"/>
                <w:szCs w:val="11"/>
                <w:color w:val="auto"/>
              </w:rPr>
            </w:pPr>
          </w:p>
        </w:tc>
        <w:tc>
          <w:tcPr>
            <w:tcW w:w="1780" w:type="dxa"/>
            <w:vAlign w:val="bottom"/>
            <w:tcBorders>
              <w:right w:val="single" w:sz="8" w:color="95B3D7"/>
            </w:tcBorders>
            <w:shd w:val="clear" w:color="auto" w:fill="DBE5F1"/>
          </w:tcPr>
          <w:p>
            <w:pPr>
              <w:spacing w:after="0"/>
              <w:rPr>
                <w:sz w:val="11"/>
                <w:szCs w:val="11"/>
                <w:color w:val="auto"/>
              </w:rPr>
            </w:pPr>
          </w:p>
        </w:tc>
        <w:tc>
          <w:tcPr>
            <w:tcW w:w="3500" w:type="dxa"/>
            <w:vAlign w:val="bottom"/>
            <w:tcBorders>
              <w:right w:val="single" w:sz="8" w:color="95B3D7"/>
            </w:tcBorders>
            <w:vMerge w:val="continue"/>
            <w:shd w:val="clear" w:color="auto" w:fill="DBE5F1"/>
          </w:tcPr>
          <w:p>
            <w:pPr>
              <w:spacing w:after="0"/>
              <w:rPr>
                <w:sz w:val="11"/>
                <w:szCs w:val="11"/>
                <w:color w:val="auto"/>
              </w:rPr>
            </w:pPr>
          </w:p>
        </w:tc>
        <w:tc>
          <w:tcPr>
            <w:tcW w:w="600" w:type="dxa"/>
            <w:vAlign w:val="bottom"/>
            <w:vMerge w:val="restart"/>
            <w:shd w:val="clear" w:color="auto" w:fill="DBE5F1"/>
          </w:tcPr>
          <w:p>
            <w:pPr>
              <w:ind w:left="420"/>
              <w:spacing w:after="0"/>
              <w:rPr>
                <w:sz w:val="20"/>
                <w:szCs w:val="20"/>
                <w:color w:val="auto"/>
              </w:rPr>
            </w:pPr>
            <w:r>
              <w:rPr>
                <w:rFonts w:ascii="Arial" w:cs="Arial" w:eastAsia="Arial" w:hAnsi="Arial"/>
                <w:sz w:val="14"/>
                <w:szCs w:val="14"/>
                <w:color w:val="auto"/>
                <w:w w:val="73"/>
              </w:rPr>
              <w:t>o </w:t>
            </w:r>
          </w:p>
        </w:tc>
        <w:tc>
          <w:tcPr>
            <w:tcW w:w="3900" w:type="dxa"/>
            <w:vAlign w:val="bottom"/>
            <w:vMerge w:val="restart"/>
            <w:shd w:val="clear" w:color="auto" w:fill="DBE5F1"/>
          </w:tcPr>
          <w:p>
            <w:pPr>
              <w:ind w:left="60"/>
              <w:spacing w:after="0"/>
              <w:rPr>
                <w:sz w:val="20"/>
                <w:szCs w:val="20"/>
                <w:color w:val="auto"/>
              </w:rPr>
            </w:pPr>
            <w:r>
              <w:rPr>
                <w:rFonts w:ascii="Arial" w:cs="Arial" w:eastAsia="Arial" w:hAnsi="Arial"/>
                <w:sz w:val="16"/>
                <w:szCs w:val="16"/>
                <w:color w:val="auto"/>
              </w:rPr>
              <w:t>  Health Plan Revenue Growth Percentage</w:t>
            </w:r>
          </w:p>
        </w:tc>
        <w:tc>
          <w:tcPr>
            <w:tcW w:w="0" w:type="dxa"/>
            <w:vAlign w:val="bottom"/>
          </w:tcPr>
          <w:p>
            <w:pPr>
              <w:spacing w:after="0"/>
              <w:rPr>
                <w:sz w:val="1"/>
                <w:szCs w:val="1"/>
                <w:color w:val="auto"/>
              </w:rPr>
            </w:pPr>
          </w:p>
        </w:tc>
      </w:tr>
      <w:tr>
        <w:trPr>
          <w:trHeight w:val="120"/>
        </w:trPr>
        <w:tc>
          <w:tcPr>
            <w:tcW w:w="1240" w:type="dxa"/>
            <w:vAlign w:val="bottom"/>
            <w:tcBorders>
              <w:right w:val="single" w:sz="8" w:color="95B3D7"/>
            </w:tcBorders>
            <w:shd w:val="clear" w:color="auto" w:fill="DBE5F1"/>
          </w:tcPr>
          <w:p>
            <w:pPr>
              <w:spacing w:after="0"/>
              <w:rPr>
                <w:sz w:val="10"/>
                <w:szCs w:val="10"/>
                <w:color w:val="auto"/>
              </w:rPr>
            </w:pPr>
          </w:p>
        </w:tc>
        <w:tc>
          <w:tcPr>
            <w:tcW w:w="1780" w:type="dxa"/>
            <w:vAlign w:val="bottom"/>
            <w:tcBorders>
              <w:right w:val="single" w:sz="8" w:color="95B3D7"/>
            </w:tcBorders>
            <w:shd w:val="clear" w:color="auto" w:fill="DBE5F1"/>
          </w:tcPr>
          <w:p>
            <w:pPr>
              <w:spacing w:after="0"/>
              <w:rPr>
                <w:sz w:val="10"/>
                <w:szCs w:val="10"/>
                <w:color w:val="auto"/>
              </w:rPr>
            </w:pPr>
          </w:p>
        </w:tc>
        <w:tc>
          <w:tcPr>
            <w:tcW w:w="3500" w:type="dxa"/>
            <w:vAlign w:val="bottom"/>
            <w:tcBorders>
              <w:right w:val="single" w:sz="8" w:color="95B3D7"/>
            </w:tcBorders>
            <w:vMerge w:val="restart"/>
            <w:shd w:val="clear" w:color="auto" w:fill="DBE5F1"/>
          </w:tcPr>
          <w:p>
            <w:pPr>
              <w:ind w:left="400"/>
              <w:spacing w:after="0"/>
              <w:rPr>
                <w:sz w:val="20"/>
                <w:szCs w:val="20"/>
                <w:color w:val="auto"/>
              </w:rPr>
            </w:pPr>
            <w:r>
              <w:rPr>
                <w:rFonts w:ascii="Arial" w:cs="Arial" w:eastAsia="Arial" w:hAnsi="Arial"/>
                <w:sz w:val="16"/>
                <w:szCs w:val="16"/>
                <w:color w:val="auto"/>
              </w:rPr>
              <w:t>creates long-term value for stockholders</w:t>
            </w:r>
          </w:p>
        </w:tc>
        <w:tc>
          <w:tcPr>
            <w:tcW w:w="600" w:type="dxa"/>
            <w:vAlign w:val="bottom"/>
            <w:vMerge w:val="continue"/>
            <w:shd w:val="clear" w:color="auto" w:fill="DBE5F1"/>
          </w:tcPr>
          <w:p>
            <w:pPr>
              <w:spacing w:after="0"/>
              <w:rPr>
                <w:sz w:val="10"/>
                <w:szCs w:val="10"/>
                <w:color w:val="auto"/>
              </w:rPr>
            </w:pPr>
          </w:p>
        </w:tc>
        <w:tc>
          <w:tcPr>
            <w:tcW w:w="3900" w:type="dxa"/>
            <w:vAlign w:val="bottom"/>
            <w:vMerge w:val="continue"/>
            <w:shd w:val="clear" w:color="auto" w:fill="DBE5F1"/>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1240" w:type="dxa"/>
            <w:vAlign w:val="bottom"/>
            <w:tcBorders>
              <w:right w:val="single" w:sz="8" w:color="95B3D7"/>
            </w:tcBorders>
            <w:shd w:val="clear" w:color="auto" w:fill="DBE5F1"/>
          </w:tcPr>
          <w:p>
            <w:pPr>
              <w:spacing w:after="0"/>
              <w:rPr>
                <w:sz w:val="8"/>
                <w:szCs w:val="8"/>
                <w:color w:val="auto"/>
              </w:rPr>
            </w:pPr>
          </w:p>
        </w:tc>
        <w:tc>
          <w:tcPr>
            <w:tcW w:w="1780" w:type="dxa"/>
            <w:vAlign w:val="bottom"/>
            <w:tcBorders>
              <w:right w:val="single" w:sz="8" w:color="95B3D7"/>
            </w:tcBorders>
            <w:shd w:val="clear" w:color="auto" w:fill="DBE5F1"/>
          </w:tcPr>
          <w:p>
            <w:pPr>
              <w:spacing w:after="0"/>
              <w:rPr>
                <w:sz w:val="8"/>
                <w:szCs w:val="8"/>
                <w:color w:val="auto"/>
              </w:rPr>
            </w:pPr>
          </w:p>
        </w:tc>
        <w:tc>
          <w:tcPr>
            <w:tcW w:w="3500" w:type="dxa"/>
            <w:vAlign w:val="bottom"/>
            <w:tcBorders>
              <w:right w:val="single" w:sz="8" w:color="95B3D7"/>
            </w:tcBorders>
            <w:vMerge w:val="continue"/>
            <w:shd w:val="clear" w:color="auto" w:fill="DBE5F1"/>
          </w:tcPr>
          <w:p>
            <w:pPr>
              <w:spacing w:after="0"/>
              <w:rPr>
                <w:sz w:val="8"/>
                <w:szCs w:val="8"/>
                <w:color w:val="auto"/>
              </w:rPr>
            </w:pPr>
          </w:p>
        </w:tc>
        <w:tc>
          <w:tcPr>
            <w:tcW w:w="600" w:type="dxa"/>
            <w:vAlign w:val="bottom"/>
            <w:vMerge w:val="restart"/>
            <w:shd w:val="clear" w:color="auto" w:fill="DBE5F1"/>
          </w:tcPr>
          <w:p>
            <w:pPr>
              <w:ind w:left="420"/>
              <w:spacing w:after="0"/>
              <w:rPr>
                <w:sz w:val="20"/>
                <w:szCs w:val="20"/>
                <w:color w:val="auto"/>
              </w:rPr>
            </w:pPr>
            <w:r>
              <w:rPr>
                <w:rFonts w:ascii="Arial" w:cs="Arial" w:eastAsia="Arial" w:hAnsi="Arial"/>
                <w:sz w:val="14"/>
                <w:szCs w:val="14"/>
                <w:color w:val="auto"/>
                <w:w w:val="73"/>
              </w:rPr>
              <w:t>o </w:t>
            </w:r>
          </w:p>
        </w:tc>
        <w:tc>
          <w:tcPr>
            <w:tcW w:w="3900" w:type="dxa"/>
            <w:vAlign w:val="bottom"/>
            <w:vMerge w:val="restart"/>
            <w:shd w:val="clear" w:color="auto" w:fill="DBE5F1"/>
          </w:tcPr>
          <w:p>
            <w:pPr>
              <w:ind w:left="60"/>
              <w:spacing w:after="0"/>
              <w:rPr>
                <w:sz w:val="20"/>
                <w:szCs w:val="20"/>
                <w:color w:val="auto"/>
              </w:rPr>
            </w:pPr>
            <w:r>
              <w:rPr>
                <w:rFonts w:ascii="Arial" w:cs="Arial" w:eastAsia="Arial" w:hAnsi="Arial"/>
                <w:sz w:val="16"/>
                <w:szCs w:val="16"/>
                <w:color w:val="auto"/>
              </w:rPr>
              <w:t>  At-Risk Returning Member Medical Benefit Ratio</w:t>
            </w:r>
          </w:p>
        </w:tc>
        <w:tc>
          <w:tcPr>
            <w:tcW w:w="0" w:type="dxa"/>
            <w:vAlign w:val="bottom"/>
          </w:tcPr>
          <w:p>
            <w:pPr>
              <w:spacing w:after="0"/>
              <w:rPr>
                <w:sz w:val="1"/>
                <w:szCs w:val="1"/>
                <w:color w:val="auto"/>
              </w:rPr>
            </w:pPr>
          </w:p>
        </w:tc>
      </w:tr>
      <w:tr>
        <w:trPr>
          <w:trHeight w:val="162"/>
        </w:trPr>
        <w:tc>
          <w:tcPr>
            <w:tcW w:w="1240" w:type="dxa"/>
            <w:vAlign w:val="bottom"/>
            <w:tcBorders>
              <w:right w:val="single" w:sz="8" w:color="95B3D7"/>
            </w:tcBorders>
            <w:shd w:val="clear" w:color="auto" w:fill="DBE5F1"/>
          </w:tcPr>
          <w:p>
            <w:pPr>
              <w:spacing w:after="0"/>
              <w:rPr>
                <w:sz w:val="14"/>
                <w:szCs w:val="14"/>
                <w:color w:val="auto"/>
              </w:rPr>
            </w:pPr>
          </w:p>
        </w:tc>
        <w:tc>
          <w:tcPr>
            <w:tcW w:w="1780" w:type="dxa"/>
            <w:vAlign w:val="bottom"/>
            <w:tcBorders>
              <w:right w:val="single" w:sz="8" w:color="95B3D7"/>
            </w:tcBorders>
            <w:shd w:val="clear" w:color="auto" w:fill="DBE5F1"/>
          </w:tcPr>
          <w:p>
            <w:pPr>
              <w:spacing w:after="0"/>
              <w:rPr>
                <w:sz w:val="14"/>
                <w:szCs w:val="14"/>
                <w:color w:val="auto"/>
              </w:rPr>
            </w:pPr>
          </w:p>
        </w:tc>
        <w:tc>
          <w:tcPr>
            <w:tcW w:w="3500" w:type="dxa"/>
            <w:vAlign w:val="bottom"/>
            <w:tcBorders>
              <w:right w:val="single" w:sz="8" w:color="95B3D7"/>
            </w:tcBorders>
            <w:vMerge w:val="restart"/>
            <w:shd w:val="clear" w:color="auto" w:fill="DBE5F1"/>
          </w:tcPr>
          <w:p>
            <w:pPr>
              <w:ind w:left="80"/>
              <w:spacing w:after="0"/>
              <w:rPr>
                <w:sz w:val="20"/>
                <w:szCs w:val="20"/>
                <w:color w:val="auto"/>
              </w:rPr>
            </w:pPr>
            <w:r>
              <w:rPr>
                <w:rFonts w:ascii="Times New Roman" w:cs="Times New Roman" w:eastAsia="Times New Roman" w:hAnsi="Times New Roman"/>
                <w:sz w:val="16"/>
                <w:szCs w:val="16"/>
                <w:color w:val="auto"/>
              </w:rPr>
              <w:t>●</w:t>
            </w:r>
            <w:r>
              <w:rPr>
                <w:rFonts w:ascii="Arial" w:cs="Arial" w:eastAsia="Arial" w:hAnsi="Arial"/>
                <w:sz w:val="16"/>
                <w:szCs w:val="16"/>
                <w:color w:val="auto"/>
              </w:rPr>
              <w:t xml:space="preserve">     Foster our purpose and values to build</w:t>
            </w:r>
          </w:p>
        </w:tc>
        <w:tc>
          <w:tcPr>
            <w:tcW w:w="600" w:type="dxa"/>
            <w:vAlign w:val="bottom"/>
            <w:vMerge w:val="continue"/>
            <w:shd w:val="clear" w:color="auto" w:fill="DBE5F1"/>
          </w:tcPr>
          <w:p>
            <w:pPr>
              <w:spacing w:after="0"/>
              <w:rPr>
                <w:sz w:val="14"/>
                <w:szCs w:val="14"/>
                <w:color w:val="auto"/>
              </w:rPr>
            </w:pPr>
          </w:p>
        </w:tc>
        <w:tc>
          <w:tcPr>
            <w:tcW w:w="3900" w:type="dxa"/>
            <w:vAlign w:val="bottom"/>
            <w:vMerge w:val="continue"/>
            <w:shd w:val="clear" w:color="auto" w:fill="DBE5F1"/>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1240" w:type="dxa"/>
            <w:vAlign w:val="bottom"/>
            <w:tcBorders>
              <w:right w:val="single" w:sz="8" w:color="95B3D7"/>
            </w:tcBorders>
            <w:shd w:val="clear" w:color="auto" w:fill="DBE5F1"/>
          </w:tcPr>
          <w:p>
            <w:pPr>
              <w:spacing w:after="0"/>
              <w:rPr>
                <w:sz w:val="7"/>
                <w:szCs w:val="7"/>
                <w:color w:val="auto"/>
              </w:rPr>
            </w:pPr>
          </w:p>
        </w:tc>
        <w:tc>
          <w:tcPr>
            <w:tcW w:w="1780" w:type="dxa"/>
            <w:vAlign w:val="bottom"/>
            <w:tcBorders>
              <w:right w:val="single" w:sz="8" w:color="95B3D7"/>
            </w:tcBorders>
            <w:shd w:val="clear" w:color="auto" w:fill="DBE5F1"/>
          </w:tcPr>
          <w:p>
            <w:pPr>
              <w:spacing w:after="0"/>
              <w:rPr>
                <w:sz w:val="7"/>
                <w:szCs w:val="7"/>
                <w:color w:val="auto"/>
              </w:rPr>
            </w:pPr>
          </w:p>
        </w:tc>
        <w:tc>
          <w:tcPr>
            <w:tcW w:w="3500" w:type="dxa"/>
            <w:vAlign w:val="bottom"/>
            <w:tcBorders>
              <w:right w:val="single" w:sz="8" w:color="95B3D7"/>
            </w:tcBorders>
            <w:vMerge w:val="continue"/>
            <w:shd w:val="clear" w:color="auto" w:fill="DBE5F1"/>
          </w:tcPr>
          <w:p>
            <w:pPr>
              <w:spacing w:after="0"/>
              <w:rPr>
                <w:sz w:val="7"/>
                <w:szCs w:val="7"/>
                <w:color w:val="auto"/>
              </w:rPr>
            </w:pPr>
          </w:p>
        </w:tc>
        <w:tc>
          <w:tcPr>
            <w:tcW w:w="600" w:type="dxa"/>
            <w:vAlign w:val="bottom"/>
            <w:vMerge w:val="restart"/>
            <w:shd w:val="clear" w:color="auto" w:fill="DBE5F1"/>
          </w:tcPr>
          <w:p>
            <w:pPr>
              <w:ind w:left="420"/>
              <w:spacing w:after="0"/>
              <w:rPr>
                <w:sz w:val="20"/>
                <w:szCs w:val="20"/>
                <w:color w:val="auto"/>
              </w:rPr>
            </w:pPr>
            <w:r>
              <w:rPr>
                <w:rFonts w:ascii="Arial" w:cs="Arial" w:eastAsia="Arial" w:hAnsi="Arial"/>
                <w:sz w:val="14"/>
                <w:szCs w:val="14"/>
                <w:color w:val="auto"/>
                <w:w w:val="73"/>
              </w:rPr>
              <w:t>o </w:t>
            </w:r>
          </w:p>
        </w:tc>
        <w:tc>
          <w:tcPr>
            <w:tcW w:w="3900" w:type="dxa"/>
            <w:vAlign w:val="bottom"/>
            <w:vMerge w:val="restart"/>
            <w:shd w:val="clear" w:color="auto" w:fill="DBE5F1"/>
          </w:tcPr>
          <w:p>
            <w:pPr>
              <w:ind w:left="60"/>
              <w:spacing w:after="0"/>
              <w:rPr>
                <w:sz w:val="20"/>
                <w:szCs w:val="20"/>
                <w:color w:val="auto"/>
              </w:rPr>
            </w:pPr>
            <w:r>
              <w:rPr>
                <w:rFonts w:ascii="Arial" w:cs="Arial" w:eastAsia="Arial" w:hAnsi="Arial"/>
                <w:sz w:val="16"/>
                <w:szCs w:val="16"/>
                <w:color w:val="auto"/>
              </w:rPr>
              <w:t>  Adjusted EBITDA, less Capital Expenditures</w:t>
            </w:r>
          </w:p>
        </w:tc>
        <w:tc>
          <w:tcPr>
            <w:tcW w:w="0" w:type="dxa"/>
            <w:vAlign w:val="bottom"/>
          </w:tcPr>
          <w:p>
            <w:pPr>
              <w:spacing w:after="0"/>
              <w:rPr>
                <w:sz w:val="1"/>
                <w:szCs w:val="1"/>
                <w:color w:val="auto"/>
              </w:rPr>
            </w:pPr>
          </w:p>
        </w:tc>
      </w:tr>
      <w:tr>
        <w:trPr>
          <w:trHeight w:val="216"/>
        </w:trPr>
        <w:tc>
          <w:tcPr>
            <w:tcW w:w="1240" w:type="dxa"/>
            <w:vAlign w:val="bottom"/>
            <w:tcBorders>
              <w:bottom w:val="single" w:sz="8" w:color="95B3D7"/>
              <w:right w:val="single" w:sz="8" w:color="95B3D7"/>
            </w:tcBorders>
            <w:shd w:val="clear" w:color="auto" w:fill="DBE5F1"/>
          </w:tcPr>
          <w:p>
            <w:pPr>
              <w:spacing w:after="0"/>
              <w:rPr>
                <w:sz w:val="18"/>
                <w:szCs w:val="18"/>
                <w:color w:val="auto"/>
              </w:rPr>
            </w:pPr>
          </w:p>
        </w:tc>
        <w:tc>
          <w:tcPr>
            <w:tcW w:w="1780" w:type="dxa"/>
            <w:vAlign w:val="bottom"/>
            <w:tcBorders>
              <w:bottom w:val="single" w:sz="8" w:color="95B3D7"/>
              <w:right w:val="single" w:sz="8" w:color="95B3D7"/>
            </w:tcBorders>
            <w:shd w:val="clear" w:color="auto" w:fill="DBE5F1"/>
          </w:tcPr>
          <w:p>
            <w:pPr>
              <w:spacing w:after="0"/>
              <w:rPr>
                <w:sz w:val="18"/>
                <w:szCs w:val="18"/>
                <w:color w:val="auto"/>
              </w:rPr>
            </w:pPr>
          </w:p>
        </w:tc>
        <w:tc>
          <w:tcPr>
            <w:tcW w:w="3500" w:type="dxa"/>
            <w:vAlign w:val="bottom"/>
            <w:tcBorders>
              <w:bottom w:val="single" w:sz="8" w:color="95B3D7"/>
              <w:right w:val="single" w:sz="8" w:color="95B3D7"/>
            </w:tcBorders>
            <w:shd w:val="clear" w:color="auto" w:fill="DBE5F1"/>
          </w:tcPr>
          <w:p>
            <w:pPr>
              <w:ind w:left="400"/>
              <w:spacing w:after="0"/>
              <w:rPr>
                <w:sz w:val="20"/>
                <w:szCs w:val="20"/>
                <w:color w:val="auto"/>
              </w:rPr>
            </w:pPr>
            <w:r>
              <w:rPr>
                <w:rFonts w:ascii="Arial" w:cs="Arial" w:eastAsia="Arial" w:hAnsi="Arial"/>
                <w:sz w:val="16"/>
                <w:szCs w:val="16"/>
                <w:color w:val="auto"/>
              </w:rPr>
              <w:t>teams that think and act like owners</w:t>
            </w:r>
          </w:p>
        </w:tc>
        <w:tc>
          <w:tcPr>
            <w:tcW w:w="600" w:type="dxa"/>
            <w:vAlign w:val="bottom"/>
            <w:tcBorders>
              <w:bottom w:val="single" w:sz="8" w:color="95B3D7"/>
            </w:tcBorders>
            <w:vMerge w:val="continue"/>
            <w:shd w:val="clear" w:color="auto" w:fill="DBE5F1"/>
          </w:tcPr>
          <w:p>
            <w:pPr>
              <w:spacing w:after="0"/>
              <w:rPr>
                <w:sz w:val="18"/>
                <w:szCs w:val="18"/>
                <w:color w:val="auto"/>
              </w:rPr>
            </w:pPr>
          </w:p>
        </w:tc>
        <w:tc>
          <w:tcPr>
            <w:tcW w:w="3900" w:type="dxa"/>
            <w:vAlign w:val="bottom"/>
            <w:tcBorders>
              <w:bottom w:val="single" w:sz="8" w:color="95B3D7"/>
            </w:tcBorders>
            <w:vMerge w:val="continue"/>
            <w:shd w:val="clear" w:color="auto" w:fill="DBE5F1"/>
          </w:tcPr>
          <w:p>
            <w:pPr>
              <w:spacing w:after="0"/>
              <w:rPr>
                <w:sz w:val="18"/>
                <w:szCs w:val="18"/>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40" w:firstLine="440"/>
        <w:spacing w:after="0" w:line="271" w:lineRule="auto"/>
        <w:rPr>
          <w:sz w:val="20"/>
          <w:szCs w:val="20"/>
          <w:color w:val="auto"/>
        </w:rPr>
      </w:pPr>
      <w:r>
        <w:rPr>
          <w:rFonts w:ascii="Arial" w:cs="Arial" w:eastAsia="Arial" w:hAnsi="Arial"/>
          <w:sz w:val="18"/>
          <w:szCs w:val="18"/>
          <w:color w:val="auto"/>
        </w:rPr>
        <w:t>For fiscal 2023, using the base salaries, the annual incentive targets at the end of the year and the September 2023 PSUs, the vast majority of executive compensation was variable (88.7% for our CEO as</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96" w:right="439" w:bottom="1440" w:gutter="0" w:footer="0" w:header="0"/>
        </w:sectPr>
      </w:pPr>
    </w:p>
    <w:bookmarkStart w:id="53" w:name="page54"/>
    <w:bookmarkEnd w:id="53"/>
    <w:p>
      <w:pPr>
        <w:jc w:val="both"/>
        <w:ind w:right="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illustrated below and an average of 79.2% for our other three NEOs that were employed throughout the entire fiscal year). For more information, please see “</w:t>
      </w:r>
      <w:r>
        <w:rPr>
          <w:rFonts w:ascii="Arial" w:cs="Arial" w:eastAsia="Arial" w:hAnsi="Arial"/>
          <w:sz w:val="18"/>
          <w:szCs w:val="18"/>
          <w:i w:val="1"/>
          <w:iCs w:val="1"/>
          <w:color w:val="auto"/>
        </w:rPr>
        <w:t>—2023 Executive Compensation Program in Detail</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126365</wp:posOffset>
            </wp:positionV>
            <wp:extent cx="4105910" cy="17227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05910" cy="1722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Executive Compensation Decision-Making Process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The Role of the Compensation Committee</w:t>
      </w:r>
    </w:p>
    <w:p>
      <w:pPr>
        <w:spacing w:after="0" w:line="210" w:lineRule="exact"/>
        <w:rPr>
          <w:sz w:val="20"/>
          <w:szCs w:val="20"/>
          <w:color w:val="auto"/>
        </w:rPr>
      </w:pPr>
    </w:p>
    <w:p>
      <w:pPr>
        <w:jc w:val="both"/>
        <w:ind w:right="20" w:firstLine="440"/>
        <w:spacing w:after="0" w:line="242" w:lineRule="auto"/>
        <w:rPr>
          <w:sz w:val="20"/>
          <w:szCs w:val="20"/>
          <w:color w:val="auto"/>
        </w:rPr>
      </w:pPr>
      <w:r>
        <w:rPr>
          <w:rFonts w:ascii="Arial" w:cs="Arial" w:eastAsia="Arial" w:hAnsi="Arial"/>
          <w:sz w:val="18"/>
          <w:szCs w:val="18"/>
          <w:color w:val="auto"/>
        </w:rPr>
        <w:t>The Compensation Committee oversees the executive compensation program for our NEOs. The committee is composed solely of independent members of the Board. The Committee works closely with its independent compensation consultant and management to examine the effectiveness of the Company’s executive compensation program throughout the year. Details of the Compensation Committee’s authority and responsibilities are specified in its charter, which may be accessed on the investor relations section of our corporate website at https://ir.alignmenthealth.com/. The committee makes all final compensation decisions and equity award recommendations regarding our NEOs.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The Role of Management</w:t>
      </w:r>
    </w:p>
    <w:p>
      <w:pPr>
        <w:spacing w:after="0" w:line="210" w:lineRule="exact"/>
        <w:rPr>
          <w:sz w:val="20"/>
          <w:szCs w:val="20"/>
          <w:color w:val="auto"/>
        </w:rPr>
      </w:pPr>
    </w:p>
    <w:p>
      <w:pPr>
        <w:jc w:val="both"/>
        <w:ind w:right="20" w:firstLine="440"/>
        <w:spacing w:after="0"/>
        <w:rPr>
          <w:sz w:val="20"/>
          <w:szCs w:val="20"/>
          <w:color w:val="auto"/>
        </w:rPr>
      </w:pPr>
      <w:r>
        <w:rPr>
          <w:rFonts w:ascii="Arial" w:cs="Arial" w:eastAsia="Arial" w:hAnsi="Arial"/>
          <w:sz w:val="18"/>
          <w:szCs w:val="18"/>
          <w:color w:val="auto"/>
        </w:rPr>
        <w:t>Members of our management team attend regular meetings where executive compensation, corporate and individual performance, and competitive compensation levels and practices are discussed and evaluated; however, they are not present in the board room for, nor do they participate in, discussions about their own pay. Only the Compensation Committee members are allowed to vote on decisions regarding NEO compensation. The CEO reviews his recommendations pertaining to other executives pay with the Committee providing transparency and oversight. Decisions on non-executive officer pay are made by the CEO in collaboration with the executive officers who manage such employees. The CEO does not participate in the deliberations of the Compensation Committee regarding his own compensation. The Compensation Committee makes all final determinations regarding CEO compensation.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The Role of the Independent Consultant</w:t>
      </w:r>
    </w:p>
    <w:p>
      <w:pPr>
        <w:spacing w:after="0" w:line="210" w:lineRule="exact"/>
        <w:rPr>
          <w:sz w:val="20"/>
          <w:szCs w:val="20"/>
          <w:color w:val="auto"/>
        </w:rPr>
      </w:pPr>
    </w:p>
    <w:p>
      <w:pPr>
        <w:jc w:val="both"/>
        <w:ind w:firstLine="440"/>
        <w:spacing w:after="0" w:line="244" w:lineRule="auto"/>
        <w:rPr>
          <w:sz w:val="20"/>
          <w:szCs w:val="20"/>
          <w:color w:val="auto"/>
        </w:rPr>
      </w:pPr>
      <w:r>
        <w:rPr>
          <w:rFonts w:ascii="Arial" w:cs="Arial" w:eastAsia="Arial" w:hAnsi="Arial"/>
          <w:sz w:val="18"/>
          <w:szCs w:val="18"/>
          <w:color w:val="auto"/>
        </w:rPr>
        <w:t>The Compensation Committee engages an independent compensation consultant to provide expertise on competitive pay practices, program design, and an objective assessment of any inherent risks of any programs. Pursuant to authority granted to it under its charter, the Compensation Committee has hired Pearl Meyer &amp; Partners, LLC (“Pearl Meyer”) as its independent consultant. Pearl Meyer reports directly to the Compensation Committee and does not provide any additional services to management. The Compensation Committee has conducted an independence assessment of Pearl Meyer in accordance with Nasdaq rules.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The Role of Peer Group Companies</w:t>
      </w:r>
    </w:p>
    <w:p>
      <w:pPr>
        <w:spacing w:after="0" w:line="210"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The Compensation Committee strives to set a competitive level of total compensation for each NEO as compared with executive officers in similar positions at peer companies. For purposes of setting 2023 compensation levels, in conjunction with the recommendation of Pearl Meyer, the Compensation</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20"/>
          </w:cols>
          <w:pgMar w:left="440" w:top="296" w:right="439" w:bottom="1440" w:gutter="0" w:footer="0" w:header="0"/>
        </w:sectPr>
      </w:pPr>
    </w:p>
    <w:bookmarkStart w:id="54" w:name="page55"/>
    <w:bookmarkEnd w:id="54"/>
    <w:p>
      <w:pPr>
        <w:jc w:val="both"/>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Committee considered publicly available data for a group of peer companies (the “2023 Compensation Peer Group”) listed below, along with industry specific survey data, where appropriate. Selection criteria for determining/reviewing the 2023 Compensation Peer Group, used to establish the competitive market for the NEOs, generally include companies within the “Health Care Services” and “Health Care Technologies” industry groups and last twelve-month revenues ranging from approximately 1/5 times to 3 times Alignment Healthcare’s revenues (i.e., ~$282 million -$3.2billion) as of June 1, 2023.</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Borders>
              <w:top w:val="single" w:sz="8" w:color="95B3D7"/>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top w:val="single" w:sz="8" w:color="95B3D7"/>
              <w:bottom w:val="single" w:sz="8" w:color="95B3D7"/>
              <w:right w:val="single" w:sz="8" w:color="95B3D7"/>
            </w:tcBorders>
            <w:shd w:val="clear" w:color="auto" w:fill="E2EAF3"/>
          </w:tcPr>
          <w:p>
            <w:pPr>
              <w:ind w:left="60"/>
              <w:spacing w:after="0"/>
              <w:rPr>
                <w:sz w:val="20"/>
                <w:szCs w:val="20"/>
                <w:color w:val="auto"/>
              </w:rPr>
            </w:pPr>
            <w:r>
              <w:rPr>
                <w:rFonts w:ascii="Arial" w:cs="Arial" w:eastAsia="Arial" w:hAnsi="Arial"/>
                <w:sz w:val="16"/>
                <w:szCs w:val="16"/>
                <w:color w:val="auto"/>
              </w:rPr>
              <w:t> 1Life Healthcare, Inc.</w:t>
            </w:r>
          </w:p>
        </w:tc>
        <w:tc>
          <w:tcPr>
            <w:tcW w:w="660" w:type="dxa"/>
            <w:vAlign w:val="bottom"/>
            <w:tcBorders>
              <w:top w:val="single" w:sz="8" w:color="95B3D7"/>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top w:val="single" w:sz="8" w:color="95B3D7"/>
              <w:bottom w:val="single" w:sz="8" w:color="95B3D7"/>
            </w:tcBorders>
            <w:shd w:val="clear" w:color="auto" w:fill="E2EAF3"/>
          </w:tcPr>
          <w:p>
            <w:pPr>
              <w:ind w:left="60"/>
              <w:spacing w:after="0"/>
              <w:rPr>
                <w:sz w:val="20"/>
                <w:szCs w:val="20"/>
                <w:color w:val="auto"/>
              </w:rPr>
            </w:pPr>
            <w:r>
              <w:rPr>
                <w:rFonts w:ascii="Arial" w:cs="Arial" w:eastAsia="Arial" w:hAnsi="Arial"/>
                <w:sz w:val="16"/>
                <w:szCs w:val="16"/>
                <w:color w:val="auto"/>
              </w:rPr>
              <w:t> HealthEquity, Inc.</w:t>
            </w:r>
          </w:p>
        </w:tc>
      </w:tr>
      <w:tr>
        <w:trPr>
          <w:trHeight w:val="183"/>
        </w:trPr>
        <w:tc>
          <w:tcPr>
            <w:tcW w:w="700" w:type="dxa"/>
            <w:vAlign w:val="bottom"/>
            <w:tcBorders>
              <w:bottom w:val="single" w:sz="8" w:color="95B3D7"/>
            </w:tcBorders>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 agilon health, inc.</w:t>
            </w:r>
          </w:p>
        </w:tc>
        <w:tc>
          <w:tcPr>
            <w:tcW w:w="660" w:type="dxa"/>
            <w:vAlign w:val="bottom"/>
            <w:tcBorders>
              <w:bottom w:val="single" w:sz="8" w:color="95B3D7"/>
            </w:tcBorders>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tcPr>
          <w:p>
            <w:pPr>
              <w:ind w:left="60"/>
              <w:spacing w:after="0" w:line="183" w:lineRule="exact"/>
              <w:rPr>
                <w:sz w:val="20"/>
                <w:szCs w:val="20"/>
                <w:color w:val="auto"/>
              </w:rPr>
            </w:pPr>
            <w:r>
              <w:rPr>
                <w:rFonts w:ascii="Arial" w:cs="Arial" w:eastAsia="Arial" w:hAnsi="Arial"/>
                <w:sz w:val="16"/>
                <w:szCs w:val="16"/>
                <w:color w:val="auto"/>
              </w:rPr>
              <w:t> Oak Street Health</w:t>
            </w:r>
          </w:p>
        </w:tc>
      </w:tr>
      <w:tr>
        <w:trPr>
          <w:trHeight w:val="183"/>
        </w:trPr>
        <w:tc>
          <w:tcPr>
            <w:tcW w:w="700" w:type="dxa"/>
            <w:vAlign w:val="bottom"/>
            <w:tcBorders>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 Amedisys, Inc.</w:t>
            </w:r>
          </w:p>
        </w:tc>
        <w:tc>
          <w:tcPr>
            <w:tcW w:w="660" w:type="dxa"/>
            <w:vAlign w:val="bottom"/>
            <w:tcBorders>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 Omnicell, Inc.</w:t>
            </w:r>
          </w:p>
        </w:tc>
      </w:tr>
      <w:tr>
        <w:trPr>
          <w:trHeight w:val="183"/>
        </w:trPr>
        <w:tc>
          <w:tcPr>
            <w:tcW w:w="700" w:type="dxa"/>
            <w:vAlign w:val="bottom"/>
            <w:tcBorders>
              <w:bottom w:val="single" w:sz="8" w:color="95B3D7"/>
            </w:tcBorders>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 Bright Health Group, Inc.</w:t>
            </w:r>
          </w:p>
        </w:tc>
        <w:tc>
          <w:tcPr>
            <w:tcW w:w="660" w:type="dxa"/>
            <w:vAlign w:val="bottom"/>
            <w:tcBorders>
              <w:bottom w:val="single" w:sz="8" w:color="95B3D7"/>
            </w:tcBorders>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tcPr>
          <w:p>
            <w:pPr>
              <w:ind w:left="60"/>
              <w:spacing w:after="0" w:line="183" w:lineRule="exact"/>
              <w:rPr>
                <w:sz w:val="20"/>
                <w:szCs w:val="20"/>
                <w:color w:val="auto"/>
              </w:rPr>
            </w:pPr>
            <w:r>
              <w:rPr>
                <w:rFonts w:ascii="Arial" w:cs="Arial" w:eastAsia="Arial" w:hAnsi="Arial"/>
                <w:sz w:val="16"/>
                <w:szCs w:val="16"/>
                <w:color w:val="auto"/>
              </w:rPr>
              <w:t> Phreesia, Inc.</w:t>
            </w:r>
          </w:p>
        </w:tc>
      </w:tr>
      <w:tr>
        <w:trPr>
          <w:trHeight w:val="183"/>
        </w:trPr>
        <w:tc>
          <w:tcPr>
            <w:tcW w:w="700" w:type="dxa"/>
            <w:vAlign w:val="bottom"/>
            <w:tcBorders>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 Cano Health, Inc.</w:t>
            </w:r>
          </w:p>
        </w:tc>
        <w:tc>
          <w:tcPr>
            <w:tcW w:w="660" w:type="dxa"/>
            <w:vAlign w:val="bottom"/>
            <w:tcBorders>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 Privia Health Group, Inc.</w:t>
            </w:r>
          </w:p>
        </w:tc>
      </w:tr>
      <w:tr>
        <w:trPr>
          <w:trHeight w:val="183"/>
        </w:trPr>
        <w:tc>
          <w:tcPr>
            <w:tcW w:w="700" w:type="dxa"/>
            <w:vAlign w:val="bottom"/>
            <w:tcBorders>
              <w:bottom w:val="single" w:sz="8" w:color="95B3D7"/>
            </w:tcBorders>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 Evolent Health, Inc.</w:t>
            </w:r>
          </w:p>
        </w:tc>
        <w:tc>
          <w:tcPr>
            <w:tcW w:w="660" w:type="dxa"/>
            <w:vAlign w:val="bottom"/>
            <w:tcBorders>
              <w:bottom w:val="single" w:sz="8" w:color="95B3D7"/>
            </w:tcBorders>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tcPr>
          <w:p>
            <w:pPr>
              <w:ind w:left="60"/>
              <w:spacing w:after="0" w:line="183" w:lineRule="exact"/>
              <w:rPr>
                <w:sz w:val="20"/>
                <w:szCs w:val="20"/>
                <w:color w:val="auto"/>
              </w:rPr>
            </w:pPr>
            <w:r>
              <w:rPr>
                <w:rFonts w:ascii="Arial" w:cs="Arial" w:eastAsia="Arial" w:hAnsi="Arial"/>
                <w:sz w:val="16"/>
                <w:szCs w:val="16"/>
                <w:color w:val="auto"/>
              </w:rPr>
              <w:t> Signify Health, Inc.</w:t>
            </w:r>
          </w:p>
        </w:tc>
      </w:tr>
      <w:tr>
        <w:trPr>
          <w:trHeight w:val="183"/>
        </w:trPr>
        <w:tc>
          <w:tcPr>
            <w:tcW w:w="700" w:type="dxa"/>
            <w:vAlign w:val="bottom"/>
            <w:tcBorders>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 Health Catalyst, Inc.</w:t>
            </w:r>
          </w:p>
        </w:tc>
        <w:tc>
          <w:tcPr>
            <w:tcW w:w="660" w:type="dxa"/>
            <w:vAlign w:val="bottom"/>
            <w:tcBorders>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 Veradigm, Inc.</w:t>
            </w:r>
          </w:p>
        </w:tc>
      </w:tr>
    </w:tbl>
    <w:p>
      <w:pPr>
        <w:spacing w:after="0" w:line="197" w:lineRule="exact"/>
        <w:rPr>
          <w:sz w:val="20"/>
          <w:szCs w:val="20"/>
          <w:color w:val="auto"/>
        </w:rPr>
      </w:pPr>
    </w:p>
    <w:p>
      <w:pPr>
        <w:jc w:val="both"/>
        <w:ind w:right="20" w:firstLine="440"/>
        <w:spacing w:after="0" w:line="242" w:lineRule="auto"/>
        <w:rPr>
          <w:sz w:val="20"/>
          <w:szCs w:val="20"/>
          <w:color w:val="auto"/>
        </w:rPr>
      </w:pPr>
      <w:r>
        <w:rPr>
          <w:rFonts w:ascii="Arial" w:cs="Arial" w:eastAsia="Arial" w:hAnsi="Arial"/>
          <w:sz w:val="18"/>
          <w:szCs w:val="18"/>
          <w:color w:val="auto"/>
        </w:rPr>
        <w:t>Given the significant growth of the Company over the course of the year and consolidation in the healthcare space, the peer group was revisited in mid-2023 to better fit the current size and operating complexities of the Company for purposes of setting pay levels for 2024. Selection criteria used to establish the competitive market for the NEOs generally included companies within the “Health Care Services,” Life and Health Insurance,” “Health Care Facilities,” “Health Care Equipment,” and “Health Care Technologies” industry groups, with last twelve-month revenues ranging from approximately one-fifth to three times that of Alignment Healthcare’s revenues (i.e., ~$653 million - $4,482 million) as of June 1,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00" w:type="dxa"/>
            <w:vAlign w:val="bottom"/>
            <w:tcBorders>
              <w:top w:val="single" w:sz="8" w:color="95B3D7"/>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top w:val="single" w:sz="8" w:color="95B3D7"/>
              <w:bottom w:val="single" w:sz="8" w:color="95B3D7"/>
              <w:right w:val="single" w:sz="8" w:color="95B3D7"/>
            </w:tcBorders>
            <w:shd w:val="clear" w:color="auto" w:fill="E2EAF3"/>
          </w:tcPr>
          <w:p>
            <w:pPr>
              <w:ind w:left="60"/>
              <w:spacing w:after="0"/>
              <w:rPr>
                <w:sz w:val="20"/>
                <w:szCs w:val="20"/>
                <w:color w:val="auto"/>
              </w:rPr>
            </w:pPr>
            <w:r>
              <w:rPr>
                <w:rFonts w:ascii="Arial" w:cs="Arial" w:eastAsia="Arial" w:hAnsi="Arial"/>
                <w:sz w:val="16"/>
                <w:szCs w:val="16"/>
                <w:color w:val="auto"/>
              </w:rPr>
              <w:t> Addus HomeCare Corporation</w:t>
            </w:r>
          </w:p>
        </w:tc>
        <w:tc>
          <w:tcPr>
            <w:tcW w:w="660" w:type="dxa"/>
            <w:vAlign w:val="bottom"/>
            <w:tcBorders>
              <w:top w:val="single" w:sz="8" w:color="95B3D7"/>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top w:val="single" w:sz="8" w:color="95B3D7"/>
              <w:bottom w:val="single" w:sz="8" w:color="95B3D7"/>
            </w:tcBorders>
            <w:shd w:val="clear" w:color="auto" w:fill="E2EAF3"/>
          </w:tcPr>
          <w:p>
            <w:pPr>
              <w:ind w:left="60"/>
              <w:spacing w:after="0"/>
              <w:rPr>
                <w:sz w:val="20"/>
                <w:szCs w:val="20"/>
                <w:color w:val="auto"/>
              </w:rPr>
            </w:pPr>
            <w:r>
              <w:rPr>
                <w:rFonts w:ascii="Arial" w:cs="Arial" w:eastAsia="Arial" w:hAnsi="Arial"/>
                <w:sz w:val="16"/>
                <w:szCs w:val="16"/>
                <w:color w:val="auto"/>
              </w:rPr>
              <w:t> NextGen Healthcare, Inc.</w:t>
            </w:r>
          </w:p>
        </w:tc>
      </w:tr>
      <w:tr>
        <w:trPr>
          <w:trHeight w:val="183"/>
        </w:trPr>
        <w:tc>
          <w:tcPr>
            <w:tcW w:w="700" w:type="dxa"/>
            <w:vAlign w:val="bottom"/>
            <w:tcBorders>
              <w:bottom w:val="single" w:sz="8" w:color="95B3D7"/>
            </w:tcBorders>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 Agiliti, Inc.</w:t>
            </w:r>
          </w:p>
        </w:tc>
        <w:tc>
          <w:tcPr>
            <w:tcW w:w="660" w:type="dxa"/>
            <w:vAlign w:val="bottom"/>
            <w:tcBorders>
              <w:bottom w:val="single" w:sz="8" w:color="95B3D7"/>
            </w:tcBorders>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tcPr>
          <w:p>
            <w:pPr>
              <w:ind w:left="60"/>
              <w:spacing w:after="0" w:line="183" w:lineRule="exact"/>
              <w:rPr>
                <w:sz w:val="20"/>
                <w:szCs w:val="20"/>
                <w:color w:val="auto"/>
              </w:rPr>
            </w:pPr>
            <w:r>
              <w:rPr>
                <w:rFonts w:ascii="Arial" w:cs="Arial" w:eastAsia="Arial" w:hAnsi="Arial"/>
                <w:sz w:val="16"/>
                <w:szCs w:val="16"/>
                <w:color w:val="auto"/>
              </w:rPr>
              <w:t> Oak Street Health, Inc.</w:t>
            </w:r>
          </w:p>
        </w:tc>
      </w:tr>
      <w:tr>
        <w:trPr>
          <w:trHeight w:val="183"/>
        </w:trPr>
        <w:tc>
          <w:tcPr>
            <w:tcW w:w="700" w:type="dxa"/>
            <w:vAlign w:val="bottom"/>
            <w:tcBorders>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 agilon health, inc.</w:t>
            </w:r>
          </w:p>
        </w:tc>
        <w:tc>
          <w:tcPr>
            <w:tcW w:w="660" w:type="dxa"/>
            <w:vAlign w:val="bottom"/>
            <w:tcBorders>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 Omnicell, Inc.</w:t>
            </w:r>
          </w:p>
        </w:tc>
      </w:tr>
      <w:tr>
        <w:trPr>
          <w:trHeight w:val="183"/>
        </w:trPr>
        <w:tc>
          <w:tcPr>
            <w:tcW w:w="700" w:type="dxa"/>
            <w:vAlign w:val="bottom"/>
            <w:tcBorders>
              <w:bottom w:val="single" w:sz="8" w:color="95B3D7"/>
            </w:tcBorders>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 Amedisys, Inc.</w:t>
            </w:r>
          </w:p>
        </w:tc>
        <w:tc>
          <w:tcPr>
            <w:tcW w:w="660" w:type="dxa"/>
            <w:vAlign w:val="bottom"/>
            <w:tcBorders>
              <w:bottom w:val="single" w:sz="8" w:color="95B3D7"/>
            </w:tcBorders>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tcPr>
          <w:p>
            <w:pPr>
              <w:ind w:left="60"/>
              <w:spacing w:after="0" w:line="183" w:lineRule="exact"/>
              <w:rPr>
                <w:sz w:val="20"/>
                <w:szCs w:val="20"/>
                <w:color w:val="auto"/>
              </w:rPr>
            </w:pPr>
            <w:r>
              <w:rPr>
                <w:rFonts w:ascii="Arial" w:cs="Arial" w:eastAsia="Arial" w:hAnsi="Arial"/>
                <w:sz w:val="16"/>
                <w:szCs w:val="16"/>
                <w:color w:val="auto"/>
              </w:rPr>
              <w:t> Oscar Health, Inc.</w:t>
            </w:r>
          </w:p>
        </w:tc>
      </w:tr>
      <w:tr>
        <w:trPr>
          <w:trHeight w:val="183"/>
        </w:trPr>
        <w:tc>
          <w:tcPr>
            <w:tcW w:w="700" w:type="dxa"/>
            <w:vAlign w:val="bottom"/>
            <w:tcBorders>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 Evolent Health, Inc.</w:t>
            </w:r>
          </w:p>
        </w:tc>
        <w:tc>
          <w:tcPr>
            <w:tcW w:w="660" w:type="dxa"/>
            <w:vAlign w:val="bottom"/>
            <w:tcBorders>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 Pediatrix Medical Group, Inc.</w:t>
            </w:r>
          </w:p>
        </w:tc>
      </w:tr>
      <w:tr>
        <w:trPr>
          <w:trHeight w:val="183"/>
        </w:trPr>
        <w:tc>
          <w:tcPr>
            <w:tcW w:w="700" w:type="dxa"/>
            <w:vAlign w:val="bottom"/>
            <w:tcBorders>
              <w:bottom w:val="single" w:sz="8" w:color="95B3D7"/>
            </w:tcBorders>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 LifeStance Health Group, Inc.</w:t>
            </w:r>
          </w:p>
        </w:tc>
        <w:tc>
          <w:tcPr>
            <w:tcW w:w="660" w:type="dxa"/>
            <w:vAlign w:val="bottom"/>
            <w:tcBorders>
              <w:bottom w:val="single" w:sz="8" w:color="95B3D7"/>
            </w:tcBorders>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tcPr>
          <w:p>
            <w:pPr>
              <w:ind w:left="60"/>
              <w:spacing w:after="0" w:line="183" w:lineRule="exact"/>
              <w:rPr>
                <w:sz w:val="20"/>
                <w:szCs w:val="20"/>
                <w:color w:val="auto"/>
              </w:rPr>
            </w:pPr>
            <w:r>
              <w:rPr>
                <w:rFonts w:ascii="Arial" w:cs="Arial" w:eastAsia="Arial" w:hAnsi="Arial"/>
                <w:sz w:val="16"/>
                <w:szCs w:val="16"/>
                <w:color w:val="auto"/>
              </w:rPr>
              <w:t> Privia Health Group, Inc.</w:t>
            </w:r>
          </w:p>
        </w:tc>
      </w:tr>
      <w:tr>
        <w:trPr>
          <w:trHeight w:val="183"/>
        </w:trPr>
        <w:tc>
          <w:tcPr>
            <w:tcW w:w="700" w:type="dxa"/>
            <w:vAlign w:val="bottom"/>
            <w:tcBorders>
              <w:bottom w:val="single" w:sz="8" w:color="95B3D7"/>
            </w:tcBorders>
            <w:shd w:val="clear" w:color="auto" w:fill="E2EAF3"/>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 Molina Healthcare, Inc.</w:t>
            </w:r>
          </w:p>
        </w:tc>
        <w:tc>
          <w:tcPr>
            <w:tcW w:w="660" w:type="dxa"/>
            <w:vAlign w:val="bottom"/>
            <w:tcBorders>
              <w:bottom w:val="single" w:sz="8" w:color="95B3D7"/>
            </w:tcBorders>
            <w:shd w:val="clear" w:color="auto" w:fill="E2EAF3"/>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shd w:val="clear" w:color="auto" w:fill="E2EAF3"/>
          </w:tcPr>
          <w:p>
            <w:pPr>
              <w:ind w:left="60"/>
              <w:spacing w:after="0" w:line="183" w:lineRule="exact"/>
              <w:rPr>
                <w:sz w:val="20"/>
                <w:szCs w:val="20"/>
                <w:color w:val="auto"/>
              </w:rPr>
            </w:pPr>
            <w:r>
              <w:rPr>
                <w:rFonts w:ascii="Arial" w:cs="Arial" w:eastAsia="Arial" w:hAnsi="Arial"/>
                <w:sz w:val="16"/>
                <w:szCs w:val="16"/>
                <w:color w:val="auto"/>
              </w:rPr>
              <w:t> RadNet, Inc.</w:t>
            </w:r>
          </w:p>
        </w:tc>
      </w:tr>
      <w:tr>
        <w:trPr>
          <w:trHeight w:val="183"/>
        </w:trPr>
        <w:tc>
          <w:tcPr>
            <w:tcW w:w="700" w:type="dxa"/>
            <w:vAlign w:val="bottom"/>
            <w:tcBorders>
              <w:bottom w:val="single" w:sz="8" w:color="95B3D7"/>
            </w:tcBorders>
          </w:tcPr>
          <w:p>
            <w:pPr>
              <w:ind w:left="540"/>
              <w:spacing w:after="0"/>
              <w:rPr>
                <w:sz w:val="20"/>
                <w:szCs w:val="20"/>
                <w:color w:val="auto"/>
              </w:rPr>
            </w:pPr>
            <w:r>
              <w:rPr>
                <w:rFonts w:ascii="Arial" w:cs="Arial" w:eastAsia="Arial" w:hAnsi="Arial"/>
                <w:sz w:val="14"/>
                <w:szCs w:val="14"/>
                <w:color w:val="auto"/>
                <w:w w:val="73"/>
              </w:rPr>
              <w:t>• </w:t>
            </w:r>
          </w:p>
        </w:tc>
        <w:tc>
          <w:tcPr>
            <w:tcW w:w="4940" w:type="dxa"/>
            <w:vAlign w:val="bottom"/>
            <w:tcBorders>
              <w:bottom w:val="single" w:sz="8" w:color="95B3D7"/>
              <w:right w:val="single" w:sz="8" w:color="95B3D7"/>
            </w:tcBorders>
          </w:tcPr>
          <w:p>
            <w:pPr>
              <w:ind w:left="60"/>
              <w:spacing w:after="0" w:line="183" w:lineRule="exact"/>
              <w:rPr>
                <w:sz w:val="20"/>
                <w:szCs w:val="20"/>
                <w:color w:val="auto"/>
              </w:rPr>
            </w:pPr>
            <w:r>
              <w:rPr>
                <w:rFonts w:ascii="Arial" w:cs="Arial" w:eastAsia="Arial" w:hAnsi="Arial"/>
                <w:sz w:val="16"/>
                <w:szCs w:val="16"/>
                <w:color w:val="auto"/>
              </w:rPr>
              <w:t> National HealthCare Corporation</w:t>
            </w:r>
          </w:p>
        </w:tc>
        <w:tc>
          <w:tcPr>
            <w:tcW w:w="660" w:type="dxa"/>
            <w:vAlign w:val="bottom"/>
            <w:tcBorders>
              <w:bottom w:val="single" w:sz="8" w:color="95B3D7"/>
            </w:tcBorders>
          </w:tcPr>
          <w:p>
            <w:pPr>
              <w:ind w:left="500"/>
              <w:spacing w:after="0"/>
              <w:rPr>
                <w:sz w:val="20"/>
                <w:szCs w:val="20"/>
                <w:color w:val="auto"/>
              </w:rPr>
            </w:pPr>
            <w:r>
              <w:rPr>
                <w:rFonts w:ascii="Arial" w:cs="Arial" w:eastAsia="Arial" w:hAnsi="Arial"/>
                <w:sz w:val="14"/>
                <w:szCs w:val="14"/>
                <w:color w:val="auto"/>
                <w:w w:val="73"/>
              </w:rPr>
              <w:t>• </w:t>
            </w:r>
          </w:p>
        </w:tc>
        <w:tc>
          <w:tcPr>
            <w:tcW w:w="4720" w:type="dxa"/>
            <w:vAlign w:val="bottom"/>
            <w:tcBorders>
              <w:bottom w:val="single" w:sz="8" w:color="95B3D7"/>
            </w:tcBorders>
          </w:tcPr>
          <w:p>
            <w:pPr>
              <w:ind w:left="60"/>
              <w:spacing w:after="0" w:line="183" w:lineRule="exact"/>
              <w:rPr>
                <w:sz w:val="20"/>
                <w:szCs w:val="20"/>
                <w:color w:val="auto"/>
              </w:rPr>
            </w:pPr>
            <w:r>
              <w:rPr>
                <w:rFonts w:ascii="Arial" w:cs="Arial" w:eastAsia="Arial" w:hAnsi="Arial"/>
                <w:sz w:val="16"/>
                <w:szCs w:val="16"/>
                <w:color w:val="auto"/>
              </w:rPr>
              <w:t> Veradigm Inc.</w:t>
            </w:r>
          </w:p>
        </w:tc>
      </w:tr>
    </w:tbl>
    <w:p>
      <w:pPr>
        <w:spacing w:after="0" w:line="197" w:lineRule="exact"/>
        <w:rPr>
          <w:sz w:val="20"/>
          <w:szCs w:val="20"/>
          <w:color w:val="auto"/>
        </w:rPr>
      </w:pPr>
    </w:p>
    <w:p>
      <w:pPr>
        <w:jc w:val="both"/>
        <w:ind w:firstLine="440"/>
        <w:spacing w:after="0" w:line="244" w:lineRule="auto"/>
        <w:rPr>
          <w:sz w:val="20"/>
          <w:szCs w:val="20"/>
          <w:color w:val="auto"/>
        </w:rPr>
      </w:pPr>
      <w:r>
        <w:rPr>
          <w:rFonts w:ascii="Arial" w:cs="Arial" w:eastAsia="Arial" w:hAnsi="Arial"/>
          <w:sz w:val="18"/>
          <w:szCs w:val="18"/>
          <w:color w:val="auto"/>
        </w:rPr>
        <w:t>It is important to note that this market data is not the sole determinant in setting pay levels for the NEOs. Actual pay levels can be above or below the targeted levels depending on factors such as experience, individual or company performance, tenure, employee potential, unique skills, criticality of the position to the Company and other factors. In general, the Compensation Committee desires to balance general internal and external equity and reserves the right to use discretion to deviate when necessary to recruit employees and/or retain the right talent.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2023 Executive Compensation Program in Detail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Base Salary</w:t>
      </w:r>
    </w:p>
    <w:p>
      <w:pPr>
        <w:spacing w:after="0" w:line="210" w:lineRule="exact"/>
        <w:rPr>
          <w:sz w:val="20"/>
          <w:szCs w:val="20"/>
          <w:color w:val="auto"/>
        </w:rPr>
      </w:pPr>
    </w:p>
    <w:p>
      <w:pPr>
        <w:jc w:val="both"/>
        <w:ind w:firstLine="440"/>
        <w:spacing w:after="0" w:line="242" w:lineRule="auto"/>
        <w:rPr>
          <w:sz w:val="20"/>
          <w:szCs w:val="20"/>
          <w:color w:val="auto"/>
        </w:rPr>
      </w:pPr>
      <w:r>
        <w:rPr>
          <w:rFonts w:ascii="Arial" w:cs="Arial" w:eastAsia="Arial" w:hAnsi="Arial"/>
          <w:sz w:val="18"/>
          <w:szCs w:val="18"/>
          <w:color w:val="auto"/>
        </w:rPr>
        <w:t>Base salary represents annual fixed compensation and is a standard element of compensation necessary to attract and retain executive leadership talent. In making base salary decisions, the Compensation Committee considers the CEO’s recommendations, as well as each NEO’s position and level of responsibility within the Company. The Committee considers factors such as competitive market data as well as individual performance, experience, tenure, internal equity and employee potential. For 2023, the Compensation Committee approved base salary increases for Messrs. Kao and Freeman, in order to align their compensation with the market for similar roles and responsibilities. Annual base salary rates for 2023 were as follows: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20"/>
          </w:cols>
          <w:pgMar w:left="440" w:top="296" w:right="4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62"/>
        </w:trPr>
        <w:tc>
          <w:tcPr>
            <w:tcW w:w="23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2022</w:t>
            </w: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2060" w:type="dxa"/>
            <w:vAlign w:val="bottom"/>
          </w:tcPr>
          <w:p>
            <w:pPr>
              <w:jc w:val="center"/>
              <w:ind w:left="2"/>
              <w:spacing w:after="0"/>
              <w:rPr>
                <w:sz w:val="20"/>
                <w:szCs w:val="20"/>
                <w:color w:val="auto"/>
              </w:rPr>
            </w:pPr>
            <w:r>
              <w:rPr>
                <w:rFonts w:ascii="Arial" w:cs="Arial" w:eastAsia="Arial" w:hAnsi="Arial"/>
                <w:sz w:val="14"/>
                <w:szCs w:val="14"/>
                <w:b w:val="1"/>
                <w:bCs w:val="1"/>
                <w:color w:val="auto"/>
              </w:rPr>
              <w:t>Market</w:t>
            </w:r>
          </w:p>
        </w:tc>
      </w:tr>
      <w:tr>
        <w:trPr>
          <w:trHeight w:val="185"/>
        </w:trPr>
        <w:tc>
          <w:tcPr>
            <w:tcW w:w="2340" w:type="dxa"/>
            <w:vAlign w:val="bottom"/>
            <w:tcBorders>
              <w:bottom w:val="single" w:sz="8" w:color="95B3D7"/>
            </w:tcBorders>
          </w:tcPr>
          <w:p>
            <w:pPr>
              <w:ind w:left="960"/>
              <w:spacing w:after="0"/>
              <w:rPr>
                <w:sz w:val="20"/>
                <w:szCs w:val="20"/>
                <w:color w:val="auto"/>
              </w:rPr>
            </w:pPr>
            <w:r>
              <w:rPr>
                <w:rFonts w:ascii="Arial" w:cs="Arial" w:eastAsia="Arial" w:hAnsi="Arial"/>
                <w:sz w:val="14"/>
                <w:szCs w:val="14"/>
                <w:b w:val="1"/>
                <w:bCs w:val="1"/>
                <w:color w:val="auto"/>
              </w:rPr>
              <w:t>Name</w:t>
            </w:r>
          </w:p>
        </w:tc>
        <w:tc>
          <w:tcPr>
            <w:tcW w:w="2220" w:type="dxa"/>
            <w:vAlign w:val="bottom"/>
            <w:tcBorders>
              <w:bottom w:val="single" w:sz="8" w:color="95B3D7"/>
            </w:tcBorders>
          </w:tcPr>
          <w:p>
            <w:pPr>
              <w:spacing w:after="0"/>
              <w:rPr>
                <w:sz w:val="16"/>
                <w:szCs w:val="16"/>
                <w:color w:val="auto"/>
              </w:rPr>
            </w:pPr>
          </w:p>
        </w:tc>
        <w:tc>
          <w:tcPr>
            <w:tcW w:w="2200" w:type="dxa"/>
            <w:vAlign w:val="bottom"/>
            <w:tcBorders>
              <w:bottom w:val="single" w:sz="8" w:color="95B3D7"/>
            </w:tcBorders>
          </w:tcPr>
          <w:p>
            <w:pPr>
              <w:ind w:left="720"/>
              <w:spacing w:after="0"/>
              <w:rPr>
                <w:sz w:val="20"/>
                <w:szCs w:val="20"/>
                <w:color w:val="auto"/>
              </w:rPr>
            </w:pPr>
            <w:r>
              <w:rPr>
                <w:rFonts w:ascii="Arial" w:cs="Arial" w:eastAsia="Arial" w:hAnsi="Arial"/>
                <w:sz w:val="14"/>
                <w:szCs w:val="14"/>
                <w:b w:val="1"/>
                <w:bCs w:val="1"/>
                <w:color w:val="auto"/>
              </w:rPr>
              <w:t>Base Salary</w:t>
            </w:r>
          </w:p>
        </w:tc>
        <w:tc>
          <w:tcPr>
            <w:tcW w:w="220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Base Salary</w:t>
            </w:r>
          </w:p>
        </w:tc>
        <w:tc>
          <w:tcPr>
            <w:tcW w:w="2060" w:type="dxa"/>
            <w:vAlign w:val="bottom"/>
            <w:tcBorders>
              <w:bottom w:val="single" w:sz="8" w:color="95B3D7"/>
            </w:tcBorders>
          </w:tcPr>
          <w:p>
            <w:pPr>
              <w:jc w:val="center"/>
              <w:ind w:left="2"/>
              <w:spacing w:after="0"/>
              <w:rPr>
                <w:sz w:val="20"/>
                <w:szCs w:val="20"/>
                <w:color w:val="auto"/>
              </w:rPr>
            </w:pPr>
            <w:r>
              <w:rPr>
                <w:rFonts w:ascii="Arial" w:cs="Arial" w:eastAsia="Arial" w:hAnsi="Arial"/>
                <w:sz w:val="14"/>
                <w:szCs w:val="14"/>
                <w:b w:val="1"/>
                <w:bCs w:val="1"/>
                <w:color w:val="auto"/>
              </w:rPr>
              <w:t>Adjustment (%)</w:t>
            </w:r>
          </w:p>
        </w:tc>
      </w:tr>
      <w:tr>
        <w:trPr>
          <w:trHeight w:val="183"/>
        </w:trPr>
        <w:tc>
          <w:tcPr>
            <w:tcW w:w="234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color w:val="auto"/>
              </w:rPr>
              <w:t>  John Kao</w:t>
            </w:r>
          </w:p>
        </w:tc>
        <w:tc>
          <w:tcPr>
            <w:tcW w:w="222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color w:val="auto"/>
              </w:rPr>
              <w:t xml:space="preserve">            </w:t>
            </w:r>
          </w:p>
        </w:tc>
        <w:tc>
          <w:tcPr>
            <w:tcW w:w="220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$750,000</w:t>
            </w:r>
          </w:p>
        </w:tc>
        <w:tc>
          <w:tcPr>
            <w:tcW w:w="220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$800,000</w:t>
            </w:r>
          </w:p>
        </w:tc>
        <w:tc>
          <w:tcPr>
            <w:tcW w:w="2060" w:type="dxa"/>
            <w:vAlign w:val="bottom"/>
            <w:tcBorders>
              <w:bottom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6.66</w:t>
            </w:r>
          </w:p>
        </w:tc>
      </w:tr>
      <w:tr>
        <w:trPr>
          <w:trHeight w:val="183"/>
        </w:trPr>
        <w:tc>
          <w:tcPr>
            <w:tcW w:w="234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color w:val="auto"/>
              </w:rPr>
              <w:t>  Thomas Freeman</w:t>
            </w:r>
          </w:p>
        </w:tc>
        <w:tc>
          <w:tcPr>
            <w:tcW w:w="2220" w:type="dxa"/>
            <w:vAlign w:val="bottom"/>
            <w:tcBorders>
              <w:bottom w:val="single" w:sz="8" w:color="95B3D7"/>
              <w:right w:val="single" w:sz="8" w:color="95B3D7"/>
            </w:tcBorders>
          </w:tcPr>
          <w:p>
            <w:pPr>
              <w:spacing w:after="0"/>
              <w:rPr>
                <w:sz w:val="15"/>
                <w:szCs w:val="15"/>
                <w:color w:val="auto"/>
              </w:rPr>
            </w:pPr>
          </w:p>
        </w:tc>
        <w:tc>
          <w:tcPr>
            <w:tcW w:w="2200" w:type="dxa"/>
            <w:vAlign w:val="bottom"/>
            <w:tcBorders>
              <w:bottom w:val="single" w:sz="8" w:color="95B3D7"/>
              <w:right w:val="single" w:sz="8" w:color="95B3D7"/>
            </w:tcBorders>
          </w:tcPr>
          <w:p>
            <w:pPr>
              <w:jc w:val="center"/>
              <w:spacing w:after="0" w:line="183" w:lineRule="exact"/>
              <w:rPr>
                <w:sz w:val="20"/>
                <w:szCs w:val="20"/>
                <w:color w:val="auto"/>
              </w:rPr>
            </w:pPr>
            <w:r>
              <w:rPr>
                <w:rFonts w:ascii="Arial" w:cs="Arial" w:eastAsia="Arial" w:hAnsi="Arial"/>
                <w:sz w:val="16"/>
                <w:szCs w:val="16"/>
                <w:color w:val="auto"/>
              </w:rPr>
              <w:t>$500,000</w:t>
            </w:r>
          </w:p>
        </w:tc>
        <w:tc>
          <w:tcPr>
            <w:tcW w:w="2200" w:type="dxa"/>
            <w:vAlign w:val="bottom"/>
            <w:tcBorders>
              <w:bottom w:val="single" w:sz="8" w:color="95B3D7"/>
              <w:right w:val="single" w:sz="8" w:color="95B3D7"/>
            </w:tcBorders>
          </w:tcPr>
          <w:p>
            <w:pPr>
              <w:jc w:val="center"/>
              <w:spacing w:after="0" w:line="183" w:lineRule="exact"/>
              <w:rPr>
                <w:sz w:val="20"/>
                <w:szCs w:val="20"/>
                <w:color w:val="auto"/>
              </w:rPr>
            </w:pPr>
            <w:r>
              <w:rPr>
                <w:rFonts w:ascii="Arial" w:cs="Arial" w:eastAsia="Arial" w:hAnsi="Arial"/>
                <w:sz w:val="16"/>
                <w:szCs w:val="16"/>
                <w:color w:val="auto"/>
              </w:rPr>
              <w:t>$560,000</w:t>
            </w:r>
          </w:p>
        </w:tc>
        <w:tc>
          <w:tcPr>
            <w:tcW w:w="2060" w:type="dxa"/>
            <w:vAlign w:val="bottom"/>
            <w:tcBorders>
              <w:bottom w:val="single" w:sz="8" w:color="95B3D7"/>
            </w:tcBorders>
          </w:tcPr>
          <w:p>
            <w:pPr>
              <w:jc w:val="center"/>
              <w:ind w:left="2"/>
              <w:spacing w:after="0" w:line="183" w:lineRule="exact"/>
              <w:rPr>
                <w:sz w:val="20"/>
                <w:szCs w:val="20"/>
                <w:color w:val="auto"/>
              </w:rPr>
            </w:pPr>
            <w:r>
              <w:rPr>
                <w:rFonts w:ascii="Arial" w:cs="Arial" w:eastAsia="Arial" w:hAnsi="Arial"/>
                <w:sz w:val="16"/>
                <w:szCs w:val="16"/>
                <w:color w:val="auto"/>
              </w:rPr>
              <w:t>12</w:t>
            </w:r>
          </w:p>
        </w:tc>
      </w:tr>
      <w:tr>
        <w:trPr>
          <w:trHeight w:val="183"/>
        </w:trPr>
        <w:tc>
          <w:tcPr>
            <w:tcW w:w="234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color w:val="auto"/>
              </w:rPr>
              <w:t>  Dawn Maroney</w:t>
            </w:r>
          </w:p>
        </w:tc>
        <w:tc>
          <w:tcPr>
            <w:tcW w:w="2220" w:type="dxa"/>
            <w:vAlign w:val="bottom"/>
            <w:tcBorders>
              <w:bottom w:val="single" w:sz="8" w:color="95B3D7"/>
              <w:right w:val="single" w:sz="8" w:color="95B3D7"/>
            </w:tcBorders>
            <w:shd w:val="clear" w:color="auto" w:fill="DBE5F1"/>
          </w:tcPr>
          <w:p>
            <w:pPr>
              <w:spacing w:after="0"/>
              <w:rPr>
                <w:sz w:val="15"/>
                <w:szCs w:val="15"/>
                <w:color w:val="auto"/>
              </w:rPr>
            </w:pPr>
          </w:p>
        </w:tc>
        <w:tc>
          <w:tcPr>
            <w:tcW w:w="220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$560,000</w:t>
            </w:r>
          </w:p>
        </w:tc>
        <w:tc>
          <w:tcPr>
            <w:tcW w:w="220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$560,000</w:t>
            </w:r>
          </w:p>
        </w:tc>
        <w:tc>
          <w:tcPr>
            <w:tcW w:w="2060" w:type="dxa"/>
            <w:vAlign w:val="bottom"/>
            <w:tcBorders>
              <w:bottom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w w:val="99"/>
              </w:rPr>
              <w:t>—</w:t>
            </w:r>
          </w:p>
        </w:tc>
      </w:tr>
      <w:tr>
        <w:trPr>
          <w:trHeight w:val="183"/>
        </w:trPr>
        <w:tc>
          <w:tcPr>
            <w:tcW w:w="234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4"/>
                <w:szCs w:val="14"/>
                <w:color w:val="auto"/>
              </w:rPr>
              <w:t>  Hakan Kardes</w:t>
            </w:r>
            <w:r>
              <w:rPr>
                <w:rFonts w:ascii="Arial" w:cs="Arial" w:eastAsia="Arial" w:hAnsi="Arial"/>
                <w:sz w:val="21"/>
                <w:szCs w:val="21"/>
                <w:color w:val="auto"/>
                <w:vertAlign w:val="superscript"/>
              </w:rPr>
              <w:t>(2)</w:t>
            </w:r>
          </w:p>
        </w:tc>
        <w:tc>
          <w:tcPr>
            <w:tcW w:w="2220" w:type="dxa"/>
            <w:vAlign w:val="bottom"/>
            <w:tcBorders>
              <w:bottom w:val="single" w:sz="8" w:color="95B3D7"/>
              <w:right w:val="single" w:sz="8" w:color="95B3D7"/>
            </w:tcBorders>
          </w:tcPr>
          <w:p>
            <w:pPr>
              <w:spacing w:after="0"/>
              <w:rPr>
                <w:sz w:val="15"/>
                <w:szCs w:val="15"/>
                <w:color w:val="auto"/>
              </w:rPr>
            </w:pPr>
          </w:p>
        </w:tc>
        <w:tc>
          <w:tcPr>
            <w:tcW w:w="2200" w:type="dxa"/>
            <w:vAlign w:val="bottom"/>
            <w:tcBorders>
              <w:bottom w:val="single" w:sz="8" w:color="95B3D7"/>
              <w:right w:val="single" w:sz="8" w:color="95B3D7"/>
            </w:tcBorders>
          </w:tcPr>
          <w:p>
            <w:pPr>
              <w:jc w:val="center"/>
              <w:spacing w:after="0" w:line="183" w:lineRule="exact"/>
              <w:rPr>
                <w:sz w:val="20"/>
                <w:szCs w:val="20"/>
                <w:color w:val="auto"/>
              </w:rPr>
            </w:pPr>
            <w:r>
              <w:rPr>
                <w:rFonts w:ascii="Arial" w:cs="Arial" w:eastAsia="Arial" w:hAnsi="Arial"/>
                <w:sz w:val="16"/>
                <w:szCs w:val="16"/>
                <w:color w:val="auto"/>
                <w:w w:val="99"/>
              </w:rPr>
              <w:t>—</w:t>
            </w:r>
          </w:p>
        </w:tc>
        <w:tc>
          <w:tcPr>
            <w:tcW w:w="2200" w:type="dxa"/>
            <w:vAlign w:val="bottom"/>
            <w:tcBorders>
              <w:bottom w:val="single" w:sz="8" w:color="95B3D7"/>
              <w:right w:val="single" w:sz="8" w:color="95B3D7"/>
            </w:tcBorders>
          </w:tcPr>
          <w:p>
            <w:pPr>
              <w:jc w:val="center"/>
              <w:spacing w:after="0" w:line="183" w:lineRule="exact"/>
              <w:rPr>
                <w:sz w:val="20"/>
                <w:szCs w:val="20"/>
                <w:color w:val="auto"/>
              </w:rPr>
            </w:pPr>
            <w:r>
              <w:rPr>
                <w:rFonts w:ascii="Arial" w:cs="Arial" w:eastAsia="Arial" w:hAnsi="Arial"/>
                <w:sz w:val="16"/>
                <w:szCs w:val="16"/>
                <w:color w:val="auto"/>
              </w:rPr>
              <w:t>$425,000</w:t>
            </w:r>
          </w:p>
        </w:tc>
        <w:tc>
          <w:tcPr>
            <w:tcW w:w="2060" w:type="dxa"/>
            <w:vAlign w:val="bottom"/>
            <w:tcBorders>
              <w:bottom w:val="single" w:sz="8" w:color="95B3D7"/>
            </w:tcBorders>
          </w:tcPr>
          <w:p>
            <w:pPr>
              <w:jc w:val="center"/>
              <w:spacing w:after="0" w:line="183" w:lineRule="exact"/>
              <w:rPr>
                <w:sz w:val="20"/>
                <w:szCs w:val="20"/>
                <w:color w:val="auto"/>
              </w:rPr>
            </w:pPr>
            <w:r>
              <w:rPr>
                <w:rFonts w:ascii="Arial" w:cs="Arial" w:eastAsia="Arial" w:hAnsi="Arial"/>
                <w:sz w:val="16"/>
                <w:szCs w:val="16"/>
                <w:color w:val="auto"/>
                <w:w w:val="99"/>
              </w:rPr>
              <w:t>—</w:t>
            </w:r>
          </w:p>
        </w:tc>
      </w:tr>
      <w:tr>
        <w:trPr>
          <w:trHeight w:val="183"/>
        </w:trPr>
        <w:tc>
          <w:tcPr>
            <w:tcW w:w="234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4"/>
                <w:szCs w:val="14"/>
                <w:color w:val="auto"/>
              </w:rPr>
              <w:t>  Hyong (Ken) Kim, M.D.</w:t>
            </w:r>
            <w:r>
              <w:rPr>
                <w:rFonts w:ascii="Arial" w:cs="Arial" w:eastAsia="Arial" w:hAnsi="Arial"/>
                <w:sz w:val="21"/>
                <w:szCs w:val="21"/>
                <w:color w:val="auto"/>
                <w:vertAlign w:val="superscript"/>
              </w:rPr>
              <w:t>(1)</w:t>
            </w:r>
          </w:p>
        </w:tc>
        <w:tc>
          <w:tcPr>
            <w:tcW w:w="2220" w:type="dxa"/>
            <w:vAlign w:val="bottom"/>
            <w:tcBorders>
              <w:bottom w:val="single" w:sz="8" w:color="95B3D7"/>
              <w:right w:val="single" w:sz="8" w:color="95B3D7"/>
            </w:tcBorders>
            <w:shd w:val="clear" w:color="auto" w:fill="DBE5F1"/>
          </w:tcPr>
          <w:p>
            <w:pPr>
              <w:spacing w:after="0"/>
              <w:rPr>
                <w:sz w:val="15"/>
                <w:szCs w:val="15"/>
                <w:color w:val="auto"/>
              </w:rPr>
            </w:pPr>
          </w:p>
        </w:tc>
        <w:tc>
          <w:tcPr>
            <w:tcW w:w="220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w w:val="99"/>
              </w:rPr>
              <w:t>—</w:t>
            </w:r>
          </w:p>
        </w:tc>
        <w:tc>
          <w:tcPr>
            <w:tcW w:w="220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$560,000</w:t>
            </w:r>
          </w:p>
        </w:tc>
        <w:tc>
          <w:tcPr>
            <w:tcW w:w="2060" w:type="dxa"/>
            <w:vAlign w:val="bottom"/>
            <w:tcBorders>
              <w:bottom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w w:val="99"/>
              </w:rPr>
              <w:t>—</w:t>
            </w: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760" w:hanging="332"/>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Kardes was not an NEO prior to 2023.</w:t>
      </w:r>
    </w:p>
    <w:p>
      <w:pPr>
        <w:spacing w:after="0" w:line="15" w:lineRule="exact"/>
        <w:rPr>
          <w:rFonts w:ascii="Arial" w:cs="Arial" w:eastAsia="Arial" w:hAnsi="Arial"/>
          <w:sz w:val="14"/>
          <w:szCs w:val="14"/>
          <w:color w:val="auto"/>
        </w:rPr>
      </w:pPr>
    </w:p>
    <w:p>
      <w:pPr>
        <w:ind w:left="760" w:hanging="332"/>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Kim was appointed Chief Medical Officer effective September 25, 2023.</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Annual Incentives</w:t>
      </w:r>
    </w:p>
    <w:p>
      <w:pPr>
        <w:spacing w:after="0" w:line="210" w:lineRule="exact"/>
        <w:rPr>
          <w:sz w:val="20"/>
          <w:szCs w:val="20"/>
          <w:color w:val="auto"/>
        </w:rPr>
      </w:pPr>
    </w:p>
    <w:p>
      <w:pPr>
        <w:jc w:val="both"/>
        <w:ind w:firstLine="440"/>
        <w:spacing w:after="0"/>
        <w:rPr>
          <w:sz w:val="20"/>
          <w:szCs w:val="20"/>
          <w:color w:val="auto"/>
        </w:rPr>
      </w:pPr>
      <w:r>
        <w:rPr>
          <w:rFonts w:ascii="Arial" w:cs="Arial" w:eastAsia="Arial" w:hAnsi="Arial"/>
          <w:sz w:val="18"/>
          <w:szCs w:val="18"/>
          <w:color w:val="auto"/>
        </w:rPr>
        <w:t>The 2023 Annual Incentive Plan provided our NEOs the opportunity to earn a performance-based annual cash bonus. Actual payouts depend on the achievement of pre-determined, strategic and/or financial corporate performance objectives (which represent 100% of the award for the CEO and 75% of the award for the other NEOs), as well as individual performance (which represent 25% of the award for the NEOs other than the CEO). Based on results, payouts can range from 0% to 200% of target award amounts. In addition, a modifier (-25% to +50%) is applied to the total bonus payout based on the Company’s CMS Star Ratings (see further description below). The modifier ensures there is a direct connection and significant focus on quality and the experience our members are receiving. Target annual bonus opportunities are expressed as a percentage of base salary and were established based on the NEO’s level of responsibility and their ability to impact overall results. The Committee also considers market data in setting target award amounts.</w:t>
      </w:r>
    </w:p>
    <w:p>
      <w:pPr>
        <w:spacing w:after="0" w:line="180"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8"/>
          <w:szCs w:val="18"/>
          <w:color w:val="auto"/>
        </w:rPr>
        <w:t>Payouts under the 2023 Annual Incentive Plan occur as follows: (i) 75% of each NEO’s total annual incentive payout based on corporate and individual performance was paid in March 2024; and (ii) the remaining 25% of each NEO’s total annual incentive payout is held back and is expected to be paid in the fourth quarter of 2024, subject to achievement of CMS Star Ratings-related performance measures. See “—</w:t>
      </w:r>
      <w:r>
        <w:rPr>
          <w:rFonts w:ascii="Arial" w:cs="Arial" w:eastAsia="Arial" w:hAnsi="Arial"/>
          <w:sz w:val="18"/>
          <w:szCs w:val="18"/>
          <w:i w:val="1"/>
          <w:iCs w:val="1"/>
          <w:color w:val="auto"/>
        </w:rPr>
        <w:t>2023 Annual Incentive Plan Payouts —Adjustment for CMS Star Ratings</w:t>
      </w:r>
      <w:r>
        <w:rPr>
          <w:rFonts w:ascii="Arial" w:cs="Arial" w:eastAsia="Arial" w:hAnsi="Arial"/>
          <w:sz w:val="18"/>
          <w:szCs w:val="18"/>
          <w:color w:val="auto"/>
        </w:rPr>
        <w:t>” below.</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Target bonus opportunities for 2023 for each of the NEOs are summarized in the table below:</w:t>
      </w:r>
    </w:p>
    <w:p>
      <w:pPr>
        <w:spacing w:after="0" w:line="237" w:lineRule="exact"/>
        <w:rPr>
          <w:sz w:val="20"/>
          <w:szCs w:val="20"/>
          <w:color w:val="auto"/>
        </w:rPr>
      </w:pPr>
    </w:p>
    <w:tbl>
      <w:tblPr>
        <w:tblLayout w:type="fixed"/>
        <w:tblInd w:w="1540" w:type="dxa"/>
        <w:tblCellMar>
          <w:top w:w="0" w:type="dxa"/>
          <w:left w:w="0" w:type="dxa"/>
          <w:bottom w:w="0" w:type="dxa"/>
          <w:right w:w="0" w:type="dxa"/>
        </w:tblCellMar>
      </w:tblPr>
      <w:tr>
        <w:trPr>
          <w:trHeight w:val="166"/>
        </w:trPr>
        <w:tc>
          <w:tcPr>
            <w:tcW w:w="3440" w:type="dxa"/>
            <w:vAlign w:val="bottom"/>
            <w:tcBorders>
              <w:top w:val="single" w:sz="8" w:color="95B3D7"/>
              <w:right w:val="single" w:sz="8" w:color="95B3D7"/>
            </w:tcBorders>
            <w:shd w:val="clear" w:color="auto" w:fill="DBE5F1"/>
          </w:tcPr>
          <w:p>
            <w:pPr>
              <w:spacing w:after="0"/>
              <w:rPr>
                <w:sz w:val="14"/>
                <w:szCs w:val="14"/>
                <w:color w:val="auto"/>
              </w:rPr>
            </w:pPr>
          </w:p>
        </w:tc>
        <w:tc>
          <w:tcPr>
            <w:tcW w:w="1380" w:type="dxa"/>
            <w:vAlign w:val="bottom"/>
            <w:tcBorders>
              <w:top w:val="single" w:sz="8" w:color="95B3D7"/>
              <w:right w:val="single" w:sz="8" w:color="95B3D7"/>
            </w:tcBorders>
            <w:shd w:val="clear" w:color="auto" w:fill="DBE5F1"/>
          </w:tcPr>
          <w:p>
            <w:pPr>
              <w:spacing w:after="0"/>
              <w:rPr>
                <w:sz w:val="14"/>
                <w:szCs w:val="14"/>
                <w:color w:val="auto"/>
              </w:rPr>
            </w:pPr>
          </w:p>
        </w:tc>
        <w:tc>
          <w:tcPr>
            <w:tcW w:w="1620" w:type="dxa"/>
            <w:vAlign w:val="bottom"/>
            <w:tcBorders>
              <w:top w:val="single" w:sz="8" w:color="95B3D7"/>
              <w:right w:val="single" w:sz="8" w:color="95B3D7"/>
            </w:tcBorders>
            <w:shd w:val="clear" w:color="auto" w:fill="DBE5F1"/>
          </w:tcPr>
          <w:p>
            <w:pPr>
              <w:spacing w:after="0"/>
              <w:rPr>
                <w:sz w:val="14"/>
                <w:szCs w:val="14"/>
                <w:color w:val="auto"/>
              </w:rPr>
            </w:pPr>
          </w:p>
        </w:tc>
        <w:tc>
          <w:tcPr>
            <w:tcW w:w="1500" w:type="dxa"/>
            <w:vAlign w:val="bottom"/>
            <w:tcBorders>
              <w:top w:val="single" w:sz="8" w:color="95B3D7"/>
            </w:tcBorders>
            <w:shd w:val="clear" w:color="auto" w:fill="DBE5F1"/>
          </w:tcPr>
          <w:p>
            <w:pPr>
              <w:jc w:val="center"/>
              <w:ind w:left="365"/>
              <w:spacing w:after="0"/>
              <w:rPr>
                <w:sz w:val="20"/>
                <w:szCs w:val="20"/>
                <w:color w:val="auto"/>
              </w:rPr>
            </w:pPr>
            <w:r>
              <w:rPr>
                <w:rFonts w:ascii="Arial" w:cs="Arial" w:eastAsia="Arial" w:hAnsi="Arial"/>
                <w:sz w:val="14"/>
                <w:szCs w:val="14"/>
                <w:b w:val="1"/>
                <w:bCs w:val="1"/>
                <w:color w:val="auto"/>
              </w:rPr>
              <w:t>2023 Target</w:t>
            </w:r>
          </w:p>
        </w:tc>
      </w:tr>
      <w:tr>
        <w:trPr>
          <w:trHeight w:val="162"/>
        </w:trPr>
        <w:tc>
          <w:tcPr>
            <w:tcW w:w="3440" w:type="dxa"/>
            <w:vAlign w:val="bottom"/>
            <w:tcBorders>
              <w:right w:val="single" w:sz="8" w:color="95B3D7"/>
            </w:tcBorders>
            <w:shd w:val="clear" w:color="auto" w:fill="DBE5F1"/>
          </w:tcPr>
          <w:p>
            <w:pPr>
              <w:spacing w:after="0"/>
              <w:rPr>
                <w:sz w:val="14"/>
                <w:szCs w:val="14"/>
                <w:color w:val="auto"/>
              </w:rPr>
            </w:pPr>
          </w:p>
        </w:tc>
        <w:tc>
          <w:tcPr>
            <w:tcW w:w="1380" w:type="dxa"/>
            <w:vAlign w:val="bottom"/>
            <w:tcBorders>
              <w:right w:val="single" w:sz="8" w:color="95B3D7"/>
            </w:tcBorders>
            <w:shd w:val="clear" w:color="auto" w:fill="DBE5F1"/>
          </w:tcPr>
          <w:p>
            <w:pPr>
              <w:jc w:val="center"/>
              <w:ind w:left="242"/>
              <w:spacing w:after="0"/>
              <w:rPr>
                <w:sz w:val="20"/>
                <w:szCs w:val="20"/>
                <w:color w:val="auto"/>
              </w:rPr>
            </w:pPr>
            <w:r>
              <w:rPr>
                <w:rFonts w:ascii="Arial" w:cs="Arial" w:eastAsia="Arial" w:hAnsi="Arial"/>
                <w:sz w:val="14"/>
                <w:szCs w:val="14"/>
                <w:b w:val="1"/>
                <w:bCs w:val="1"/>
                <w:color w:val="auto"/>
              </w:rPr>
              <w:t>2023 Base</w:t>
            </w:r>
          </w:p>
        </w:tc>
        <w:tc>
          <w:tcPr>
            <w:tcW w:w="1620" w:type="dxa"/>
            <w:vAlign w:val="bottom"/>
            <w:tcBorders>
              <w:right w:val="single" w:sz="8" w:color="95B3D7"/>
            </w:tcBorders>
            <w:shd w:val="clear" w:color="auto" w:fill="DBE5F1"/>
          </w:tcPr>
          <w:p>
            <w:pPr>
              <w:jc w:val="center"/>
              <w:ind w:left="342"/>
              <w:spacing w:after="0"/>
              <w:rPr>
                <w:sz w:val="20"/>
                <w:szCs w:val="20"/>
                <w:color w:val="auto"/>
              </w:rPr>
            </w:pPr>
            <w:r>
              <w:rPr>
                <w:rFonts w:ascii="Arial" w:cs="Arial" w:eastAsia="Arial" w:hAnsi="Arial"/>
                <w:sz w:val="14"/>
                <w:szCs w:val="14"/>
                <w:b w:val="1"/>
                <w:bCs w:val="1"/>
                <w:color w:val="auto"/>
              </w:rPr>
              <w:t>Target Bonus</w:t>
            </w:r>
          </w:p>
        </w:tc>
        <w:tc>
          <w:tcPr>
            <w:tcW w:w="1500" w:type="dxa"/>
            <w:vAlign w:val="bottom"/>
            <w:shd w:val="clear" w:color="auto" w:fill="DBE5F1"/>
          </w:tcPr>
          <w:p>
            <w:pPr>
              <w:jc w:val="center"/>
              <w:ind w:left="365"/>
              <w:spacing w:after="0"/>
              <w:rPr>
                <w:sz w:val="20"/>
                <w:szCs w:val="20"/>
                <w:color w:val="auto"/>
              </w:rPr>
            </w:pPr>
            <w:r>
              <w:rPr>
                <w:rFonts w:ascii="Arial" w:cs="Arial" w:eastAsia="Arial" w:hAnsi="Arial"/>
                <w:sz w:val="14"/>
                <w:szCs w:val="14"/>
                <w:b w:val="1"/>
                <w:bCs w:val="1"/>
                <w:color w:val="auto"/>
              </w:rPr>
              <w:t>Bonus</w:t>
            </w:r>
          </w:p>
        </w:tc>
      </w:tr>
      <w:tr>
        <w:trPr>
          <w:trHeight w:val="162"/>
        </w:trPr>
        <w:tc>
          <w:tcPr>
            <w:tcW w:w="3440" w:type="dxa"/>
            <w:vAlign w:val="bottom"/>
            <w:tcBorders>
              <w:right w:val="single" w:sz="8" w:color="95B3D7"/>
            </w:tcBorders>
            <w:shd w:val="clear" w:color="auto" w:fill="DBE5F1"/>
          </w:tcPr>
          <w:p>
            <w:pPr>
              <w:spacing w:after="0"/>
              <w:rPr>
                <w:sz w:val="14"/>
                <w:szCs w:val="14"/>
                <w:color w:val="auto"/>
              </w:rPr>
            </w:pPr>
          </w:p>
        </w:tc>
        <w:tc>
          <w:tcPr>
            <w:tcW w:w="1380" w:type="dxa"/>
            <w:vAlign w:val="bottom"/>
            <w:tcBorders>
              <w:right w:val="single" w:sz="8" w:color="95B3D7"/>
            </w:tcBorders>
            <w:shd w:val="clear" w:color="auto" w:fill="DBE5F1"/>
          </w:tcPr>
          <w:p>
            <w:pPr>
              <w:jc w:val="center"/>
              <w:ind w:left="242"/>
              <w:spacing w:after="0"/>
              <w:rPr>
                <w:sz w:val="20"/>
                <w:szCs w:val="20"/>
                <w:color w:val="auto"/>
              </w:rPr>
            </w:pPr>
            <w:r>
              <w:rPr>
                <w:rFonts w:ascii="Arial" w:cs="Arial" w:eastAsia="Arial" w:hAnsi="Arial"/>
                <w:sz w:val="14"/>
                <w:szCs w:val="14"/>
                <w:b w:val="1"/>
                <w:bCs w:val="1"/>
                <w:color w:val="auto"/>
              </w:rPr>
              <w:t>Salary Rate</w:t>
            </w:r>
          </w:p>
        </w:tc>
        <w:tc>
          <w:tcPr>
            <w:tcW w:w="1620" w:type="dxa"/>
            <w:vAlign w:val="bottom"/>
            <w:tcBorders>
              <w:right w:val="single" w:sz="8" w:color="95B3D7"/>
            </w:tcBorders>
            <w:shd w:val="clear" w:color="auto" w:fill="DBE5F1"/>
          </w:tcPr>
          <w:p>
            <w:pPr>
              <w:jc w:val="center"/>
              <w:ind w:left="342"/>
              <w:spacing w:after="0"/>
              <w:rPr>
                <w:sz w:val="20"/>
                <w:szCs w:val="20"/>
                <w:color w:val="auto"/>
              </w:rPr>
            </w:pPr>
            <w:r>
              <w:rPr>
                <w:rFonts w:ascii="Arial" w:cs="Arial" w:eastAsia="Arial" w:hAnsi="Arial"/>
                <w:sz w:val="14"/>
                <w:szCs w:val="14"/>
                <w:b w:val="1"/>
                <w:bCs w:val="1"/>
                <w:color w:val="auto"/>
              </w:rPr>
              <w:t>Opportunity</w:t>
            </w:r>
          </w:p>
        </w:tc>
        <w:tc>
          <w:tcPr>
            <w:tcW w:w="1500" w:type="dxa"/>
            <w:vAlign w:val="bottom"/>
            <w:shd w:val="clear" w:color="auto" w:fill="DBE5F1"/>
          </w:tcPr>
          <w:p>
            <w:pPr>
              <w:jc w:val="center"/>
              <w:ind w:left="365"/>
              <w:spacing w:after="0"/>
              <w:rPr>
                <w:sz w:val="20"/>
                <w:szCs w:val="20"/>
                <w:color w:val="auto"/>
              </w:rPr>
            </w:pPr>
            <w:r>
              <w:rPr>
                <w:rFonts w:ascii="Arial" w:cs="Arial" w:eastAsia="Arial" w:hAnsi="Arial"/>
                <w:sz w:val="14"/>
                <w:szCs w:val="14"/>
                <w:b w:val="1"/>
                <w:bCs w:val="1"/>
                <w:color w:val="auto"/>
              </w:rPr>
              <w:t>Opportunity</w:t>
            </w:r>
          </w:p>
        </w:tc>
      </w:tr>
      <w:tr>
        <w:trPr>
          <w:trHeight w:val="171"/>
        </w:trPr>
        <w:tc>
          <w:tcPr>
            <w:tcW w:w="3440" w:type="dxa"/>
            <w:vAlign w:val="bottom"/>
            <w:tcBorders>
              <w:bottom w:val="single" w:sz="8" w:color="95B3D7"/>
              <w:right w:val="single" w:sz="8" w:color="95B3D7"/>
            </w:tcBorders>
            <w:shd w:val="clear" w:color="auto" w:fill="DBE5F1"/>
          </w:tcPr>
          <w:p>
            <w:pPr>
              <w:ind w:left="1500"/>
              <w:spacing w:after="0"/>
              <w:rPr>
                <w:sz w:val="20"/>
                <w:szCs w:val="20"/>
                <w:color w:val="auto"/>
              </w:rPr>
            </w:pPr>
            <w:r>
              <w:rPr>
                <w:rFonts w:ascii="Arial" w:cs="Arial" w:eastAsia="Arial" w:hAnsi="Arial"/>
                <w:sz w:val="14"/>
                <w:szCs w:val="14"/>
                <w:b w:val="1"/>
                <w:bCs w:val="1"/>
                <w:color w:val="auto"/>
              </w:rPr>
              <w:t>Name</w:t>
            </w:r>
          </w:p>
        </w:tc>
        <w:tc>
          <w:tcPr>
            <w:tcW w:w="1380" w:type="dxa"/>
            <w:vAlign w:val="bottom"/>
            <w:tcBorders>
              <w:bottom w:val="single" w:sz="8" w:color="95B3D7"/>
              <w:right w:val="single" w:sz="8" w:color="95B3D7"/>
            </w:tcBorders>
            <w:shd w:val="clear" w:color="auto" w:fill="DBE5F1"/>
          </w:tcPr>
          <w:p>
            <w:pPr>
              <w:jc w:val="center"/>
              <w:ind w:left="242"/>
              <w:spacing w:after="0"/>
              <w:rPr>
                <w:sz w:val="20"/>
                <w:szCs w:val="20"/>
                <w:color w:val="auto"/>
              </w:rPr>
            </w:pPr>
            <w:r>
              <w:rPr>
                <w:rFonts w:ascii="Arial" w:cs="Arial" w:eastAsia="Arial" w:hAnsi="Arial"/>
                <w:sz w:val="14"/>
                <w:szCs w:val="14"/>
                <w:b w:val="1"/>
                <w:bCs w:val="1"/>
                <w:color w:val="auto"/>
              </w:rPr>
              <w:t>($)</w:t>
            </w:r>
          </w:p>
        </w:tc>
        <w:tc>
          <w:tcPr>
            <w:tcW w:w="1620" w:type="dxa"/>
            <w:vAlign w:val="bottom"/>
            <w:tcBorders>
              <w:bottom w:val="single" w:sz="8" w:color="95B3D7"/>
              <w:right w:val="single" w:sz="8" w:color="95B3D7"/>
            </w:tcBorders>
            <w:shd w:val="clear" w:color="auto" w:fill="DBE5F1"/>
          </w:tcPr>
          <w:p>
            <w:pPr>
              <w:jc w:val="center"/>
              <w:ind w:left="342"/>
              <w:spacing w:after="0"/>
              <w:rPr>
                <w:sz w:val="20"/>
                <w:szCs w:val="20"/>
                <w:color w:val="auto"/>
              </w:rPr>
            </w:pPr>
            <w:r>
              <w:rPr>
                <w:rFonts w:ascii="Arial" w:cs="Arial" w:eastAsia="Arial" w:hAnsi="Arial"/>
                <w:sz w:val="14"/>
                <w:szCs w:val="14"/>
                <w:b w:val="1"/>
                <w:bCs w:val="1"/>
                <w:color w:val="auto"/>
              </w:rPr>
              <w:t>(%)</w:t>
            </w:r>
          </w:p>
        </w:tc>
        <w:tc>
          <w:tcPr>
            <w:tcW w:w="1500" w:type="dxa"/>
            <w:vAlign w:val="bottom"/>
            <w:tcBorders>
              <w:bottom w:val="single" w:sz="8" w:color="95B3D7"/>
            </w:tcBorders>
            <w:shd w:val="clear" w:color="auto" w:fill="DBE5F1"/>
          </w:tcPr>
          <w:p>
            <w:pPr>
              <w:jc w:val="center"/>
              <w:ind w:left="365"/>
              <w:spacing w:after="0"/>
              <w:rPr>
                <w:sz w:val="20"/>
                <w:szCs w:val="20"/>
                <w:color w:val="auto"/>
              </w:rPr>
            </w:pPr>
            <w:r>
              <w:rPr>
                <w:rFonts w:ascii="Arial" w:cs="Arial" w:eastAsia="Arial" w:hAnsi="Arial"/>
                <w:sz w:val="14"/>
                <w:szCs w:val="14"/>
                <w:b w:val="1"/>
                <w:bCs w:val="1"/>
                <w:color w:val="auto"/>
              </w:rPr>
              <w:t>($)</w:t>
            </w:r>
          </w:p>
        </w:tc>
      </w:tr>
      <w:tr>
        <w:trPr>
          <w:trHeight w:val="183"/>
        </w:trPr>
        <w:tc>
          <w:tcPr>
            <w:tcW w:w="344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color w:val="auto"/>
              </w:rPr>
              <w:t>  John Kao</w:t>
            </w:r>
          </w:p>
        </w:tc>
        <w:tc>
          <w:tcPr>
            <w:tcW w:w="1380" w:type="dxa"/>
            <w:vAlign w:val="bottom"/>
            <w:tcBorders>
              <w:bottom w:val="single" w:sz="8" w:color="95B3D7"/>
              <w:right w:val="single" w:sz="8" w:color="95B3D7"/>
            </w:tcBorders>
          </w:tcPr>
          <w:p>
            <w:pPr>
              <w:jc w:val="center"/>
              <w:ind w:left="242"/>
              <w:spacing w:after="0" w:line="183" w:lineRule="exact"/>
              <w:rPr>
                <w:sz w:val="20"/>
                <w:szCs w:val="20"/>
                <w:color w:val="auto"/>
              </w:rPr>
            </w:pPr>
            <w:r>
              <w:rPr>
                <w:rFonts w:ascii="Arial" w:cs="Arial" w:eastAsia="Arial" w:hAnsi="Arial"/>
                <w:sz w:val="16"/>
                <w:szCs w:val="16"/>
                <w:color w:val="auto"/>
              </w:rPr>
              <w:t>800,000</w:t>
            </w:r>
          </w:p>
        </w:tc>
        <w:tc>
          <w:tcPr>
            <w:tcW w:w="1620" w:type="dxa"/>
            <w:vAlign w:val="bottom"/>
            <w:tcBorders>
              <w:bottom w:val="single" w:sz="8" w:color="95B3D7"/>
              <w:right w:val="single" w:sz="8" w:color="95B3D7"/>
            </w:tcBorders>
          </w:tcPr>
          <w:p>
            <w:pPr>
              <w:jc w:val="center"/>
              <w:ind w:left="342"/>
              <w:spacing w:after="0" w:line="183" w:lineRule="exact"/>
              <w:rPr>
                <w:sz w:val="20"/>
                <w:szCs w:val="20"/>
                <w:color w:val="auto"/>
              </w:rPr>
            </w:pPr>
            <w:r>
              <w:rPr>
                <w:rFonts w:ascii="Arial" w:cs="Arial" w:eastAsia="Arial" w:hAnsi="Arial"/>
                <w:sz w:val="16"/>
                <w:szCs w:val="16"/>
                <w:color w:val="auto"/>
              </w:rPr>
              <w:t>100</w:t>
            </w:r>
          </w:p>
        </w:tc>
        <w:tc>
          <w:tcPr>
            <w:tcW w:w="1500" w:type="dxa"/>
            <w:vAlign w:val="bottom"/>
            <w:tcBorders>
              <w:bottom w:val="single" w:sz="8" w:color="95B3D7"/>
            </w:tcBorders>
          </w:tcPr>
          <w:p>
            <w:pPr>
              <w:jc w:val="center"/>
              <w:ind w:left="365"/>
              <w:spacing w:after="0" w:line="183" w:lineRule="exact"/>
              <w:rPr>
                <w:sz w:val="20"/>
                <w:szCs w:val="20"/>
                <w:color w:val="auto"/>
              </w:rPr>
            </w:pPr>
            <w:r>
              <w:rPr>
                <w:rFonts w:ascii="Arial" w:cs="Arial" w:eastAsia="Arial" w:hAnsi="Arial"/>
                <w:sz w:val="14"/>
                <w:szCs w:val="14"/>
                <w:color w:val="auto"/>
              </w:rPr>
              <w:t>786,539</w:t>
            </w:r>
            <w:r>
              <w:rPr>
                <w:rFonts w:ascii="Arial" w:cs="Arial" w:eastAsia="Arial" w:hAnsi="Arial"/>
                <w:sz w:val="21"/>
                <w:szCs w:val="21"/>
                <w:color w:val="auto"/>
                <w:vertAlign w:val="superscript"/>
              </w:rPr>
              <w:t>(1)</w:t>
            </w:r>
          </w:p>
        </w:tc>
      </w:tr>
      <w:tr>
        <w:trPr>
          <w:trHeight w:val="183"/>
        </w:trPr>
        <w:tc>
          <w:tcPr>
            <w:tcW w:w="344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color w:val="auto"/>
              </w:rPr>
              <w:t>  Thomas Freeman</w:t>
            </w:r>
          </w:p>
        </w:tc>
        <w:tc>
          <w:tcPr>
            <w:tcW w:w="1380" w:type="dxa"/>
            <w:vAlign w:val="bottom"/>
            <w:tcBorders>
              <w:bottom w:val="single" w:sz="8" w:color="95B3D7"/>
              <w:right w:val="single" w:sz="8" w:color="95B3D7"/>
            </w:tcBorders>
            <w:shd w:val="clear" w:color="auto" w:fill="DBE5F1"/>
          </w:tcPr>
          <w:p>
            <w:pPr>
              <w:jc w:val="center"/>
              <w:ind w:left="242"/>
              <w:spacing w:after="0" w:line="183" w:lineRule="exact"/>
              <w:rPr>
                <w:sz w:val="20"/>
                <w:szCs w:val="20"/>
                <w:color w:val="auto"/>
              </w:rPr>
            </w:pPr>
            <w:r>
              <w:rPr>
                <w:rFonts w:ascii="Arial" w:cs="Arial" w:eastAsia="Arial" w:hAnsi="Arial"/>
                <w:sz w:val="16"/>
                <w:szCs w:val="16"/>
                <w:color w:val="auto"/>
              </w:rPr>
              <w:t>560,000</w:t>
            </w:r>
          </w:p>
        </w:tc>
        <w:tc>
          <w:tcPr>
            <w:tcW w:w="1620" w:type="dxa"/>
            <w:vAlign w:val="bottom"/>
            <w:tcBorders>
              <w:bottom w:val="single" w:sz="8" w:color="95B3D7"/>
              <w:right w:val="single" w:sz="8" w:color="95B3D7"/>
            </w:tcBorders>
            <w:shd w:val="clear" w:color="auto" w:fill="DBE5F1"/>
          </w:tcPr>
          <w:p>
            <w:pPr>
              <w:jc w:val="center"/>
              <w:ind w:left="362"/>
              <w:spacing w:after="0" w:line="183" w:lineRule="exact"/>
              <w:rPr>
                <w:sz w:val="20"/>
                <w:szCs w:val="20"/>
                <w:color w:val="auto"/>
              </w:rPr>
            </w:pPr>
            <w:r>
              <w:rPr>
                <w:rFonts w:ascii="Arial" w:cs="Arial" w:eastAsia="Arial" w:hAnsi="Arial"/>
                <w:sz w:val="16"/>
                <w:szCs w:val="16"/>
                <w:color w:val="auto"/>
              </w:rPr>
              <w:t>85</w:t>
            </w:r>
          </w:p>
        </w:tc>
        <w:tc>
          <w:tcPr>
            <w:tcW w:w="1500" w:type="dxa"/>
            <w:vAlign w:val="bottom"/>
            <w:tcBorders>
              <w:bottom w:val="single" w:sz="8" w:color="95B3D7"/>
            </w:tcBorders>
            <w:shd w:val="clear" w:color="auto" w:fill="DBE5F1"/>
          </w:tcPr>
          <w:p>
            <w:pPr>
              <w:jc w:val="center"/>
              <w:ind w:left="365"/>
              <w:spacing w:after="0" w:line="183" w:lineRule="exact"/>
              <w:rPr>
                <w:sz w:val="20"/>
                <w:szCs w:val="20"/>
                <w:color w:val="auto"/>
              </w:rPr>
            </w:pPr>
            <w:r>
              <w:rPr>
                <w:rFonts w:ascii="Arial" w:cs="Arial" w:eastAsia="Arial" w:hAnsi="Arial"/>
                <w:sz w:val="14"/>
                <w:szCs w:val="14"/>
                <w:color w:val="auto"/>
              </w:rPr>
              <w:t>462,269</w:t>
            </w:r>
            <w:r>
              <w:rPr>
                <w:rFonts w:ascii="Arial" w:cs="Arial" w:eastAsia="Arial" w:hAnsi="Arial"/>
                <w:sz w:val="21"/>
                <w:szCs w:val="21"/>
                <w:color w:val="auto"/>
                <w:vertAlign w:val="superscript"/>
              </w:rPr>
              <w:t>(1)</w:t>
            </w:r>
          </w:p>
        </w:tc>
      </w:tr>
      <w:tr>
        <w:trPr>
          <w:trHeight w:val="183"/>
        </w:trPr>
        <w:tc>
          <w:tcPr>
            <w:tcW w:w="344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color w:val="auto"/>
              </w:rPr>
              <w:t>  Dawn Maroney</w:t>
            </w:r>
          </w:p>
        </w:tc>
        <w:tc>
          <w:tcPr>
            <w:tcW w:w="1380" w:type="dxa"/>
            <w:vAlign w:val="bottom"/>
            <w:tcBorders>
              <w:bottom w:val="single" w:sz="8" w:color="95B3D7"/>
              <w:right w:val="single" w:sz="8" w:color="95B3D7"/>
            </w:tcBorders>
          </w:tcPr>
          <w:p>
            <w:pPr>
              <w:jc w:val="center"/>
              <w:ind w:left="242"/>
              <w:spacing w:after="0" w:line="183" w:lineRule="exact"/>
              <w:rPr>
                <w:sz w:val="20"/>
                <w:szCs w:val="20"/>
                <w:color w:val="auto"/>
              </w:rPr>
            </w:pPr>
            <w:r>
              <w:rPr>
                <w:rFonts w:ascii="Arial" w:cs="Arial" w:eastAsia="Arial" w:hAnsi="Arial"/>
                <w:sz w:val="16"/>
                <w:szCs w:val="16"/>
                <w:color w:val="auto"/>
              </w:rPr>
              <w:t>560,000</w:t>
            </w:r>
          </w:p>
        </w:tc>
        <w:tc>
          <w:tcPr>
            <w:tcW w:w="1620" w:type="dxa"/>
            <w:vAlign w:val="bottom"/>
            <w:tcBorders>
              <w:bottom w:val="single" w:sz="8" w:color="95B3D7"/>
              <w:right w:val="single" w:sz="8" w:color="95B3D7"/>
            </w:tcBorders>
          </w:tcPr>
          <w:p>
            <w:pPr>
              <w:jc w:val="center"/>
              <w:ind w:left="362"/>
              <w:spacing w:after="0" w:line="183" w:lineRule="exact"/>
              <w:rPr>
                <w:sz w:val="20"/>
                <w:szCs w:val="20"/>
                <w:color w:val="auto"/>
              </w:rPr>
            </w:pPr>
            <w:r>
              <w:rPr>
                <w:rFonts w:ascii="Arial" w:cs="Arial" w:eastAsia="Arial" w:hAnsi="Arial"/>
                <w:sz w:val="16"/>
                <w:szCs w:val="16"/>
                <w:color w:val="auto"/>
              </w:rPr>
              <w:t>85</w:t>
            </w:r>
          </w:p>
        </w:tc>
        <w:tc>
          <w:tcPr>
            <w:tcW w:w="1500" w:type="dxa"/>
            <w:vAlign w:val="bottom"/>
            <w:tcBorders>
              <w:bottom w:val="single" w:sz="8" w:color="95B3D7"/>
            </w:tcBorders>
          </w:tcPr>
          <w:p>
            <w:pPr>
              <w:jc w:val="center"/>
              <w:ind w:left="365"/>
              <w:spacing w:after="0" w:line="183" w:lineRule="exact"/>
              <w:rPr>
                <w:sz w:val="20"/>
                <w:szCs w:val="20"/>
                <w:color w:val="auto"/>
              </w:rPr>
            </w:pPr>
            <w:r>
              <w:rPr>
                <w:rFonts w:ascii="Arial" w:cs="Arial" w:eastAsia="Arial" w:hAnsi="Arial"/>
                <w:sz w:val="16"/>
                <w:szCs w:val="16"/>
                <w:color w:val="auto"/>
              </w:rPr>
              <w:t>476,000</w:t>
            </w:r>
          </w:p>
        </w:tc>
      </w:tr>
      <w:tr>
        <w:trPr>
          <w:trHeight w:val="183"/>
        </w:trPr>
        <w:tc>
          <w:tcPr>
            <w:tcW w:w="344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color w:val="auto"/>
              </w:rPr>
              <w:t>  Hakan Kardes</w:t>
            </w:r>
          </w:p>
        </w:tc>
        <w:tc>
          <w:tcPr>
            <w:tcW w:w="1380" w:type="dxa"/>
            <w:vAlign w:val="bottom"/>
            <w:tcBorders>
              <w:bottom w:val="single" w:sz="8" w:color="95B3D7"/>
              <w:right w:val="single" w:sz="8" w:color="95B3D7"/>
            </w:tcBorders>
            <w:shd w:val="clear" w:color="auto" w:fill="DBE5F1"/>
          </w:tcPr>
          <w:p>
            <w:pPr>
              <w:jc w:val="center"/>
              <w:ind w:left="242"/>
              <w:spacing w:after="0" w:line="183" w:lineRule="exact"/>
              <w:rPr>
                <w:sz w:val="20"/>
                <w:szCs w:val="20"/>
                <w:color w:val="auto"/>
              </w:rPr>
            </w:pPr>
            <w:r>
              <w:rPr>
                <w:rFonts w:ascii="Arial" w:cs="Arial" w:eastAsia="Arial" w:hAnsi="Arial"/>
                <w:sz w:val="16"/>
                <w:szCs w:val="16"/>
                <w:color w:val="auto"/>
              </w:rPr>
              <w:t>425,000</w:t>
            </w:r>
          </w:p>
        </w:tc>
        <w:tc>
          <w:tcPr>
            <w:tcW w:w="1620" w:type="dxa"/>
            <w:vAlign w:val="bottom"/>
            <w:tcBorders>
              <w:bottom w:val="single" w:sz="8" w:color="95B3D7"/>
              <w:right w:val="single" w:sz="8" w:color="95B3D7"/>
            </w:tcBorders>
            <w:shd w:val="clear" w:color="auto" w:fill="DBE5F1"/>
          </w:tcPr>
          <w:p>
            <w:pPr>
              <w:jc w:val="center"/>
              <w:ind w:left="362"/>
              <w:spacing w:after="0" w:line="183" w:lineRule="exact"/>
              <w:rPr>
                <w:sz w:val="20"/>
                <w:szCs w:val="20"/>
                <w:color w:val="auto"/>
              </w:rPr>
            </w:pPr>
            <w:r>
              <w:rPr>
                <w:rFonts w:ascii="Arial" w:cs="Arial" w:eastAsia="Arial" w:hAnsi="Arial"/>
                <w:sz w:val="16"/>
                <w:szCs w:val="16"/>
                <w:color w:val="auto"/>
              </w:rPr>
              <w:t>85</w:t>
            </w:r>
          </w:p>
        </w:tc>
        <w:tc>
          <w:tcPr>
            <w:tcW w:w="1500" w:type="dxa"/>
            <w:vAlign w:val="bottom"/>
            <w:tcBorders>
              <w:bottom w:val="single" w:sz="8" w:color="95B3D7"/>
            </w:tcBorders>
            <w:shd w:val="clear" w:color="auto" w:fill="DBE5F1"/>
          </w:tcPr>
          <w:p>
            <w:pPr>
              <w:jc w:val="center"/>
              <w:ind w:left="365"/>
              <w:spacing w:after="0" w:line="183" w:lineRule="exact"/>
              <w:rPr>
                <w:sz w:val="20"/>
                <w:szCs w:val="20"/>
                <w:color w:val="auto"/>
              </w:rPr>
            </w:pPr>
            <w:r>
              <w:rPr>
                <w:rFonts w:ascii="Arial" w:cs="Arial" w:eastAsia="Arial" w:hAnsi="Arial"/>
                <w:sz w:val="16"/>
                <w:szCs w:val="16"/>
                <w:color w:val="auto"/>
              </w:rPr>
              <w:t>361,250</w:t>
            </w:r>
          </w:p>
        </w:tc>
      </w:tr>
      <w:tr>
        <w:trPr>
          <w:trHeight w:val="183"/>
        </w:trPr>
        <w:tc>
          <w:tcPr>
            <w:tcW w:w="344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color w:val="auto"/>
              </w:rPr>
              <w:t>  Hyong (Ken) Kim, M.D.</w:t>
            </w:r>
          </w:p>
        </w:tc>
        <w:tc>
          <w:tcPr>
            <w:tcW w:w="1380" w:type="dxa"/>
            <w:vAlign w:val="bottom"/>
            <w:tcBorders>
              <w:bottom w:val="single" w:sz="8" w:color="95B3D7"/>
              <w:right w:val="single" w:sz="8" w:color="95B3D7"/>
            </w:tcBorders>
          </w:tcPr>
          <w:p>
            <w:pPr>
              <w:jc w:val="center"/>
              <w:ind w:left="242"/>
              <w:spacing w:after="0" w:line="183" w:lineRule="exact"/>
              <w:rPr>
                <w:sz w:val="20"/>
                <w:szCs w:val="20"/>
                <w:color w:val="auto"/>
              </w:rPr>
            </w:pPr>
            <w:r>
              <w:rPr>
                <w:rFonts w:ascii="Arial" w:cs="Arial" w:eastAsia="Arial" w:hAnsi="Arial"/>
                <w:sz w:val="16"/>
                <w:szCs w:val="16"/>
                <w:color w:val="auto"/>
              </w:rPr>
              <w:t>140,000</w:t>
            </w:r>
          </w:p>
        </w:tc>
        <w:tc>
          <w:tcPr>
            <w:tcW w:w="1620" w:type="dxa"/>
            <w:vAlign w:val="bottom"/>
            <w:tcBorders>
              <w:bottom w:val="single" w:sz="8" w:color="95B3D7"/>
              <w:right w:val="single" w:sz="8" w:color="95B3D7"/>
            </w:tcBorders>
          </w:tcPr>
          <w:p>
            <w:pPr>
              <w:jc w:val="center"/>
              <w:ind w:left="362"/>
              <w:spacing w:after="0" w:line="183" w:lineRule="exact"/>
              <w:rPr>
                <w:sz w:val="20"/>
                <w:szCs w:val="20"/>
                <w:color w:val="auto"/>
              </w:rPr>
            </w:pPr>
            <w:r>
              <w:rPr>
                <w:rFonts w:ascii="Arial" w:cs="Arial" w:eastAsia="Arial" w:hAnsi="Arial"/>
                <w:sz w:val="16"/>
                <w:szCs w:val="16"/>
                <w:color w:val="auto"/>
              </w:rPr>
              <w:t>85</w:t>
            </w:r>
          </w:p>
        </w:tc>
        <w:tc>
          <w:tcPr>
            <w:tcW w:w="1500" w:type="dxa"/>
            <w:vAlign w:val="bottom"/>
            <w:tcBorders>
              <w:bottom w:val="single" w:sz="8" w:color="95B3D7"/>
            </w:tcBorders>
          </w:tcPr>
          <w:p>
            <w:pPr>
              <w:jc w:val="center"/>
              <w:ind w:left="365"/>
              <w:spacing w:after="0" w:line="183" w:lineRule="exact"/>
              <w:rPr>
                <w:sz w:val="20"/>
                <w:szCs w:val="20"/>
                <w:color w:val="auto"/>
              </w:rPr>
            </w:pPr>
            <w:r>
              <w:rPr>
                <w:rFonts w:ascii="Arial" w:cs="Arial" w:eastAsia="Arial" w:hAnsi="Arial"/>
                <w:sz w:val="16"/>
                <w:szCs w:val="16"/>
                <w:color w:val="auto"/>
              </w:rPr>
              <w:t>119,000</w:t>
            </w:r>
          </w:p>
        </w:tc>
      </w:tr>
    </w:tbl>
    <w:p>
      <w:pPr>
        <w:spacing w:after="0" w:line="234" w:lineRule="exact"/>
        <w:rPr>
          <w:sz w:val="20"/>
          <w:szCs w:val="20"/>
          <w:color w:val="auto"/>
        </w:rPr>
      </w:pPr>
    </w:p>
    <w:p>
      <w:pPr>
        <w:ind w:left="1960" w:right="20" w:hanging="425"/>
        <w:spacing w:after="0" w:line="285" w:lineRule="auto"/>
        <w:tabs>
          <w:tab w:leader="none" w:pos="19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Target bonus opportunity is based on weighted average of each NEO’s base salary during the year. Base salary increased for Messrs. Kao and Freeman were effective in March 2023 and target bonus opportunities are adjusted accordingly.</w:t>
      </w:r>
    </w:p>
    <w:p>
      <w:pPr>
        <w:spacing w:after="0" w:line="63" w:lineRule="exact"/>
        <w:rPr>
          <w:rFonts w:ascii="Arial" w:cs="Arial" w:eastAsia="Arial" w:hAnsi="Arial"/>
          <w:sz w:val="14"/>
          <w:szCs w:val="14"/>
          <w:color w:val="auto"/>
        </w:rPr>
      </w:pPr>
    </w:p>
    <w:p>
      <w:pPr>
        <w:ind w:left="1960" w:right="20" w:hanging="425"/>
        <w:spacing w:after="0" w:line="285" w:lineRule="auto"/>
        <w:tabs>
          <w:tab w:leader="none" w:pos="19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Mr. Kim was appointed Chief Medical Officer effective September 25, 2023. Base salary rate and target bonus opportunity reflect the applicable portion of the 2023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4B6D97"/>
        </w:rPr>
        <w:t>2023 Corporate Performance Metrics, Weightings and Results</w:t>
      </w:r>
    </w:p>
    <w:p>
      <w:pPr>
        <w:spacing w:after="0" w:line="21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2023, we used health plan membership, adjusted gross profit and adjusted EBITDA as the corporate performance metrics in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Annual Incentive Plan. We chose these metrics for the following reasons in the Annual Incentive Plan:</w:t>
      </w:r>
    </w:p>
    <w:p>
      <w:pPr>
        <w:spacing w:after="0" w:line="221" w:lineRule="exact"/>
        <w:rPr>
          <w:sz w:val="20"/>
          <w:szCs w:val="20"/>
          <w:color w:val="auto"/>
        </w:rPr>
      </w:pPr>
    </w:p>
    <w:p>
      <w:pPr>
        <w:ind w:left="960" w:right="20" w:hanging="424"/>
        <w:spacing w:after="0" w:line="271"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Health plan membership growth shows that we are increasing our customer base and is a leading indicator of long-term revenue and profitability growth for Alignment Healthcare.</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306" w:right="439" w:bottom="1440" w:gutter="0" w:footer="0" w:header="0"/>
        </w:sectPr>
      </w:pPr>
    </w:p>
    <w:bookmarkStart w:id="56" w:name="page57"/>
    <w:bookmarkEnd w:id="56"/>
    <w:p>
      <w:pPr>
        <w:ind w:left="960" w:hanging="424"/>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Adjusted gross profit keeps us focused on efficient delivery and execution.</w:t>
      </w:r>
    </w:p>
    <w:p>
      <w:pPr>
        <w:spacing w:after="0" w:line="117" w:lineRule="exact"/>
        <w:rPr>
          <w:rFonts w:ascii="Arial" w:cs="Arial" w:eastAsia="Arial" w:hAnsi="Arial"/>
          <w:sz w:val="18"/>
          <w:szCs w:val="18"/>
          <w:color w:val="auto"/>
        </w:rPr>
      </w:pPr>
    </w:p>
    <w:p>
      <w:pPr>
        <w:ind w:left="960" w:hanging="424"/>
        <w:spacing w:after="0" w:line="271" w:lineRule="auto"/>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Adjusted EBITDA provides a clear view of our total operational profitability—it focuses on growth, while continuing to provide strong accountability for returns.</w:t>
      </w:r>
    </w:p>
    <w:p>
      <w:pPr>
        <w:spacing w:after="0" w:line="154"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The table below sets forth the relative weighting of the metrics selected for our 2023 Annual Incentive Plan, the results achieved for each metric, as determined by the Compensation Committee, and the resulting aggregate percentage achieved with respect to our corporate objectives: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900" w:type="dxa"/>
            <w:vAlign w:val="bottom"/>
          </w:tcPr>
          <w:p>
            <w:pPr>
              <w:spacing w:after="0"/>
              <w:rPr>
                <w:sz w:val="18"/>
                <w:szCs w:val="18"/>
                <w:color w:val="auto"/>
              </w:rPr>
            </w:pPr>
          </w:p>
        </w:tc>
        <w:tc>
          <w:tcPr>
            <w:tcW w:w="2560" w:type="dxa"/>
            <w:vAlign w:val="bottom"/>
            <w:tcBorders>
              <w:bottom w:val="single" w:sz="8" w:color="95B3D7"/>
            </w:tcBorders>
          </w:tcPr>
          <w:p>
            <w:pPr>
              <w:spacing w:after="0"/>
              <w:rPr>
                <w:sz w:val="18"/>
                <w:szCs w:val="18"/>
                <w:color w:val="auto"/>
              </w:rPr>
            </w:pPr>
          </w:p>
        </w:tc>
        <w:tc>
          <w:tcPr>
            <w:tcW w:w="3260" w:type="dxa"/>
            <w:vAlign w:val="bottom"/>
            <w:tcBorders>
              <w:bottom w:val="single" w:sz="8" w:color="95B3D7"/>
            </w:tcBorders>
            <w:gridSpan w:val="3"/>
          </w:tcPr>
          <w:p>
            <w:pPr>
              <w:jc w:val="center"/>
              <w:ind w:right="180"/>
              <w:spacing w:after="0"/>
              <w:rPr>
                <w:sz w:val="20"/>
                <w:szCs w:val="20"/>
                <w:color w:val="auto"/>
              </w:rPr>
            </w:pPr>
            <w:r>
              <w:rPr>
                <w:rFonts w:ascii="Arial" w:cs="Arial" w:eastAsia="Arial" w:hAnsi="Arial"/>
                <w:sz w:val="16"/>
                <w:szCs w:val="16"/>
                <w:b w:val="1"/>
                <w:bCs w:val="1"/>
                <w:color w:val="auto"/>
              </w:rPr>
              <w:t>2023 Performance Metrics and Levels</w:t>
            </w:r>
          </w:p>
        </w:tc>
        <w:tc>
          <w:tcPr>
            <w:tcW w:w="2300" w:type="dxa"/>
            <w:vAlign w:val="bottom"/>
            <w:tcBorders>
              <w:bottom w:val="single" w:sz="8" w:color="95B3D7"/>
            </w:tcBorders>
          </w:tcPr>
          <w:p>
            <w:pPr>
              <w:spacing w:after="0"/>
              <w:rPr>
                <w:sz w:val="18"/>
                <w:szCs w:val="18"/>
                <w:color w:val="auto"/>
              </w:rPr>
            </w:pPr>
          </w:p>
        </w:tc>
      </w:tr>
      <w:tr>
        <w:trPr>
          <w:trHeight w:val="175"/>
        </w:trPr>
        <w:tc>
          <w:tcPr>
            <w:tcW w:w="2900" w:type="dxa"/>
            <w:vAlign w:val="bottom"/>
            <w:tcBorders>
              <w:right w:val="single" w:sz="8" w:color="95B3D7"/>
            </w:tcBorders>
          </w:tcPr>
          <w:p>
            <w:pPr>
              <w:spacing w:after="0"/>
              <w:rPr>
                <w:sz w:val="15"/>
                <w:szCs w:val="15"/>
                <w:color w:val="auto"/>
              </w:rPr>
            </w:pPr>
          </w:p>
        </w:tc>
        <w:tc>
          <w:tcPr>
            <w:tcW w:w="2560" w:type="dxa"/>
            <w:vAlign w:val="bottom"/>
            <w:shd w:val="clear" w:color="auto" w:fill="DBE5F1"/>
          </w:tcPr>
          <w:p>
            <w:pPr>
              <w:jc w:val="center"/>
              <w:ind w:left="179"/>
              <w:spacing w:after="0" w:line="175" w:lineRule="exact"/>
              <w:rPr>
                <w:sz w:val="20"/>
                <w:szCs w:val="20"/>
                <w:color w:val="auto"/>
              </w:rPr>
            </w:pPr>
            <w:r>
              <w:rPr>
                <w:rFonts w:ascii="Arial" w:cs="Arial" w:eastAsia="Arial" w:hAnsi="Arial"/>
                <w:sz w:val="16"/>
                <w:szCs w:val="16"/>
                <w:b w:val="1"/>
                <w:bCs w:val="1"/>
                <w:color w:val="auto"/>
              </w:rPr>
              <w:t>Health Plan Membership as</w:t>
            </w:r>
          </w:p>
        </w:tc>
        <w:tc>
          <w:tcPr>
            <w:tcW w:w="200" w:type="dxa"/>
            <w:vAlign w:val="bottom"/>
            <w:tcBorders>
              <w:right w:val="single" w:sz="8" w:color="95B3D7"/>
            </w:tcBorders>
            <w:shd w:val="clear" w:color="auto" w:fill="DBE5F1"/>
          </w:tcPr>
          <w:p>
            <w:pPr>
              <w:spacing w:after="0"/>
              <w:rPr>
                <w:sz w:val="15"/>
                <w:szCs w:val="15"/>
                <w:color w:val="auto"/>
              </w:rPr>
            </w:pPr>
          </w:p>
        </w:tc>
        <w:tc>
          <w:tcPr>
            <w:tcW w:w="2740" w:type="dxa"/>
            <w:vAlign w:val="bottom"/>
            <w:tcBorders>
              <w:right w:val="single" w:sz="8" w:color="95B3D7"/>
            </w:tcBorders>
            <w:shd w:val="clear" w:color="auto" w:fill="DBE5F1"/>
          </w:tcPr>
          <w:p>
            <w:pPr>
              <w:jc w:val="center"/>
              <w:spacing w:after="0" w:line="175" w:lineRule="exact"/>
              <w:rPr>
                <w:sz w:val="20"/>
                <w:szCs w:val="20"/>
                <w:color w:val="auto"/>
              </w:rPr>
            </w:pPr>
            <w:r>
              <w:rPr>
                <w:rFonts w:ascii="Arial" w:cs="Arial" w:eastAsia="Arial" w:hAnsi="Arial"/>
                <w:sz w:val="16"/>
                <w:szCs w:val="16"/>
                <w:b w:val="1"/>
                <w:bCs w:val="1"/>
                <w:color w:val="auto"/>
              </w:rPr>
              <w:t>Adjusted Gross</w:t>
            </w:r>
          </w:p>
        </w:tc>
        <w:tc>
          <w:tcPr>
            <w:tcW w:w="320" w:type="dxa"/>
            <w:vAlign w:val="bottom"/>
            <w:shd w:val="clear" w:color="auto" w:fill="DBE5F1"/>
          </w:tcPr>
          <w:p>
            <w:pPr>
              <w:spacing w:after="0"/>
              <w:rPr>
                <w:sz w:val="15"/>
                <w:szCs w:val="15"/>
                <w:color w:val="auto"/>
              </w:rPr>
            </w:pPr>
          </w:p>
        </w:tc>
        <w:tc>
          <w:tcPr>
            <w:tcW w:w="2300" w:type="dxa"/>
            <w:vAlign w:val="bottom"/>
            <w:shd w:val="clear" w:color="auto" w:fill="DBE5F1"/>
          </w:tcPr>
          <w:p>
            <w:pPr>
              <w:jc w:val="center"/>
              <w:ind w:right="161"/>
              <w:spacing w:after="0" w:line="175" w:lineRule="exact"/>
              <w:rPr>
                <w:sz w:val="20"/>
                <w:szCs w:val="20"/>
                <w:color w:val="auto"/>
              </w:rPr>
            </w:pPr>
            <w:r>
              <w:rPr>
                <w:rFonts w:ascii="Arial" w:cs="Arial" w:eastAsia="Arial" w:hAnsi="Arial"/>
                <w:sz w:val="14"/>
                <w:szCs w:val="14"/>
                <w:b w:val="1"/>
                <w:bCs w:val="1"/>
                <w:color w:val="auto"/>
              </w:rPr>
              <w:t>Adjusted EBITDA</w:t>
            </w:r>
            <w:r>
              <w:rPr>
                <w:rFonts w:ascii="Arial" w:cs="Arial" w:eastAsia="Arial" w:hAnsi="Arial"/>
                <w:sz w:val="20"/>
                <w:szCs w:val="20"/>
                <w:b w:val="1"/>
                <w:bCs w:val="1"/>
                <w:color w:val="auto"/>
                <w:vertAlign w:val="superscript"/>
              </w:rPr>
              <w:t>(1)</w:t>
            </w:r>
          </w:p>
        </w:tc>
      </w:tr>
      <w:tr>
        <w:trPr>
          <w:trHeight w:val="224"/>
        </w:trPr>
        <w:tc>
          <w:tcPr>
            <w:tcW w:w="2900" w:type="dxa"/>
            <w:vAlign w:val="bottom"/>
            <w:tcBorders>
              <w:right w:val="single" w:sz="8" w:color="95B3D7"/>
            </w:tcBorders>
          </w:tcPr>
          <w:p>
            <w:pPr>
              <w:spacing w:after="0"/>
              <w:rPr>
                <w:sz w:val="19"/>
                <w:szCs w:val="19"/>
                <w:color w:val="auto"/>
              </w:rPr>
            </w:pPr>
          </w:p>
        </w:tc>
        <w:tc>
          <w:tcPr>
            <w:tcW w:w="2560" w:type="dxa"/>
            <w:vAlign w:val="bottom"/>
            <w:tcBorders>
              <w:bottom w:val="single" w:sz="8" w:color="95B3D7"/>
            </w:tcBorders>
            <w:shd w:val="clear" w:color="auto" w:fill="DBE5F1"/>
          </w:tcPr>
          <w:p>
            <w:pPr>
              <w:jc w:val="center"/>
              <w:ind w:left="199"/>
              <w:spacing w:after="0"/>
              <w:rPr>
                <w:sz w:val="20"/>
                <w:szCs w:val="20"/>
                <w:color w:val="auto"/>
              </w:rPr>
            </w:pPr>
            <w:r>
              <w:rPr>
                <w:rFonts w:ascii="Arial" w:cs="Arial" w:eastAsia="Arial" w:hAnsi="Arial"/>
                <w:sz w:val="16"/>
                <w:szCs w:val="16"/>
                <w:b w:val="1"/>
                <w:bCs w:val="1"/>
                <w:color w:val="auto"/>
              </w:rPr>
              <w:t>of January 1, 2024</w:t>
            </w:r>
          </w:p>
        </w:tc>
        <w:tc>
          <w:tcPr>
            <w:tcW w:w="200" w:type="dxa"/>
            <w:vAlign w:val="bottom"/>
            <w:tcBorders>
              <w:bottom w:val="single" w:sz="8" w:color="95B3D7"/>
              <w:right w:val="single" w:sz="8" w:color="95B3D7"/>
            </w:tcBorders>
            <w:shd w:val="clear" w:color="auto" w:fill="DBE5F1"/>
          </w:tcPr>
          <w:p>
            <w:pPr>
              <w:spacing w:after="0"/>
              <w:rPr>
                <w:sz w:val="19"/>
                <w:szCs w:val="19"/>
                <w:color w:val="auto"/>
              </w:rPr>
            </w:pPr>
          </w:p>
        </w:tc>
        <w:tc>
          <w:tcPr>
            <w:tcW w:w="2740" w:type="dxa"/>
            <w:vAlign w:val="bottom"/>
            <w:tcBorders>
              <w:bottom w:val="single" w:sz="8" w:color="95B3D7"/>
              <w:right w:val="single" w:sz="8" w:color="95B3D7"/>
            </w:tcBorders>
            <w:shd w:val="clear" w:color="auto" w:fill="DBE5F1"/>
          </w:tcPr>
          <w:p>
            <w:pPr>
              <w:jc w:val="center"/>
              <w:spacing w:after="0" w:line="217" w:lineRule="exact"/>
              <w:rPr>
                <w:sz w:val="20"/>
                <w:szCs w:val="20"/>
                <w:color w:val="auto"/>
              </w:rPr>
            </w:pPr>
            <w:r>
              <w:rPr>
                <w:rFonts w:ascii="Arial" w:cs="Arial" w:eastAsia="Arial" w:hAnsi="Arial"/>
                <w:sz w:val="16"/>
                <w:szCs w:val="16"/>
                <w:b w:val="1"/>
                <w:bCs w:val="1"/>
                <w:color w:val="auto"/>
                <w:w w:val="91"/>
              </w:rPr>
              <w:t>Profit</w:t>
            </w:r>
            <w:r>
              <w:rPr>
                <w:rFonts w:ascii="Arial" w:cs="Arial" w:eastAsia="Arial" w:hAnsi="Arial"/>
                <w:sz w:val="24"/>
                <w:szCs w:val="24"/>
                <w:b w:val="1"/>
                <w:bCs w:val="1"/>
                <w:color w:val="auto"/>
                <w:w w:val="91"/>
                <w:vertAlign w:val="superscript"/>
              </w:rPr>
              <w:t>(1)</w:t>
            </w:r>
          </w:p>
        </w:tc>
        <w:tc>
          <w:tcPr>
            <w:tcW w:w="320" w:type="dxa"/>
            <w:vAlign w:val="bottom"/>
            <w:tcBorders>
              <w:bottom w:val="single" w:sz="8" w:color="95B3D7"/>
            </w:tcBorders>
            <w:shd w:val="clear" w:color="auto" w:fill="DBE5F1"/>
          </w:tcPr>
          <w:p>
            <w:pPr>
              <w:spacing w:after="0"/>
              <w:rPr>
                <w:sz w:val="19"/>
                <w:szCs w:val="19"/>
                <w:color w:val="auto"/>
              </w:rPr>
            </w:pPr>
          </w:p>
        </w:tc>
        <w:tc>
          <w:tcPr>
            <w:tcW w:w="2300" w:type="dxa"/>
            <w:vAlign w:val="bottom"/>
            <w:tcBorders>
              <w:bottom w:val="single" w:sz="8" w:color="95B3D7"/>
            </w:tcBorders>
            <w:shd w:val="clear" w:color="auto" w:fill="DBE5F1"/>
          </w:tcPr>
          <w:p>
            <w:pPr>
              <w:spacing w:after="0"/>
              <w:rPr>
                <w:sz w:val="19"/>
                <w:szCs w:val="19"/>
                <w:color w:val="auto"/>
              </w:rPr>
            </w:pPr>
          </w:p>
        </w:tc>
      </w:tr>
      <w:tr>
        <w:trPr>
          <w:trHeight w:val="189"/>
        </w:trPr>
        <w:tc>
          <w:tcPr>
            <w:tcW w:w="2900" w:type="dxa"/>
            <w:vAlign w:val="bottom"/>
            <w:tcBorders>
              <w:bottom w:val="single" w:sz="8" w:color="95B3D7"/>
              <w:right w:val="single" w:sz="8" w:color="95B3D7"/>
            </w:tcBorders>
          </w:tcPr>
          <w:p>
            <w:pPr>
              <w:spacing w:after="0"/>
              <w:rPr>
                <w:sz w:val="16"/>
                <w:szCs w:val="16"/>
                <w:color w:val="auto"/>
              </w:rPr>
            </w:pPr>
          </w:p>
        </w:tc>
        <w:tc>
          <w:tcPr>
            <w:tcW w:w="2560" w:type="dxa"/>
            <w:vAlign w:val="bottom"/>
            <w:tcBorders>
              <w:bottom w:val="single" w:sz="8" w:color="95B3D7"/>
            </w:tcBorders>
          </w:tcPr>
          <w:p>
            <w:pPr>
              <w:jc w:val="center"/>
              <w:ind w:left="199"/>
              <w:spacing w:after="0"/>
              <w:rPr>
                <w:sz w:val="20"/>
                <w:szCs w:val="20"/>
                <w:color w:val="auto"/>
              </w:rPr>
            </w:pPr>
            <w:r>
              <w:rPr>
                <w:rFonts w:ascii="Arial" w:cs="Arial" w:eastAsia="Arial" w:hAnsi="Arial"/>
                <w:sz w:val="16"/>
                <w:szCs w:val="16"/>
                <w:i w:val="1"/>
                <w:iCs w:val="1"/>
                <w:color w:val="auto"/>
              </w:rPr>
              <w:t>(50% Weighting)</w:t>
            </w:r>
          </w:p>
        </w:tc>
        <w:tc>
          <w:tcPr>
            <w:tcW w:w="200" w:type="dxa"/>
            <w:vAlign w:val="bottom"/>
            <w:tcBorders>
              <w:bottom w:val="single" w:sz="8" w:color="95B3D7"/>
              <w:right w:val="single" w:sz="8" w:color="95B3D7"/>
            </w:tcBorders>
          </w:tcPr>
          <w:p>
            <w:pPr>
              <w:spacing w:after="0"/>
              <w:rPr>
                <w:sz w:val="16"/>
                <w:szCs w:val="16"/>
                <w:color w:val="auto"/>
              </w:rPr>
            </w:pPr>
          </w:p>
        </w:tc>
        <w:tc>
          <w:tcPr>
            <w:tcW w:w="2740" w:type="dxa"/>
            <w:vAlign w:val="bottom"/>
            <w:tcBorders>
              <w:bottom w:val="single" w:sz="8" w:color="95B3D7"/>
              <w:right w:val="single" w:sz="8" w:color="95B3D7"/>
            </w:tcBorders>
          </w:tcPr>
          <w:p>
            <w:pPr>
              <w:jc w:val="center"/>
              <w:spacing w:after="0"/>
              <w:rPr>
                <w:sz w:val="20"/>
                <w:szCs w:val="20"/>
                <w:color w:val="auto"/>
              </w:rPr>
            </w:pPr>
            <w:r>
              <w:rPr>
                <w:rFonts w:ascii="Arial" w:cs="Arial" w:eastAsia="Arial" w:hAnsi="Arial"/>
                <w:sz w:val="16"/>
                <w:szCs w:val="16"/>
                <w:i w:val="1"/>
                <w:iCs w:val="1"/>
                <w:color w:val="auto"/>
              </w:rPr>
              <w:t>(30% Weighting)</w:t>
            </w:r>
          </w:p>
        </w:tc>
        <w:tc>
          <w:tcPr>
            <w:tcW w:w="320" w:type="dxa"/>
            <w:vAlign w:val="bottom"/>
            <w:tcBorders>
              <w:bottom w:val="single" w:sz="8" w:color="95B3D7"/>
            </w:tcBorders>
          </w:tcPr>
          <w:p>
            <w:pPr>
              <w:spacing w:after="0"/>
              <w:rPr>
                <w:sz w:val="16"/>
                <w:szCs w:val="16"/>
                <w:color w:val="auto"/>
              </w:rPr>
            </w:pPr>
          </w:p>
        </w:tc>
        <w:tc>
          <w:tcPr>
            <w:tcW w:w="2300" w:type="dxa"/>
            <w:vAlign w:val="bottom"/>
            <w:tcBorders>
              <w:bottom w:val="single" w:sz="8" w:color="95B3D7"/>
            </w:tcBorders>
          </w:tcPr>
          <w:p>
            <w:pPr>
              <w:jc w:val="center"/>
              <w:ind w:right="161"/>
              <w:spacing w:after="0"/>
              <w:rPr>
                <w:sz w:val="20"/>
                <w:szCs w:val="20"/>
                <w:color w:val="auto"/>
              </w:rPr>
            </w:pPr>
            <w:r>
              <w:rPr>
                <w:rFonts w:ascii="Arial" w:cs="Arial" w:eastAsia="Arial" w:hAnsi="Arial"/>
                <w:sz w:val="16"/>
                <w:szCs w:val="16"/>
                <w:i w:val="1"/>
                <w:iCs w:val="1"/>
                <w:color w:val="auto"/>
                <w:w w:val="99"/>
              </w:rPr>
              <w:t>(20% Weighting)</w:t>
            </w:r>
          </w:p>
        </w:tc>
      </w:tr>
      <w:tr>
        <w:trPr>
          <w:trHeight w:val="183"/>
        </w:trPr>
        <w:tc>
          <w:tcPr>
            <w:tcW w:w="290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b w:val="1"/>
                <w:bCs w:val="1"/>
                <w:color w:val="auto"/>
              </w:rPr>
              <w:t>Threshold</w:t>
            </w:r>
          </w:p>
        </w:tc>
        <w:tc>
          <w:tcPr>
            <w:tcW w:w="2560" w:type="dxa"/>
            <w:vAlign w:val="bottom"/>
            <w:tcBorders>
              <w:bottom w:val="single" w:sz="8" w:color="95B3D7"/>
            </w:tcBorders>
            <w:shd w:val="clear" w:color="auto" w:fill="DBE5F1"/>
          </w:tcPr>
          <w:p>
            <w:pPr>
              <w:jc w:val="center"/>
              <w:ind w:left="179"/>
              <w:spacing w:after="0" w:line="183" w:lineRule="exact"/>
              <w:rPr>
                <w:sz w:val="20"/>
                <w:szCs w:val="20"/>
                <w:color w:val="auto"/>
              </w:rPr>
            </w:pPr>
            <w:r>
              <w:rPr>
                <w:rFonts w:ascii="Arial" w:cs="Arial" w:eastAsia="Arial" w:hAnsi="Arial"/>
                <w:sz w:val="16"/>
                <w:szCs w:val="16"/>
                <w:color w:val="auto"/>
              </w:rPr>
              <w:t>124,545</w:t>
            </w:r>
          </w:p>
        </w:tc>
        <w:tc>
          <w:tcPr>
            <w:tcW w:w="200" w:type="dxa"/>
            <w:vAlign w:val="bottom"/>
            <w:tcBorders>
              <w:bottom w:val="single" w:sz="8" w:color="95B3D7"/>
              <w:right w:val="single" w:sz="8" w:color="95B3D7"/>
            </w:tcBorders>
            <w:shd w:val="clear" w:color="auto" w:fill="DBE5F1"/>
          </w:tcPr>
          <w:p>
            <w:pPr>
              <w:spacing w:after="0"/>
              <w:rPr>
                <w:sz w:val="15"/>
                <w:szCs w:val="15"/>
                <w:color w:val="auto"/>
              </w:rPr>
            </w:pPr>
          </w:p>
        </w:tc>
        <w:tc>
          <w:tcPr>
            <w:tcW w:w="274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$202M</w:t>
            </w:r>
          </w:p>
        </w:tc>
        <w:tc>
          <w:tcPr>
            <w:tcW w:w="320" w:type="dxa"/>
            <w:vAlign w:val="bottom"/>
            <w:tcBorders>
              <w:bottom w:val="single" w:sz="8" w:color="95B3D7"/>
            </w:tcBorders>
            <w:shd w:val="clear" w:color="auto" w:fill="DBE5F1"/>
          </w:tcPr>
          <w:p>
            <w:pPr>
              <w:spacing w:after="0"/>
              <w:rPr>
                <w:sz w:val="15"/>
                <w:szCs w:val="15"/>
                <w:color w:val="auto"/>
              </w:rPr>
            </w:pPr>
          </w:p>
        </w:tc>
        <w:tc>
          <w:tcPr>
            <w:tcW w:w="2300" w:type="dxa"/>
            <w:vAlign w:val="bottom"/>
            <w:tcBorders>
              <w:bottom w:val="single" w:sz="8" w:color="95B3D7"/>
            </w:tcBorders>
            <w:shd w:val="clear" w:color="auto" w:fill="DBE5F1"/>
          </w:tcPr>
          <w:p>
            <w:pPr>
              <w:jc w:val="center"/>
              <w:ind w:right="161"/>
              <w:spacing w:after="0" w:line="183" w:lineRule="exact"/>
              <w:rPr>
                <w:sz w:val="20"/>
                <w:szCs w:val="20"/>
                <w:color w:val="auto"/>
              </w:rPr>
            </w:pPr>
            <w:r>
              <w:rPr>
                <w:rFonts w:ascii="Arial" w:cs="Arial" w:eastAsia="Arial" w:hAnsi="Arial"/>
                <w:sz w:val="16"/>
                <w:szCs w:val="16"/>
                <w:color w:val="auto"/>
              </w:rPr>
              <w:t>($37.8M)</w:t>
            </w:r>
          </w:p>
        </w:tc>
      </w:tr>
      <w:tr>
        <w:trPr>
          <w:trHeight w:val="183"/>
        </w:trPr>
        <w:tc>
          <w:tcPr>
            <w:tcW w:w="290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b w:val="1"/>
                <w:bCs w:val="1"/>
                <w:color w:val="auto"/>
              </w:rPr>
              <w:t>Target</w:t>
            </w:r>
          </w:p>
        </w:tc>
        <w:tc>
          <w:tcPr>
            <w:tcW w:w="2560" w:type="dxa"/>
            <w:vAlign w:val="bottom"/>
            <w:tcBorders>
              <w:bottom w:val="single" w:sz="8" w:color="95B3D7"/>
            </w:tcBorders>
          </w:tcPr>
          <w:p>
            <w:pPr>
              <w:jc w:val="center"/>
              <w:ind w:left="179"/>
              <w:spacing w:after="0" w:line="183" w:lineRule="exact"/>
              <w:rPr>
                <w:sz w:val="20"/>
                <w:szCs w:val="20"/>
                <w:color w:val="auto"/>
              </w:rPr>
            </w:pPr>
            <w:r>
              <w:rPr>
                <w:rFonts w:ascii="Arial" w:cs="Arial" w:eastAsia="Arial" w:hAnsi="Arial"/>
                <w:sz w:val="16"/>
                <w:szCs w:val="16"/>
                <w:color w:val="auto"/>
              </w:rPr>
              <w:t>129,960</w:t>
            </w:r>
          </w:p>
        </w:tc>
        <w:tc>
          <w:tcPr>
            <w:tcW w:w="200" w:type="dxa"/>
            <w:vAlign w:val="bottom"/>
            <w:tcBorders>
              <w:bottom w:val="single" w:sz="8" w:color="95B3D7"/>
              <w:right w:val="single" w:sz="8" w:color="95B3D7"/>
            </w:tcBorders>
          </w:tcPr>
          <w:p>
            <w:pPr>
              <w:spacing w:after="0"/>
              <w:rPr>
                <w:sz w:val="15"/>
                <w:szCs w:val="15"/>
                <w:color w:val="auto"/>
              </w:rPr>
            </w:pPr>
          </w:p>
        </w:tc>
        <w:tc>
          <w:tcPr>
            <w:tcW w:w="2740" w:type="dxa"/>
            <w:vAlign w:val="bottom"/>
            <w:tcBorders>
              <w:bottom w:val="single" w:sz="8" w:color="95B3D7"/>
              <w:right w:val="single" w:sz="8" w:color="95B3D7"/>
            </w:tcBorders>
          </w:tcPr>
          <w:p>
            <w:pPr>
              <w:jc w:val="center"/>
              <w:spacing w:after="0" w:line="183" w:lineRule="exact"/>
              <w:rPr>
                <w:sz w:val="20"/>
                <w:szCs w:val="20"/>
                <w:color w:val="auto"/>
              </w:rPr>
            </w:pPr>
            <w:r>
              <w:rPr>
                <w:rFonts w:ascii="Arial" w:cs="Arial" w:eastAsia="Arial" w:hAnsi="Arial"/>
                <w:sz w:val="16"/>
                <w:szCs w:val="16"/>
                <w:color w:val="auto"/>
              </w:rPr>
              <w:t>$217M</w:t>
            </w:r>
          </w:p>
        </w:tc>
        <w:tc>
          <w:tcPr>
            <w:tcW w:w="320" w:type="dxa"/>
            <w:vAlign w:val="bottom"/>
            <w:tcBorders>
              <w:bottom w:val="single" w:sz="8" w:color="95B3D7"/>
            </w:tcBorders>
          </w:tcPr>
          <w:p>
            <w:pPr>
              <w:spacing w:after="0"/>
              <w:rPr>
                <w:sz w:val="15"/>
                <w:szCs w:val="15"/>
                <w:color w:val="auto"/>
              </w:rPr>
            </w:pPr>
          </w:p>
        </w:tc>
        <w:tc>
          <w:tcPr>
            <w:tcW w:w="2300" w:type="dxa"/>
            <w:vAlign w:val="bottom"/>
            <w:tcBorders>
              <w:bottom w:val="single" w:sz="8" w:color="95B3D7"/>
            </w:tcBorders>
          </w:tcPr>
          <w:p>
            <w:pPr>
              <w:jc w:val="center"/>
              <w:ind w:right="161"/>
              <w:spacing w:after="0" w:line="183" w:lineRule="exact"/>
              <w:rPr>
                <w:sz w:val="20"/>
                <w:szCs w:val="20"/>
                <w:color w:val="auto"/>
              </w:rPr>
            </w:pPr>
            <w:r>
              <w:rPr>
                <w:rFonts w:ascii="Arial" w:cs="Arial" w:eastAsia="Arial" w:hAnsi="Arial"/>
                <w:sz w:val="16"/>
                <w:szCs w:val="16"/>
                <w:color w:val="auto"/>
              </w:rPr>
              <w:t>($-22.8M)</w:t>
            </w:r>
          </w:p>
        </w:tc>
      </w:tr>
      <w:tr>
        <w:trPr>
          <w:trHeight w:val="183"/>
        </w:trPr>
        <w:tc>
          <w:tcPr>
            <w:tcW w:w="290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b w:val="1"/>
                <w:bCs w:val="1"/>
                <w:color w:val="auto"/>
              </w:rPr>
              <w:t>Maximum</w:t>
            </w:r>
          </w:p>
        </w:tc>
        <w:tc>
          <w:tcPr>
            <w:tcW w:w="2560" w:type="dxa"/>
            <w:vAlign w:val="bottom"/>
            <w:tcBorders>
              <w:bottom w:val="single" w:sz="8" w:color="95B3D7"/>
            </w:tcBorders>
            <w:shd w:val="clear" w:color="auto" w:fill="DBE5F1"/>
          </w:tcPr>
          <w:p>
            <w:pPr>
              <w:jc w:val="center"/>
              <w:ind w:left="179"/>
              <w:spacing w:after="0" w:line="183" w:lineRule="exact"/>
              <w:rPr>
                <w:sz w:val="20"/>
                <w:szCs w:val="20"/>
                <w:color w:val="auto"/>
              </w:rPr>
            </w:pPr>
            <w:r>
              <w:rPr>
                <w:rFonts w:ascii="Arial" w:cs="Arial" w:eastAsia="Arial" w:hAnsi="Arial"/>
                <w:sz w:val="16"/>
                <w:szCs w:val="16"/>
                <w:color w:val="auto"/>
              </w:rPr>
              <w:t>140,790</w:t>
            </w:r>
          </w:p>
        </w:tc>
        <w:tc>
          <w:tcPr>
            <w:tcW w:w="200" w:type="dxa"/>
            <w:vAlign w:val="bottom"/>
            <w:tcBorders>
              <w:bottom w:val="single" w:sz="8" w:color="95B3D7"/>
              <w:right w:val="single" w:sz="8" w:color="95B3D7"/>
            </w:tcBorders>
            <w:shd w:val="clear" w:color="auto" w:fill="DBE5F1"/>
          </w:tcPr>
          <w:p>
            <w:pPr>
              <w:spacing w:after="0"/>
              <w:rPr>
                <w:sz w:val="15"/>
                <w:szCs w:val="15"/>
                <w:color w:val="auto"/>
              </w:rPr>
            </w:pPr>
          </w:p>
        </w:tc>
        <w:tc>
          <w:tcPr>
            <w:tcW w:w="2740" w:type="dxa"/>
            <w:vAlign w:val="bottom"/>
            <w:tcBorders>
              <w:bottom w:val="single" w:sz="8" w:color="95B3D7"/>
              <w:right w:val="single" w:sz="8" w:color="95B3D7"/>
            </w:tcBorders>
            <w:shd w:val="clear" w:color="auto" w:fill="DBE5F1"/>
          </w:tcPr>
          <w:p>
            <w:pPr>
              <w:jc w:val="center"/>
              <w:spacing w:after="0" w:line="183" w:lineRule="exact"/>
              <w:rPr>
                <w:sz w:val="20"/>
                <w:szCs w:val="20"/>
                <w:color w:val="auto"/>
              </w:rPr>
            </w:pPr>
            <w:r>
              <w:rPr>
                <w:rFonts w:ascii="Arial" w:cs="Arial" w:eastAsia="Arial" w:hAnsi="Arial"/>
                <w:sz w:val="16"/>
                <w:szCs w:val="16"/>
                <w:color w:val="auto"/>
              </w:rPr>
              <w:t>$232M</w:t>
            </w:r>
          </w:p>
        </w:tc>
        <w:tc>
          <w:tcPr>
            <w:tcW w:w="320" w:type="dxa"/>
            <w:vAlign w:val="bottom"/>
            <w:tcBorders>
              <w:bottom w:val="single" w:sz="8" w:color="95B3D7"/>
            </w:tcBorders>
            <w:shd w:val="clear" w:color="auto" w:fill="DBE5F1"/>
          </w:tcPr>
          <w:p>
            <w:pPr>
              <w:spacing w:after="0"/>
              <w:rPr>
                <w:sz w:val="15"/>
                <w:szCs w:val="15"/>
                <w:color w:val="auto"/>
              </w:rPr>
            </w:pPr>
          </w:p>
        </w:tc>
        <w:tc>
          <w:tcPr>
            <w:tcW w:w="2300" w:type="dxa"/>
            <w:vAlign w:val="bottom"/>
            <w:tcBorders>
              <w:bottom w:val="single" w:sz="8" w:color="95B3D7"/>
            </w:tcBorders>
            <w:shd w:val="clear" w:color="auto" w:fill="DBE5F1"/>
          </w:tcPr>
          <w:p>
            <w:pPr>
              <w:jc w:val="center"/>
              <w:ind w:right="161"/>
              <w:spacing w:after="0" w:line="183" w:lineRule="exact"/>
              <w:rPr>
                <w:sz w:val="20"/>
                <w:szCs w:val="20"/>
                <w:color w:val="auto"/>
              </w:rPr>
            </w:pPr>
            <w:r>
              <w:rPr>
                <w:rFonts w:ascii="Arial" w:cs="Arial" w:eastAsia="Arial" w:hAnsi="Arial"/>
                <w:sz w:val="16"/>
                <w:szCs w:val="16"/>
                <w:color w:val="auto"/>
              </w:rPr>
              <w:t>($0M)</w:t>
            </w:r>
          </w:p>
        </w:tc>
      </w:tr>
      <w:tr>
        <w:trPr>
          <w:trHeight w:val="183"/>
        </w:trPr>
        <w:tc>
          <w:tcPr>
            <w:tcW w:w="2900" w:type="dxa"/>
            <w:vAlign w:val="bottom"/>
            <w:tcBorders>
              <w:bottom w:val="single" w:sz="8" w:color="95B3D7"/>
              <w:right w:val="single" w:sz="8" w:color="95B3D7"/>
            </w:tcBorders>
          </w:tcPr>
          <w:p>
            <w:pPr>
              <w:ind w:left="320"/>
              <w:spacing w:after="0" w:line="183" w:lineRule="exact"/>
              <w:rPr>
                <w:sz w:val="20"/>
                <w:szCs w:val="20"/>
                <w:color w:val="auto"/>
              </w:rPr>
            </w:pPr>
            <w:r>
              <w:rPr>
                <w:rFonts w:ascii="Arial" w:cs="Arial" w:eastAsia="Arial" w:hAnsi="Arial"/>
                <w:sz w:val="14"/>
                <w:szCs w:val="14"/>
                <w:b w:val="1"/>
                <w:bCs w:val="1"/>
                <w:color w:val="auto"/>
              </w:rPr>
              <w:t>Actual Results</w:t>
            </w:r>
            <w:r>
              <w:rPr>
                <w:rFonts w:ascii="Arial" w:cs="Arial" w:eastAsia="Arial" w:hAnsi="Arial"/>
                <w:sz w:val="21"/>
                <w:szCs w:val="21"/>
                <w:b w:val="1"/>
                <w:bCs w:val="1"/>
                <w:color w:val="auto"/>
                <w:vertAlign w:val="superscript"/>
              </w:rPr>
              <w:t>(2)</w:t>
            </w:r>
          </w:p>
        </w:tc>
        <w:tc>
          <w:tcPr>
            <w:tcW w:w="2560" w:type="dxa"/>
            <w:vAlign w:val="bottom"/>
            <w:tcBorders>
              <w:bottom w:val="single" w:sz="8" w:color="95B3D7"/>
            </w:tcBorders>
          </w:tcPr>
          <w:p>
            <w:pPr>
              <w:jc w:val="center"/>
              <w:ind w:left="199"/>
              <w:spacing w:after="0" w:line="183" w:lineRule="exact"/>
              <w:rPr>
                <w:sz w:val="20"/>
                <w:szCs w:val="20"/>
                <w:color w:val="auto"/>
              </w:rPr>
            </w:pPr>
            <w:r>
              <w:rPr>
                <w:rFonts w:ascii="Arial" w:cs="Arial" w:eastAsia="Arial" w:hAnsi="Arial"/>
                <w:sz w:val="16"/>
                <w:szCs w:val="16"/>
                <w:color w:val="auto"/>
                <w:w w:val="98"/>
              </w:rPr>
              <w:t>200% of Target</w:t>
            </w:r>
          </w:p>
        </w:tc>
        <w:tc>
          <w:tcPr>
            <w:tcW w:w="200" w:type="dxa"/>
            <w:vAlign w:val="bottom"/>
            <w:tcBorders>
              <w:bottom w:val="single" w:sz="8" w:color="95B3D7"/>
              <w:right w:val="single" w:sz="8" w:color="95B3D7"/>
            </w:tcBorders>
          </w:tcPr>
          <w:p>
            <w:pPr>
              <w:spacing w:after="0"/>
              <w:rPr>
                <w:sz w:val="15"/>
                <w:szCs w:val="15"/>
                <w:color w:val="auto"/>
              </w:rPr>
            </w:pPr>
          </w:p>
        </w:tc>
        <w:tc>
          <w:tcPr>
            <w:tcW w:w="2740" w:type="dxa"/>
            <w:vAlign w:val="bottom"/>
            <w:tcBorders>
              <w:bottom w:val="single" w:sz="8" w:color="95B3D7"/>
              <w:right w:val="single" w:sz="8" w:color="95B3D7"/>
            </w:tcBorders>
          </w:tcPr>
          <w:p>
            <w:pPr>
              <w:jc w:val="center"/>
              <w:spacing w:after="0" w:line="183" w:lineRule="exact"/>
              <w:rPr>
                <w:sz w:val="20"/>
                <w:szCs w:val="20"/>
                <w:color w:val="auto"/>
              </w:rPr>
            </w:pPr>
            <w:r>
              <w:rPr>
                <w:rFonts w:ascii="Arial" w:cs="Arial" w:eastAsia="Arial" w:hAnsi="Arial"/>
                <w:sz w:val="16"/>
                <w:szCs w:val="16"/>
                <w:color w:val="auto"/>
                <w:w w:val="99"/>
              </w:rPr>
              <w:t>74% of Target</w:t>
            </w:r>
          </w:p>
        </w:tc>
        <w:tc>
          <w:tcPr>
            <w:tcW w:w="320" w:type="dxa"/>
            <w:vAlign w:val="bottom"/>
            <w:tcBorders>
              <w:bottom w:val="single" w:sz="8" w:color="95B3D7"/>
            </w:tcBorders>
          </w:tcPr>
          <w:p>
            <w:pPr>
              <w:spacing w:after="0"/>
              <w:rPr>
                <w:sz w:val="15"/>
                <w:szCs w:val="15"/>
                <w:color w:val="auto"/>
              </w:rPr>
            </w:pPr>
          </w:p>
        </w:tc>
        <w:tc>
          <w:tcPr>
            <w:tcW w:w="2300" w:type="dxa"/>
            <w:vAlign w:val="bottom"/>
            <w:tcBorders>
              <w:bottom w:val="single" w:sz="8" w:color="95B3D7"/>
            </w:tcBorders>
          </w:tcPr>
          <w:p>
            <w:pPr>
              <w:jc w:val="center"/>
              <w:ind w:right="161"/>
              <w:spacing w:after="0" w:line="183" w:lineRule="exact"/>
              <w:rPr>
                <w:sz w:val="20"/>
                <w:szCs w:val="20"/>
                <w:color w:val="auto"/>
              </w:rPr>
            </w:pPr>
            <w:r>
              <w:rPr>
                <w:rFonts w:ascii="Arial" w:cs="Arial" w:eastAsia="Arial" w:hAnsi="Arial"/>
                <w:sz w:val="16"/>
                <w:szCs w:val="16"/>
                <w:color w:val="auto"/>
                <w:w w:val="97"/>
              </w:rPr>
              <w:t>61% of Target</w:t>
            </w:r>
          </w:p>
        </w:tc>
      </w:tr>
      <w:tr>
        <w:trPr>
          <w:trHeight w:val="183"/>
        </w:trPr>
        <w:tc>
          <w:tcPr>
            <w:tcW w:w="2900" w:type="dxa"/>
            <w:vAlign w:val="bottom"/>
            <w:tcBorders>
              <w:bottom w:val="single" w:sz="8" w:color="95B3D7"/>
              <w:right w:val="single" w:sz="8" w:color="95B3D7"/>
            </w:tcBorders>
            <w:shd w:val="clear" w:color="auto" w:fill="DBE5F1"/>
          </w:tcPr>
          <w:p>
            <w:pPr>
              <w:ind w:left="320"/>
              <w:spacing w:after="0" w:line="183" w:lineRule="exact"/>
              <w:rPr>
                <w:sz w:val="20"/>
                <w:szCs w:val="20"/>
                <w:color w:val="auto"/>
              </w:rPr>
            </w:pPr>
            <w:r>
              <w:rPr>
                <w:rFonts w:ascii="Arial" w:cs="Arial" w:eastAsia="Arial" w:hAnsi="Arial"/>
                <w:sz w:val="14"/>
                <w:szCs w:val="14"/>
                <w:b w:val="1"/>
                <w:bCs w:val="1"/>
                <w:color w:val="auto"/>
              </w:rPr>
              <w:t>Funded Amount</w:t>
            </w:r>
            <w:r>
              <w:rPr>
                <w:rFonts w:ascii="Arial" w:cs="Arial" w:eastAsia="Arial" w:hAnsi="Arial"/>
                <w:sz w:val="21"/>
                <w:szCs w:val="21"/>
                <w:b w:val="1"/>
                <w:bCs w:val="1"/>
                <w:color w:val="auto"/>
                <w:vertAlign w:val="superscript"/>
              </w:rPr>
              <w:t>(3)</w:t>
            </w:r>
          </w:p>
        </w:tc>
        <w:tc>
          <w:tcPr>
            <w:tcW w:w="2560" w:type="dxa"/>
            <w:vAlign w:val="bottom"/>
            <w:tcBorders>
              <w:bottom w:val="single" w:sz="8" w:color="95B3D7"/>
            </w:tcBorders>
            <w:shd w:val="clear" w:color="auto" w:fill="DBE5F1"/>
          </w:tcPr>
          <w:p>
            <w:pPr>
              <w:spacing w:after="0"/>
              <w:rPr>
                <w:sz w:val="15"/>
                <w:szCs w:val="15"/>
                <w:color w:val="auto"/>
              </w:rPr>
            </w:pPr>
          </w:p>
        </w:tc>
        <w:tc>
          <w:tcPr>
            <w:tcW w:w="200" w:type="dxa"/>
            <w:vAlign w:val="bottom"/>
            <w:tcBorders>
              <w:bottom w:val="single" w:sz="8" w:color="95B3D7"/>
              <w:right w:val="single" w:sz="8" w:color="DBE5F1"/>
            </w:tcBorders>
            <w:shd w:val="clear" w:color="auto" w:fill="DBE5F1"/>
          </w:tcPr>
          <w:p>
            <w:pPr>
              <w:spacing w:after="0"/>
              <w:rPr>
                <w:sz w:val="15"/>
                <w:szCs w:val="15"/>
                <w:color w:val="auto"/>
              </w:rPr>
            </w:pPr>
          </w:p>
        </w:tc>
        <w:tc>
          <w:tcPr>
            <w:tcW w:w="3060" w:type="dxa"/>
            <w:vAlign w:val="bottom"/>
            <w:tcBorders>
              <w:bottom w:val="single" w:sz="8" w:color="95B3D7"/>
            </w:tcBorders>
            <w:gridSpan w:val="2"/>
            <w:shd w:val="clear" w:color="auto" w:fill="DBE5F1"/>
          </w:tcPr>
          <w:p>
            <w:pPr>
              <w:jc w:val="center"/>
              <w:ind w:right="380"/>
              <w:spacing w:after="0" w:line="183" w:lineRule="exact"/>
              <w:rPr>
                <w:sz w:val="20"/>
                <w:szCs w:val="20"/>
                <w:color w:val="auto"/>
              </w:rPr>
            </w:pPr>
            <w:r>
              <w:rPr>
                <w:rFonts w:ascii="Arial" w:cs="Arial" w:eastAsia="Arial" w:hAnsi="Arial"/>
                <w:sz w:val="16"/>
                <w:szCs w:val="16"/>
                <w:b w:val="1"/>
                <w:bCs w:val="1"/>
                <w:color w:val="auto"/>
              </w:rPr>
              <w:t>134.4% of Target</w:t>
            </w:r>
          </w:p>
        </w:tc>
        <w:tc>
          <w:tcPr>
            <w:tcW w:w="2300" w:type="dxa"/>
            <w:vAlign w:val="bottom"/>
            <w:tcBorders>
              <w:bottom w:val="single" w:sz="8" w:color="95B3D7"/>
            </w:tcBorders>
            <w:shd w:val="clear" w:color="auto" w:fill="DBE5F1"/>
          </w:tcPr>
          <w:p>
            <w:pPr>
              <w:spacing w:after="0"/>
              <w:rPr>
                <w:sz w:val="15"/>
                <w:szCs w:val="15"/>
                <w:color w:val="auto"/>
              </w:rPr>
            </w:pPr>
          </w:p>
        </w:tc>
      </w:tr>
    </w:tbl>
    <w:p>
      <w:pPr>
        <w:spacing w:after="0" w:line="112" w:lineRule="exact"/>
        <w:rPr>
          <w:sz w:val="20"/>
          <w:szCs w:val="20"/>
          <w:color w:val="auto"/>
        </w:rPr>
      </w:pPr>
    </w:p>
    <w:p>
      <w:pPr>
        <w:jc w:val="both"/>
        <w:ind w:left="760" w:right="20" w:hanging="332"/>
        <w:spacing w:after="0" w:line="263" w:lineRule="auto"/>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Adjusted gross profit and adjusted EBITDA are non-GAAP measures. For a reconciliation to the most directly comparable GAAP measures, please see the Appendix to this proxy statement. For these measures, performance is measured from “Target” to “Maximum” on a linear basis excluding incremental additional accruals for Annual Incentive Plan payouts for performance above “Target.”</w:t>
      </w:r>
    </w:p>
    <w:p>
      <w:pPr>
        <w:spacing w:after="0" w:line="78" w:lineRule="exact"/>
        <w:rPr>
          <w:rFonts w:ascii="Arial" w:cs="Arial" w:eastAsia="Arial" w:hAnsi="Arial"/>
          <w:sz w:val="14"/>
          <w:szCs w:val="14"/>
          <w:color w:val="auto"/>
        </w:rPr>
      </w:pPr>
    </w:p>
    <w:p>
      <w:pPr>
        <w:ind w:left="760" w:hanging="332"/>
        <w:spacing w:after="0" w:line="285" w:lineRule="auto"/>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actual percent of target achieved is calculated based on straight-line interpolation between incremental goal levels established between threshold and target and target and maximum.</w:t>
      </w:r>
    </w:p>
    <w:p>
      <w:pPr>
        <w:spacing w:after="0" w:line="63" w:lineRule="exact"/>
        <w:rPr>
          <w:rFonts w:ascii="Arial" w:cs="Arial" w:eastAsia="Arial" w:hAnsi="Arial"/>
          <w:sz w:val="14"/>
          <w:szCs w:val="14"/>
          <w:color w:val="auto"/>
        </w:rPr>
      </w:pPr>
    </w:p>
    <w:p>
      <w:pPr>
        <w:ind w:left="760" w:right="20" w:hanging="332"/>
        <w:spacing w:after="0" w:line="285" w:lineRule="auto"/>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percentage of corporate objectives achieved. Actual payouts to NEOs were adjusted to reflect level of achievement of individual objectives, which ranged from 100% to 200% (which the exception of our CEO, whose payout is entirely based on achievement of corporate objectives).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4B6D97"/>
        </w:rPr>
        <w:t>2023 Annual Incentive Plan Payouts</w:t>
      </w:r>
    </w:p>
    <w:p>
      <w:pPr>
        <w:spacing w:after="0" w:line="210" w:lineRule="exact"/>
        <w:rPr>
          <w:sz w:val="20"/>
          <w:szCs w:val="20"/>
          <w:color w:val="auto"/>
        </w:rPr>
      </w:pPr>
    </w:p>
    <w:p>
      <w:pPr>
        <w:jc w:val="both"/>
        <w:ind w:right="20" w:firstLine="440"/>
        <w:spacing w:after="0" w:line="244" w:lineRule="auto"/>
        <w:rPr>
          <w:sz w:val="20"/>
          <w:szCs w:val="20"/>
          <w:color w:val="auto"/>
        </w:rPr>
      </w:pPr>
      <w:r>
        <w:rPr>
          <w:rFonts w:ascii="Arial" w:cs="Arial" w:eastAsia="Arial" w:hAnsi="Arial"/>
          <w:sz w:val="18"/>
          <w:szCs w:val="18"/>
          <w:color w:val="auto"/>
        </w:rPr>
        <w:t>Based on the above performance results, the funding of the Annual Incentive Plan was set at 134.4% of each NEO’s applicable target based on the achievement of corporate objectives and subsequently adjusted based on each NEO’s individual performance (excluding the CEO whose bonus entirely based on achievement of corporate objectives). Target bonus opportunities for the 2023 year and payout amounts reflect the weighted average of the target bonus opportunity percentages applicable to each NEO for each applicable period throughout the year. The table below sets forth the actual awards earned by the NEOs in 2023 (and paid in 2024):</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20"/>
          </w:cols>
          <w:pgMar w:left="440" w:top="296" w:right="439" w:bottom="1440" w:gutter="0" w:footer="0" w:header="0"/>
        </w:sectPr>
      </w:pPr>
    </w:p>
    <w:bookmarkStart w:id="57" w:name="page58"/>
    <w:bookmarkEnd w:id="57"/>
    <w:tbl>
      <w:tblPr>
        <w:tblLayout w:type="fixed"/>
        <w:tblInd w:w="44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center"/>
              <w:ind w:left="41"/>
              <w:spacing w:after="0"/>
              <w:rPr>
                <w:sz w:val="20"/>
                <w:szCs w:val="20"/>
                <w:color w:val="auto"/>
              </w:rPr>
            </w:pPr>
            <w:r>
              <w:rPr>
                <w:rFonts w:ascii="Arial" w:cs="Arial" w:eastAsia="Arial" w:hAnsi="Arial"/>
                <w:sz w:val="14"/>
                <w:szCs w:val="14"/>
                <w:b w:val="1"/>
                <w:bCs w:val="1"/>
                <w:color w:val="auto"/>
              </w:rPr>
              <w:t>Actual</w:t>
            </w:r>
          </w:p>
        </w:tc>
      </w:tr>
      <w:tr>
        <w:trPr>
          <w:trHeight w:val="162"/>
        </w:trPr>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center"/>
              <w:ind w:left="41"/>
              <w:spacing w:after="0"/>
              <w:rPr>
                <w:sz w:val="20"/>
                <w:szCs w:val="20"/>
                <w:color w:val="auto"/>
              </w:rPr>
            </w:pPr>
            <w:r>
              <w:rPr>
                <w:rFonts w:ascii="Arial" w:cs="Arial" w:eastAsia="Arial" w:hAnsi="Arial"/>
                <w:sz w:val="14"/>
                <w:szCs w:val="14"/>
                <w:b w:val="1"/>
                <w:bCs w:val="1"/>
                <w:color w:val="auto"/>
              </w:rPr>
              <w:t>Payout</w:t>
            </w:r>
          </w:p>
        </w:tc>
      </w:tr>
      <w:tr>
        <w:trPr>
          <w:trHeight w:val="162"/>
        </w:trPr>
        <w:tc>
          <w:tcPr>
            <w:tcW w:w="17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20" w:type="dxa"/>
            <w:vAlign w:val="bottom"/>
          </w:tcPr>
          <w:p>
            <w:pPr>
              <w:jc w:val="center"/>
              <w:ind w:left="41"/>
              <w:spacing w:after="0"/>
              <w:rPr>
                <w:sz w:val="20"/>
                <w:szCs w:val="20"/>
                <w:color w:val="auto"/>
              </w:rPr>
            </w:pPr>
            <w:r>
              <w:rPr>
                <w:rFonts w:ascii="Arial" w:cs="Arial" w:eastAsia="Arial" w:hAnsi="Arial"/>
                <w:sz w:val="14"/>
                <w:szCs w:val="14"/>
                <w:b w:val="1"/>
                <w:bCs w:val="1"/>
                <w:color w:val="auto"/>
              </w:rPr>
              <w:t>as</w:t>
            </w:r>
          </w:p>
        </w:tc>
      </w:tr>
      <w:tr>
        <w:trPr>
          <w:trHeight w:val="162"/>
        </w:trPr>
        <w:tc>
          <w:tcPr>
            <w:tcW w:w="17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2023</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2023 Target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Corporate</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Individual</w:t>
            </w:r>
          </w:p>
        </w:tc>
        <w:tc>
          <w:tcPr>
            <w:tcW w:w="1420" w:type="dxa"/>
            <w:vAlign w:val="bottom"/>
          </w:tcPr>
          <w:p>
            <w:pPr>
              <w:jc w:val="center"/>
              <w:ind w:left="19"/>
              <w:spacing w:after="0"/>
              <w:rPr>
                <w:sz w:val="20"/>
                <w:szCs w:val="20"/>
                <w:color w:val="auto"/>
              </w:rPr>
            </w:pPr>
            <w:r>
              <w:rPr>
                <w:rFonts w:ascii="Arial" w:cs="Arial" w:eastAsia="Arial" w:hAnsi="Arial"/>
                <w:sz w:val="14"/>
                <w:szCs w:val="14"/>
                <w:b w:val="1"/>
                <w:bCs w:val="1"/>
                <w:color w:val="auto"/>
              </w:rPr>
              <w:t>Actual</w:t>
            </w:r>
          </w:p>
        </w:tc>
        <w:tc>
          <w:tcPr>
            <w:tcW w:w="1320" w:type="dxa"/>
            <w:vAlign w:val="bottom"/>
          </w:tcPr>
          <w:p>
            <w:pPr>
              <w:jc w:val="center"/>
              <w:ind w:left="41"/>
              <w:spacing w:after="0"/>
              <w:rPr>
                <w:sz w:val="20"/>
                <w:szCs w:val="20"/>
                <w:color w:val="auto"/>
              </w:rPr>
            </w:pPr>
            <w:r>
              <w:rPr>
                <w:rFonts w:ascii="Arial" w:cs="Arial" w:eastAsia="Arial" w:hAnsi="Arial"/>
                <w:sz w:val="14"/>
                <w:szCs w:val="14"/>
                <w:b w:val="1"/>
                <w:bCs w:val="1"/>
                <w:color w:val="auto"/>
              </w:rPr>
              <w:t>Percent</w:t>
            </w:r>
          </w:p>
        </w:tc>
      </w:tr>
      <w:tr>
        <w:trPr>
          <w:trHeight w:val="158"/>
        </w:trPr>
        <w:tc>
          <w:tcPr>
            <w:tcW w:w="1700" w:type="dxa"/>
            <w:vAlign w:val="bottom"/>
          </w:tcPr>
          <w:p>
            <w:pPr>
              <w:spacing w:after="0"/>
              <w:rPr>
                <w:sz w:val="13"/>
                <w:szCs w:val="13"/>
                <w:color w:val="auto"/>
              </w:rPr>
            </w:pPr>
          </w:p>
        </w:tc>
        <w:tc>
          <w:tcPr>
            <w:tcW w:w="1400" w:type="dxa"/>
            <w:vAlign w:val="bottom"/>
          </w:tcPr>
          <w:p>
            <w:pPr>
              <w:ind w:left="520"/>
              <w:spacing w:after="0" w:line="158" w:lineRule="exact"/>
              <w:rPr>
                <w:sz w:val="20"/>
                <w:szCs w:val="20"/>
                <w:color w:val="auto"/>
              </w:rPr>
            </w:pPr>
            <w:r>
              <w:rPr>
                <w:rFonts w:ascii="Arial" w:cs="Arial" w:eastAsia="Arial" w:hAnsi="Arial"/>
                <w:sz w:val="14"/>
                <w:szCs w:val="14"/>
                <w:b w:val="1"/>
                <w:bCs w:val="1"/>
                <w:color w:val="auto"/>
              </w:rPr>
              <w:t>Bonus</w:t>
            </w:r>
          </w:p>
        </w:tc>
        <w:tc>
          <w:tcPr>
            <w:tcW w:w="14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Bonus</w:t>
            </w:r>
          </w:p>
        </w:tc>
        <w:tc>
          <w:tcPr>
            <w:tcW w:w="1420" w:type="dxa"/>
            <w:vAlign w:val="bottom"/>
          </w:tcPr>
          <w:p>
            <w:pPr>
              <w:jc w:val="center"/>
              <w:ind w:left="18"/>
              <w:spacing w:after="0" w:line="158" w:lineRule="exact"/>
              <w:rPr>
                <w:sz w:val="20"/>
                <w:szCs w:val="20"/>
                <w:color w:val="auto"/>
              </w:rPr>
            </w:pPr>
            <w:r>
              <w:rPr>
                <w:rFonts w:ascii="Arial" w:cs="Arial" w:eastAsia="Arial" w:hAnsi="Arial"/>
                <w:sz w:val="14"/>
                <w:szCs w:val="14"/>
                <w:b w:val="1"/>
                <w:bCs w:val="1"/>
                <w:color w:val="auto"/>
              </w:rPr>
              <w:t>Performance</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Performance</w:t>
            </w:r>
          </w:p>
        </w:tc>
        <w:tc>
          <w:tcPr>
            <w:tcW w:w="1420" w:type="dxa"/>
            <w:vAlign w:val="bottom"/>
          </w:tcPr>
          <w:p>
            <w:pPr>
              <w:jc w:val="center"/>
              <w:ind w:left="19"/>
              <w:spacing w:after="0" w:line="158" w:lineRule="exact"/>
              <w:rPr>
                <w:sz w:val="20"/>
                <w:szCs w:val="20"/>
                <w:color w:val="auto"/>
              </w:rPr>
            </w:pPr>
            <w:r>
              <w:rPr>
                <w:rFonts w:ascii="Arial" w:cs="Arial" w:eastAsia="Arial" w:hAnsi="Arial"/>
                <w:sz w:val="14"/>
                <w:szCs w:val="14"/>
                <w:b w:val="1"/>
                <w:bCs w:val="1"/>
                <w:color w:val="auto"/>
              </w:rPr>
              <w:t>Payout</w:t>
            </w:r>
          </w:p>
        </w:tc>
        <w:tc>
          <w:tcPr>
            <w:tcW w:w="1320" w:type="dxa"/>
            <w:vAlign w:val="bottom"/>
          </w:tcPr>
          <w:p>
            <w:pPr>
              <w:jc w:val="center"/>
              <w:ind w:left="41"/>
              <w:spacing w:after="0" w:line="158" w:lineRule="exact"/>
              <w:rPr>
                <w:sz w:val="20"/>
                <w:szCs w:val="20"/>
                <w:color w:val="auto"/>
              </w:rPr>
            </w:pPr>
            <w:r>
              <w:rPr>
                <w:rFonts w:ascii="Arial" w:cs="Arial" w:eastAsia="Arial" w:hAnsi="Arial"/>
                <w:sz w:val="14"/>
                <w:szCs w:val="14"/>
                <w:b w:val="1"/>
                <w:bCs w:val="1"/>
                <w:color w:val="auto"/>
                <w:w w:val="90"/>
              </w:rPr>
              <w:t>of</w:t>
            </w:r>
          </w:p>
        </w:tc>
      </w:tr>
      <w:tr>
        <w:trPr>
          <w:trHeight w:val="166"/>
        </w:trPr>
        <w:tc>
          <w:tcPr>
            <w:tcW w:w="1700" w:type="dxa"/>
            <w:vAlign w:val="bottom"/>
          </w:tcPr>
          <w:p>
            <w:pPr>
              <w:spacing w:after="0"/>
              <w:rPr>
                <w:sz w:val="14"/>
                <w:szCs w:val="14"/>
                <w:color w:val="auto"/>
              </w:rPr>
            </w:pPr>
          </w:p>
        </w:tc>
        <w:tc>
          <w:tcPr>
            <w:tcW w:w="1400" w:type="dxa"/>
            <w:vAlign w:val="bottom"/>
          </w:tcPr>
          <w:p>
            <w:pPr>
              <w:ind w:left="520"/>
              <w:spacing w:after="0"/>
              <w:rPr>
                <w:sz w:val="20"/>
                <w:szCs w:val="20"/>
                <w:color w:val="auto"/>
              </w:rPr>
            </w:pPr>
            <w:r>
              <w:rPr>
                <w:rFonts w:ascii="Arial" w:cs="Arial" w:eastAsia="Arial" w:hAnsi="Arial"/>
                <w:sz w:val="14"/>
                <w:szCs w:val="14"/>
                <w:b w:val="1"/>
                <w:bCs w:val="1"/>
                <w:color w:val="auto"/>
              </w:rPr>
              <w:t>Target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Opportunity</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Results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Results</w:t>
            </w:r>
          </w:p>
        </w:tc>
        <w:tc>
          <w:tcPr>
            <w:tcW w:w="1420" w:type="dxa"/>
            <w:vAlign w:val="bottom"/>
          </w:tcPr>
          <w:p>
            <w:pPr>
              <w:jc w:val="center"/>
              <w:ind w:left="19"/>
              <w:spacing w:after="0" w:line="166" w:lineRule="exact"/>
              <w:rPr>
                <w:sz w:val="20"/>
                <w:szCs w:val="20"/>
                <w:color w:val="auto"/>
              </w:rPr>
            </w:pPr>
            <w:r>
              <w:rPr>
                <w:rFonts w:ascii="Arial" w:cs="Arial" w:eastAsia="Arial" w:hAnsi="Arial"/>
                <w:sz w:val="13"/>
                <w:szCs w:val="13"/>
                <w:b w:val="1"/>
                <w:bCs w:val="1"/>
                <w:color w:val="auto"/>
              </w:rPr>
              <w:t>Amount</w:t>
            </w:r>
            <w:r>
              <w:rPr>
                <w:rFonts w:ascii="Arial" w:cs="Arial" w:eastAsia="Arial" w:hAnsi="Arial"/>
                <w:sz w:val="19"/>
                <w:szCs w:val="19"/>
                <w:b w:val="1"/>
                <w:bCs w:val="1"/>
                <w:color w:val="auto"/>
                <w:vertAlign w:val="superscript"/>
              </w:rPr>
              <w:t>(1)</w:t>
            </w:r>
          </w:p>
        </w:tc>
        <w:tc>
          <w:tcPr>
            <w:tcW w:w="1320" w:type="dxa"/>
            <w:vAlign w:val="bottom"/>
          </w:tcPr>
          <w:p>
            <w:pPr>
              <w:jc w:val="center"/>
              <w:ind w:left="1"/>
              <w:spacing w:after="0"/>
              <w:rPr>
                <w:sz w:val="20"/>
                <w:szCs w:val="20"/>
                <w:color w:val="auto"/>
              </w:rPr>
            </w:pPr>
            <w:r>
              <w:rPr>
                <w:rFonts w:ascii="Arial" w:cs="Arial" w:eastAsia="Arial" w:hAnsi="Arial"/>
                <w:sz w:val="14"/>
                <w:szCs w:val="14"/>
                <w:b w:val="1"/>
                <w:bCs w:val="1"/>
                <w:color w:val="auto"/>
              </w:rPr>
              <w:t>Target</w:t>
            </w:r>
          </w:p>
        </w:tc>
      </w:tr>
      <w:tr>
        <w:trPr>
          <w:trHeight w:val="185"/>
        </w:trPr>
        <w:tc>
          <w:tcPr>
            <w:tcW w:w="1700" w:type="dxa"/>
            <w:vAlign w:val="bottom"/>
            <w:tcBorders>
              <w:bottom w:val="single" w:sz="8" w:color="95B3D7"/>
            </w:tcBorders>
          </w:tcPr>
          <w:p>
            <w:pPr>
              <w:ind w:left="640"/>
              <w:spacing w:after="0"/>
              <w:rPr>
                <w:sz w:val="20"/>
                <w:szCs w:val="20"/>
                <w:color w:val="auto"/>
              </w:rPr>
            </w:pPr>
            <w:r>
              <w:rPr>
                <w:rFonts w:ascii="Arial" w:cs="Arial" w:eastAsia="Arial" w:hAnsi="Arial"/>
                <w:sz w:val="14"/>
                <w:szCs w:val="14"/>
                <w:b w:val="1"/>
                <w:bCs w:val="1"/>
                <w:color w:val="auto"/>
              </w:rPr>
              <w:t>Name</w:t>
            </w:r>
          </w:p>
        </w:tc>
        <w:tc>
          <w:tcPr>
            <w:tcW w:w="140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95B3D7"/>
            </w:tcBorders>
          </w:tcPr>
          <w:p>
            <w:pPr>
              <w:jc w:val="center"/>
              <w:ind w:left="1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95B3D7"/>
            </w:tcBorders>
          </w:tcPr>
          <w:p>
            <w:pPr>
              <w:jc w:val="center"/>
              <w:ind w:left="41"/>
              <w:spacing w:after="0"/>
              <w:rPr>
                <w:sz w:val="20"/>
                <w:szCs w:val="20"/>
                <w:color w:val="auto"/>
              </w:rPr>
            </w:pPr>
            <w:r>
              <w:rPr>
                <w:rFonts w:ascii="Arial" w:cs="Arial" w:eastAsia="Arial" w:hAnsi="Arial"/>
                <w:sz w:val="14"/>
                <w:szCs w:val="14"/>
                <w:b w:val="1"/>
                <w:bCs w:val="1"/>
                <w:color w:val="auto"/>
              </w:rPr>
              <w:t>(%)</w:t>
            </w:r>
          </w:p>
        </w:tc>
      </w:tr>
      <w:tr>
        <w:trPr>
          <w:trHeight w:val="196"/>
        </w:trPr>
        <w:tc>
          <w:tcPr>
            <w:tcW w:w="1700" w:type="dxa"/>
            <w:vAlign w:val="bottom"/>
            <w:tcBorders>
              <w:bottom w:val="single" w:sz="8" w:color="95B3D7"/>
              <w:right w:val="single" w:sz="8" w:color="95B3D7"/>
            </w:tcBorders>
            <w:shd w:val="clear" w:color="auto" w:fill="DBE5F1"/>
          </w:tcPr>
          <w:p>
            <w:pPr>
              <w:spacing w:after="0" w:line="196" w:lineRule="exact"/>
              <w:rPr>
                <w:sz w:val="20"/>
                <w:szCs w:val="20"/>
                <w:color w:val="auto"/>
              </w:rPr>
            </w:pPr>
            <w:r>
              <w:rPr>
                <w:rFonts w:ascii="Arial" w:cs="Arial" w:eastAsia="Arial" w:hAnsi="Arial"/>
                <w:sz w:val="18"/>
                <w:szCs w:val="18"/>
                <w:color w:val="auto"/>
              </w:rPr>
              <w:t>  John Kao</w:t>
            </w:r>
          </w:p>
        </w:tc>
        <w:tc>
          <w:tcPr>
            <w:tcW w:w="1400" w:type="dxa"/>
            <w:vAlign w:val="bottom"/>
            <w:tcBorders>
              <w:bottom w:val="single" w:sz="8" w:color="95B3D7"/>
              <w:right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w w:val="99"/>
              </w:rPr>
              <w:t>100</w:t>
            </w:r>
          </w:p>
        </w:tc>
        <w:tc>
          <w:tcPr>
            <w:tcW w:w="1420" w:type="dxa"/>
            <w:vAlign w:val="bottom"/>
            <w:tcBorders>
              <w:bottom w:val="single" w:sz="8" w:color="95B3D7"/>
              <w:right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786,539</w:t>
            </w:r>
          </w:p>
        </w:tc>
        <w:tc>
          <w:tcPr>
            <w:tcW w:w="1420" w:type="dxa"/>
            <w:vAlign w:val="bottom"/>
            <w:tcBorders>
              <w:bottom w:val="single" w:sz="8" w:color="95B3D7"/>
              <w:right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134.4</w:t>
            </w:r>
          </w:p>
        </w:tc>
        <w:tc>
          <w:tcPr>
            <w:tcW w:w="1440" w:type="dxa"/>
            <w:vAlign w:val="bottom"/>
            <w:tcBorders>
              <w:bottom w:val="single" w:sz="8" w:color="95B3D7"/>
              <w:right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w w:val="95"/>
              </w:rPr>
              <w:t>n/a</w:t>
            </w:r>
          </w:p>
        </w:tc>
        <w:tc>
          <w:tcPr>
            <w:tcW w:w="1420" w:type="dxa"/>
            <w:vAlign w:val="bottom"/>
            <w:tcBorders>
              <w:bottom w:val="single" w:sz="8" w:color="95B3D7"/>
              <w:right w:val="single" w:sz="8" w:color="95B3D7"/>
            </w:tcBorders>
            <w:shd w:val="clear" w:color="auto" w:fill="DBE5F1"/>
          </w:tcPr>
          <w:p>
            <w:pPr>
              <w:jc w:val="center"/>
              <w:ind w:left="19"/>
              <w:spacing w:after="0" w:line="196" w:lineRule="exact"/>
              <w:rPr>
                <w:sz w:val="20"/>
                <w:szCs w:val="20"/>
                <w:color w:val="auto"/>
              </w:rPr>
            </w:pPr>
            <w:r>
              <w:rPr>
                <w:rFonts w:ascii="Arial" w:cs="Arial" w:eastAsia="Arial" w:hAnsi="Arial"/>
                <w:sz w:val="18"/>
                <w:szCs w:val="18"/>
                <w:color w:val="auto"/>
                <w:w w:val="99"/>
              </w:rPr>
              <w:t>1,057,108</w:t>
            </w:r>
          </w:p>
        </w:tc>
        <w:tc>
          <w:tcPr>
            <w:tcW w:w="1320" w:type="dxa"/>
            <w:vAlign w:val="bottom"/>
            <w:tcBorders>
              <w:bottom w:val="single" w:sz="8" w:color="95B3D7"/>
            </w:tcBorders>
            <w:shd w:val="clear" w:color="auto" w:fill="DBE5F1"/>
          </w:tcPr>
          <w:p>
            <w:pPr>
              <w:jc w:val="center"/>
              <w:ind w:left="41"/>
              <w:spacing w:after="0" w:line="196" w:lineRule="exact"/>
              <w:rPr>
                <w:sz w:val="20"/>
                <w:szCs w:val="20"/>
                <w:color w:val="auto"/>
              </w:rPr>
            </w:pPr>
            <w:r>
              <w:rPr>
                <w:rFonts w:ascii="Arial" w:cs="Arial" w:eastAsia="Arial" w:hAnsi="Arial"/>
                <w:sz w:val="18"/>
                <w:szCs w:val="18"/>
                <w:color w:val="auto"/>
                <w:w w:val="97"/>
              </w:rPr>
              <w:t>134.4</w:t>
            </w:r>
          </w:p>
        </w:tc>
      </w:tr>
      <w:tr>
        <w:trPr>
          <w:trHeight w:val="177"/>
        </w:trPr>
        <w:tc>
          <w:tcPr>
            <w:tcW w:w="1700" w:type="dxa"/>
            <w:vAlign w:val="bottom"/>
            <w:tcBorders>
              <w:right w:val="single" w:sz="8" w:color="95B3D7"/>
            </w:tcBorders>
          </w:tcPr>
          <w:p>
            <w:pPr>
              <w:spacing w:after="0" w:line="177" w:lineRule="exact"/>
              <w:rPr>
                <w:sz w:val="20"/>
                <w:szCs w:val="20"/>
                <w:color w:val="auto"/>
              </w:rPr>
            </w:pPr>
            <w:r>
              <w:rPr>
                <w:rFonts w:ascii="Arial" w:cs="Arial" w:eastAsia="Arial" w:hAnsi="Arial"/>
                <w:sz w:val="18"/>
                <w:szCs w:val="18"/>
                <w:color w:val="auto"/>
              </w:rPr>
              <w:t>  Thomas</w:t>
            </w:r>
          </w:p>
        </w:tc>
        <w:tc>
          <w:tcPr>
            <w:tcW w:w="1400" w:type="dxa"/>
            <w:vAlign w:val="bottom"/>
            <w:tcBorders>
              <w:right w:val="single" w:sz="8" w:color="95B3D7"/>
            </w:tcBorders>
          </w:tcPr>
          <w:p>
            <w:pPr>
              <w:jc w:val="center"/>
              <w:spacing w:after="0" w:line="177" w:lineRule="exact"/>
              <w:rPr>
                <w:sz w:val="20"/>
                <w:szCs w:val="20"/>
                <w:color w:val="auto"/>
              </w:rPr>
            </w:pPr>
            <w:r>
              <w:rPr>
                <w:rFonts w:ascii="Arial" w:cs="Arial" w:eastAsia="Arial" w:hAnsi="Arial"/>
                <w:sz w:val="18"/>
                <w:szCs w:val="18"/>
                <w:color w:val="auto"/>
                <w:w w:val="99"/>
              </w:rPr>
              <w:t>85</w:t>
            </w:r>
          </w:p>
        </w:tc>
        <w:tc>
          <w:tcPr>
            <w:tcW w:w="1420" w:type="dxa"/>
            <w:vAlign w:val="bottom"/>
            <w:tcBorders>
              <w:right w:val="single" w:sz="8" w:color="95B3D7"/>
            </w:tcBorders>
          </w:tcPr>
          <w:p>
            <w:pPr>
              <w:jc w:val="center"/>
              <w:spacing w:after="0" w:line="177" w:lineRule="exact"/>
              <w:rPr>
                <w:sz w:val="20"/>
                <w:szCs w:val="20"/>
                <w:color w:val="auto"/>
              </w:rPr>
            </w:pPr>
            <w:r>
              <w:rPr>
                <w:rFonts w:ascii="Arial" w:cs="Arial" w:eastAsia="Arial" w:hAnsi="Arial"/>
                <w:sz w:val="18"/>
                <w:szCs w:val="18"/>
                <w:color w:val="auto"/>
              </w:rPr>
              <w:t>462,269</w:t>
            </w:r>
          </w:p>
        </w:tc>
        <w:tc>
          <w:tcPr>
            <w:tcW w:w="1420" w:type="dxa"/>
            <w:vAlign w:val="bottom"/>
            <w:tcBorders>
              <w:right w:val="single" w:sz="8" w:color="95B3D7"/>
            </w:tcBorders>
          </w:tcPr>
          <w:p>
            <w:pPr>
              <w:jc w:val="center"/>
              <w:spacing w:after="0" w:line="177" w:lineRule="exact"/>
              <w:rPr>
                <w:sz w:val="20"/>
                <w:szCs w:val="20"/>
                <w:color w:val="auto"/>
              </w:rPr>
            </w:pPr>
            <w:r>
              <w:rPr>
                <w:rFonts w:ascii="Arial" w:cs="Arial" w:eastAsia="Arial" w:hAnsi="Arial"/>
                <w:sz w:val="18"/>
                <w:szCs w:val="18"/>
                <w:color w:val="auto"/>
              </w:rPr>
              <w:t>134.4</w:t>
            </w:r>
          </w:p>
        </w:tc>
        <w:tc>
          <w:tcPr>
            <w:tcW w:w="1440" w:type="dxa"/>
            <w:vAlign w:val="bottom"/>
            <w:tcBorders>
              <w:right w:val="single" w:sz="8" w:color="95B3D7"/>
            </w:tcBorders>
          </w:tcPr>
          <w:p>
            <w:pPr>
              <w:jc w:val="center"/>
              <w:ind w:left="18"/>
              <w:spacing w:after="0" w:line="177" w:lineRule="exact"/>
              <w:rPr>
                <w:sz w:val="20"/>
                <w:szCs w:val="20"/>
                <w:color w:val="auto"/>
              </w:rPr>
            </w:pPr>
            <w:r>
              <w:rPr>
                <w:rFonts w:ascii="Arial" w:cs="Arial" w:eastAsia="Arial" w:hAnsi="Arial"/>
                <w:sz w:val="18"/>
                <w:szCs w:val="18"/>
                <w:color w:val="auto"/>
                <w:w w:val="99"/>
              </w:rPr>
              <w:t>200%</w:t>
            </w:r>
          </w:p>
        </w:tc>
        <w:tc>
          <w:tcPr>
            <w:tcW w:w="1420" w:type="dxa"/>
            <w:vAlign w:val="bottom"/>
            <w:tcBorders>
              <w:right w:val="single" w:sz="8" w:color="95B3D7"/>
            </w:tcBorders>
          </w:tcPr>
          <w:p>
            <w:pPr>
              <w:jc w:val="center"/>
              <w:ind w:left="19"/>
              <w:spacing w:after="0" w:line="177" w:lineRule="exact"/>
              <w:rPr>
                <w:sz w:val="20"/>
                <w:szCs w:val="20"/>
                <w:color w:val="auto"/>
              </w:rPr>
            </w:pPr>
            <w:r>
              <w:rPr>
                <w:rFonts w:ascii="Arial" w:cs="Arial" w:eastAsia="Arial" w:hAnsi="Arial"/>
                <w:sz w:val="18"/>
                <w:szCs w:val="18"/>
                <w:color w:val="auto"/>
                <w:w w:val="98"/>
              </w:rPr>
              <w:t>697,102</w:t>
            </w:r>
          </w:p>
        </w:tc>
        <w:tc>
          <w:tcPr>
            <w:tcW w:w="1320" w:type="dxa"/>
            <w:vAlign w:val="bottom"/>
          </w:tcPr>
          <w:p>
            <w:pPr>
              <w:jc w:val="center"/>
              <w:ind w:left="41"/>
              <w:spacing w:after="0" w:line="177" w:lineRule="exact"/>
              <w:rPr>
                <w:sz w:val="20"/>
                <w:szCs w:val="20"/>
                <w:color w:val="auto"/>
              </w:rPr>
            </w:pPr>
            <w:r>
              <w:rPr>
                <w:rFonts w:ascii="Arial" w:cs="Arial" w:eastAsia="Arial" w:hAnsi="Arial"/>
                <w:sz w:val="18"/>
                <w:szCs w:val="18"/>
                <w:color w:val="auto"/>
                <w:w w:val="97"/>
              </w:rPr>
              <w:t>150.8</w:t>
            </w:r>
          </w:p>
        </w:tc>
      </w:tr>
      <w:tr>
        <w:trPr>
          <w:trHeight w:val="235"/>
        </w:trPr>
        <w:tc>
          <w:tcPr>
            <w:tcW w:w="1700" w:type="dxa"/>
            <w:vAlign w:val="bottom"/>
            <w:tcBorders>
              <w:bottom w:val="single" w:sz="8" w:color="95B3D7"/>
              <w:right w:val="single" w:sz="8" w:color="95B3D7"/>
            </w:tcBorders>
          </w:tcPr>
          <w:p>
            <w:pPr>
              <w:spacing w:after="0" w:line="235" w:lineRule="exact"/>
              <w:rPr>
                <w:sz w:val="20"/>
                <w:szCs w:val="20"/>
                <w:color w:val="auto"/>
              </w:rPr>
            </w:pPr>
            <w:r>
              <w:rPr>
                <w:rFonts w:ascii="Arial" w:cs="Arial" w:eastAsia="Arial" w:hAnsi="Arial"/>
                <w:sz w:val="18"/>
                <w:szCs w:val="18"/>
                <w:color w:val="auto"/>
              </w:rPr>
              <w:t>  Freeman</w:t>
            </w:r>
            <w:r>
              <w:rPr>
                <w:rFonts w:ascii="Arial" w:cs="Arial" w:eastAsia="Arial" w:hAnsi="Arial"/>
                <w:sz w:val="26"/>
                <w:szCs w:val="26"/>
                <w:color w:val="auto"/>
                <w:vertAlign w:val="superscript"/>
              </w:rPr>
              <w:t>(1)</w:t>
            </w:r>
          </w:p>
        </w:tc>
        <w:tc>
          <w:tcPr>
            <w:tcW w:w="1400" w:type="dxa"/>
            <w:vAlign w:val="bottom"/>
            <w:tcBorders>
              <w:bottom w:val="single" w:sz="8" w:color="95B3D7"/>
              <w:right w:val="single" w:sz="8" w:color="95B3D7"/>
            </w:tcBorders>
          </w:tcPr>
          <w:p>
            <w:pPr>
              <w:spacing w:after="0"/>
              <w:rPr>
                <w:sz w:val="20"/>
                <w:szCs w:val="20"/>
                <w:color w:val="auto"/>
              </w:rPr>
            </w:pPr>
          </w:p>
        </w:tc>
        <w:tc>
          <w:tcPr>
            <w:tcW w:w="1420" w:type="dxa"/>
            <w:vAlign w:val="bottom"/>
            <w:tcBorders>
              <w:bottom w:val="single" w:sz="8" w:color="95B3D7"/>
              <w:right w:val="single" w:sz="8" w:color="95B3D7"/>
            </w:tcBorders>
          </w:tcPr>
          <w:p>
            <w:pPr>
              <w:spacing w:after="0"/>
              <w:rPr>
                <w:sz w:val="20"/>
                <w:szCs w:val="20"/>
                <w:color w:val="auto"/>
              </w:rPr>
            </w:pPr>
          </w:p>
        </w:tc>
        <w:tc>
          <w:tcPr>
            <w:tcW w:w="1420" w:type="dxa"/>
            <w:vAlign w:val="bottom"/>
            <w:tcBorders>
              <w:bottom w:val="single" w:sz="8" w:color="95B3D7"/>
              <w:right w:val="single" w:sz="8" w:color="95B3D7"/>
            </w:tcBorders>
          </w:tcPr>
          <w:p>
            <w:pPr>
              <w:spacing w:after="0"/>
              <w:rPr>
                <w:sz w:val="20"/>
                <w:szCs w:val="20"/>
                <w:color w:val="auto"/>
              </w:rPr>
            </w:pPr>
          </w:p>
        </w:tc>
        <w:tc>
          <w:tcPr>
            <w:tcW w:w="1440" w:type="dxa"/>
            <w:vAlign w:val="bottom"/>
            <w:tcBorders>
              <w:bottom w:val="single" w:sz="8" w:color="95B3D7"/>
              <w:right w:val="single" w:sz="8" w:color="95B3D7"/>
            </w:tcBorders>
          </w:tcPr>
          <w:p>
            <w:pPr>
              <w:spacing w:after="0"/>
              <w:rPr>
                <w:sz w:val="20"/>
                <w:szCs w:val="20"/>
                <w:color w:val="auto"/>
              </w:rPr>
            </w:pPr>
          </w:p>
        </w:tc>
        <w:tc>
          <w:tcPr>
            <w:tcW w:w="1420" w:type="dxa"/>
            <w:vAlign w:val="bottom"/>
            <w:tcBorders>
              <w:bottom w:val="single" w:sz="8" w:color="95B3D7"/>
              <w:right w:val="single" w:sz="8" w:color="95B3D7"/>
            </w:tcBorders>
          </w:tcPr>
          <w:p>
            <w:pPr>
              <w:spacing w:after="0"/>
              <w:rPr>
                <w:sz w:val="20"/>
                <w:szCs w:val="20"/>
                <w:color w:val="auto"/>
              </w:rPr>
            </w:pPr>
          </w:p>
        </w:tc>
        <w:tc>
          <w:tcPr>
            <w:tcW w:w="1320" w:type="dxa"/>
            <w:vAlign w:val="bottom"/>
            <w:tcBorders>
              <w:bottom w:val="single" w:sz="8" w:color="95B3D7"/>
            </w:tcBorders>
          </w:tcPr>
          <w:p>
            <w:pPr>
              <w:spacing w:after="0"/>
              <w:rPr>
                <w:sz w:val="20"/>
                <w:szCs w:val="20"/>
                <w:color w:val="auto"/>
              </w:rPr>
            </w:pPr>
          </w:p>
        </w:tc>
      </w:tr>
      <w:tr>
        <w:trPr>
          <w:trHeight w:val="177"/>
        </w:trPr>
        <w:tc>
          <w:tcPr>
            <w:tcW w:w="1700" w:type="dxa"/>
            <w:vAlign w:val="bottom"/>
            <w:tcBorders>
              <w:right w:val="single" w:sz="8" w:color="95B3D7"/>
            </w:tcBorders>
            <w:shd w:val="clear" w:color="auto" w:fill="DBE5F1"/>
          </w:tcPr>
          <w:p>
            <w:pPr>
              <w:spacing w:after="0" w:line="177" w:lineRule="exact"/>
              <w:rPr>
                <w:sz w:val="20"/>
                <w:szCs w:val="20"/>
                <w:color w:val="auto"/>
              </w:rPr>
            </w:pPr>
            <w:r>
              <w:rPr>
                <w:rFonts w:ascii="Arial" w:cs="Arial" w:eastAsia="Arial" w:hAnsi="Arial"/>
                <w:sz w:val="18"/>
                <w:szCs w:val="18"/>
                <w:color w:val="auto"/>
              </w:rPr>
              <w:t>  Dawn</w:t>
            </w:r>
          </w:p>
        </w:tc>
        <w:tc>
          <w:tcPr>
            <w:tcW w:w="140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w w:val="99"/>
              </w:rPr>
              <w:t>85</w:t>
            </w:r>
          </w:p>
        </w:tc>
        <w:tc>
          <w:tcPr>
            <w:tcW w:w="142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w w:val="98"/>
              </w:rPr>
              <w:t>$476,000</w:t>
            </w:r>
          </w:p>
        </w:tc>
        <w:tc>
          <w:tcPr>
            <w:tcW w:w="142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rPr>
              <w:t>134.4</w:t>
            </w:r>
          </w:p>
        </w:tc>
        <w:tc>
          <w:tcPr>
            <w:tcW w:w="1440" w:type="dxa"/>
            <w:vAlign w:val="bottom"/>
            <w:tcBorders>
              <w:right w:val="single" w:sz="8" w:color="95B3D7"/>
            </w:tcBorders>
            <w:shd w:val="clear" w:color="auto" w:fill="DBE5F1"/>
          </w:tcPr>
          <w:p>
            <w:pPr>
              <w:jc w:val="center"/>
              <w:ind w:left="18"/>
              <w:spacing w:after="0" w:line="177" w:lineRule="exact"/>
              <w:rPr>
                <w:sz w:val="20"/>
                <w:szCs w:val="20"/>
                <w:color w:val="auto"/>
              </w:rPr>
            </w:pPr>
            <w:r>
              <w:rPr>
                <w:rFonts w:ascii="Arial" w:cs="Arial" w:eastAsia="Arial" w:hAnsi="Arial"/>
                <w:sz w:val="18"/>
                <w:szCs w:val="18"/>
                <w:color w:val="auto"/>
                <w:w w:val="99"/>
              </w:rPr>
              <w:t>200%</w:t>
            </w:r>
          </w:p>
        </w:tc>
        <w:tc>
          <w:tcPr>
            <w:tcW w:w="1420" w:type="dxa"/>
            <w:vAlign w:val="bottom"/>
            <w:tcBorders>
              <w:right w:val="single" w:sz="8" w:color="95B3D7"/>
            </w:tcBorders>
            <w:shd w:val="clear" w:color="auto" w:fill="DBE5F1"/>
          </w:tcPr>
          <w:p>
            <w:pPr>
              <w:jc w:val="center"/>
              <w:ind w:left="19"/>
              <w:spacing w:after="0" w:line="177" w:lineRule="exact"/>
              <w:rPr>
                <w:sz w:val="20"/>
                <w:szCs w:val="20"/>
                <w:color w:val="auto"/>
              </w:rPr>
            </w:pPr>
            <w:r>
              <w:rPr>
                <w:rFonts w:ascii="Arial" w:cs="Arial" w:eastAsia="Arial" w:hAnsi="Arial"/>
                <w:sz w:val="18"/>
                <w:szCs w:val="18"/>
                <w:color w:val="auto"/>
                <w:w w:val="98"/>
              </w:rPr>
              <w:t>717,809</w:t>
            </w:r>
          </w:p>
        </w:tc>
        <w:tc>
          <w:tcPr>
            <w:tcW w:w="1320" w:type="dxa"/>
            <w:vAlign w:val="bottom"/>
            <w:shd w:val="clear" w:color="auto" w:fill="DBE5F1"/>
          </w:tcPr>
          <w:p>
            <w:pPr>
              <w:jc w:val="center"/>
              <w:ind w:left="41"/>
              <w:spacing w:after="0" w:line="177" w:lineRule="exact"/>
              <w:rPr>
                <w:sz w:val="20"/>
                <w:szCs w:val="20"/>
                <w:color w:val="auto"/>
              </w:rPr>
            </w:pPr>
            <w:r>
              <w:rPr>
                <w:rFonts w:ascii="Arial" w:cs="Arial" w:eastAsia="Arial" w:hAnsi="Arial"/>
                <w:sz w:val="18"/>
                <w:szCs w:val="18"/>
                <w:color w:val="auto"/>
                <w:w w:val="97"/>
              </w:rPr>
              <w:t>150.8</w:t>
            </w:r>
          </w:p>
        </w:tc>
      </w:tr>
      <w:tr>
        <w:trPr>
          <w:trHeight w:val="235"/>
        </w:trPr>
        <w:tc>
          <w:tcPr>
            <w:tcW w:w="1700" w:type="dxa"/>
            <w:vAlign w:val="bottom"/>
            <w:tcBorders>
              <w:bottom w:val="single" w:sz="8" w:color="95B3D7"/>
              <w:right w:val="single" w:sz="8" w:color="95B3D7"/>
            </w:tcBorders>
            <w:shd w:val="clear" w:color="auto" w:fill="DBE5F1"/>
          </w:tcPr>
          <w:p>
            <w:pPr>
              <w:spacing w:after="0" w:line="235" w:lineRule="exact"/>
              <w:rPr>
                <w:sz w:val="20"/>
                <w:szCs w:val="20"/>
                <w:color w:val="auto"/>
              </w:rPr>
            </w:pPr>
            <w:r>
              <w:rPr>
                <w:rFonts w:ascii="Arial" w:cs="Arial" w:eastAsia="Arial" w:hAnsi="Arial"/>
                <w:sz w:val="18"/>
                <w:szCs w:val="18"/>
                <w:color w:val="auto"/>
              </w:rPr>
              <w:t>  Maroney</w:t>
            </w:r>
            <w:r>
              <w:rPr>
                <w:rFonts w:ascii="Arial" w:cs="Arial" w:eastAsia="Arial" w:hAnsi="Arial"/>
                <w:sz w:val="26"/>
                <w:szCs w:val="26"/>
                <w:color w:val="auto"/>
                <w:vertAlign w:val="superscript"/>
              </w:rPr>
              <w:t>(1)</w:t>
            </w:r>
          </w:p>
        </w:tc>
        <w:tc>
          <w:tcPr>
            <w:tcW w:w="1400" w:type="dxa"/>
            <w:vAlign w:val="bottom"/>
            <w:tcBorders>
              <w:bottom w:val="single" w:sz="8" w:color="95B3D7"/>
              <w:right w:val="single" w:sz="8" w:color="95B3D7"/>
            </w:tcBorders>
            <w:shd w:val="clear" w:color="auto" w:fill="DBE5F1"/>
          </w:tcPr>
          <w:p>
            <w:pPr>
              <w:spacing w:after="0"/>
              <w:rPr>
                <w:sz w:val="20"/>
                <w:szCs w:val="20"/>
                <w:color w:val="auto"/>
              </w:rPr>
            </w:pPr>
          </w:p>
        </w:tc>
        <w:tc>
          <w:tcPr>
            <w:tcW w:w="1420" w:type="dxa"/>
            <w:vAlign w:val="bottom"/>
            <w:tcBorders>
              <w:bottom w:val="single" w:sz="8" w:color="95B3D7"/>
              <w:right w:val="single" w:sz="8" w:color="95B3D7"/>
            </w:tcBorders>
            <w:shd w:val="clear" w:color="auto" w:fill="DBE5F1"/>
          </w:tcPr>
          <w:p>
            <w:pPr>
              <w:spacing w:after="0"/>
              <w:rPr>
                <w:sz w:val="20"/>
                <w:szCs w:val="20"/>
                <w:color w:val="auto"/>
              </w:rPr>
            </w:pPr>
          </w:p>
        </w:tc>
        <w:tc>
          <w:tcPr>
            <w:tcW w:w="1420" w:type="dxa"/>
            <w:vAlign w:val="bottom"/>
            <w:tcBorders>
              <w:bottom w:val="single" w:sz="8" w:color="95B3D7"/>
              <w:right w:val="single" w:sz="8" w:color="95B3D7"/>
            </w:tcBorders>
            <w:shd w:val="clear" w:color="auto" w:fill="DBE5F1"/>
          </w:tcPr>
          <w:p>
            <w:pPr>
              <w:spacing w:after="0"/>
              <w:rPr>
                <w:sz w:val="20"/>
                <w:szCs w:val="20"/>
                <w:color w:val="auto"/>
              </w:rPr>
            </w:pPr>
          </w:p>
        </w:tc>
        <w:tc>
          <w:tcPr>
            <w:tcW w:w="1440" w:type="dxa"/>
            <w:vAlign w:val="bottom"/>
            <w:tcBorders>
              <w:bottom w:val="single" w:sz="8" w:color="95B3D7"/>
              <w:right w:val="single" w:sz="8" w:color="95B3D7"/>
            </w:tcBorders>
            <w:shd w:val="clear" w:color="auto" w:fill="DBE5F1"/>
          </w:tcPr>
          <w:p>
            <w:pPr>
              <w:spacing w:after="0"/>
              <w:rPr>
                <w:sz w:val="20"/>
                <w:szCs w:val="20"/>
                <w:color w:val="auto"/>
              </w:rPr>
            </w:pPr>
          </w:p>
        </w:tc>
        <w:tc>
          <w:tcPr>
            <w:tcW w:w="1420" w:type="dxa"/>
            <w:vAlign w:val="bottom"/>
            <w:tcBorders>
              <w:bottom w:val="single" w:sz="8" w:color="95B3D7"/>
              <w:right w:val="single" w:sz="8" w:color="95B3D7"/>
            </w:tcBorders>
            <w:shd w:val="clear" w:color="auto" w:fill="DBE5F1"/>
          </w:tcPr>
          <w:p>
            <w:pPr>
              <w:spacing w:after="0"/>
              <w:rPr>
                <w:sz w:val="20"/>
                <w:szCs w:val="20"/>
                <w:color w:val="auto"/>
              </w:rPr>
            </w:pPr>
          </w:p>
        </w:tc>
        <w:tc>
          <w:tcPr>
            <w:tcW w:w="1320" w:type="dxa"/>
            <w:vAlign w:val="bottom"/>
            <w:tcBorders>
              <w:bottom w:val="single" w:sz="8" w:color="95B3D7"/>
            </w:tcBorders>
            <w:shd w:val="clear" w:color="auto" w:fill="DBE5F1"/>
          </w:tcPr>
          <w:p>
            <w:pPr>
              <w:spacing w:after="0"/>
              <w:rPr>
                <w:sz w:val="20"/>
                <w:szCs w:val="20"/>
                <w:color w:val="auto"/>
              </w:rPr>
            </w:pPr>
          </w:p>
        </w:tc>
      </w:tr>
      <w:tr>
        <w:trPr>
          <w:trHeight w:val="177"/>
        </w:trPr>
        <w:tc>
          <w:tcPr>
            <w:tcW w:w="1700" w:type="dxa"/>
            <w:vAlign w:val="bottom"/>
            <w:tcBorders>
              <w:right w:val="single" w:sz="8" w:color="95B3D7"/>
            </w:tcBorders>
          </w:tcPr>
          <w:p>
            <w:pPr>
              <w:spacing w:after="0" w:line="177" w:lineRule="exact"/>
              <w:rPr>
                <w:sz w:val="20"/>
                <w:szCs w:val="20"/>
                <w:color w:val="auto"/>
              </w:rPr>
            </w:pPr>
            <w:r>
              <w:rPr>
                <w:rFonts w:ascii="Arial" w:cs="Arial" w:eastAsia="Arial" w:hAnsi="Arial"/>
                <w:sz w:val="18"/>
                <w:szCs w:val="18"/>
                <w:color w:val="auto"/>
              </w:rPr>
              <w:t>  Hakan</w:t>
            </w:r>
          </w:p>
        </w:tc>
        <w:tc>
          <w:tcPr>
            <w:tcW w:w="1400" w:type="dxa"/>
            <w:vAlign w:val="bottom"/>
            <w:tcBorders>
              <w:right w:val="single" w:sz="8" w:color="95B3D7"/>
            </w:tcBorders>
          </w:tcPr>
          <w:p>
            <w:pPr>
              <w:jc w:val="center"/>
              <w:spacing w:after="0" w:line="177" w:lineRule="exact"/>
              <w:rPr>
                <w:sz w:val="20"/>
                <w:szCs w:val="20"/>
                <w:color w:val="auto"/>
              </w:rPr>
            </w:pPr>
            <w:r>
              <w:rPr>
                <w:rFonts w:ascii="Arial" w:cs="Arial" w:eastAsia="Arial" w:hAnsi="Arial"/>
                <w:sz w:val="18"/>
                <w:szCs w:val="18"/>
                <w:color w:val="auto"/>
                <w:w w:val="99"/>
              </w:rPr>
              <w:t>85</w:t>
            </w:r>
          </w:p>
        </w:tc>
        <w:tc>
          <w:tcPr>
            <w:tcW w:w="1420" w:type="dxa"/>
            <w:vAlign w:val="bottom"/>
            <w:tcBorders>
              <w:right w:val="single" w:sz="8" w:color="95B3D7"/>
            </w:tcBorders>
          </w:tcPr>
          <w:p>
            <w:pPr>
              <w:jc w:val="center"/>
              <w:spacing w:after="0" w:line="177" w:lineRule="exact"/>
              <w:rPr>
                <w:sz w:val="20"/>
                <w:szCs w:val="20"/>
                <w:color w:val="auto"/>
              </w:rPr>
            </w:pPr>
            <w:r>
              <w:rPr>
                <w:rFonts w:ascii="Arial" w:cs="Arial" w:eastAsia="Arial" w:hAnsi="Arial"/>
                <w:sz w:val="18"/>
                <w:szCs w:val="18"/>
                <w:color w:val="auto"/>
                <w:w w:val="98"/>
              </w:rPr>
              <w:t>$361,250</w:t>
            </w:r>
          </w:p>
        </w:tc>
        <w:tc>
          <w:tcPr>
            <w:tcW w:w="1420" w:type="dxa"/>
            <w:vAlign w:val="bottom"/>
            <w:tcBorders>
              <w:right w:val="single" w:sz="8" w:color="95B3D7"/>
            </w:tcBorders>
          </w:tcPr>
          <w:p>
            <w:pPr>
              <w:jc w:val="center"/>
              <w:spacing w:after="0" w:line="177" w:lineRule="exact"/>
              <w:rPr>
                <w:sz w:val="20"/>
                <w:szCs w:val="20"/>
                <w:color w:val="auto"/>
              </w:rPr>
            </w:pPr>
            <w:r>
              <w:rPr>
                <w:rFonts w:ascii="Arial" w:cs="Arial" w:eastAsia="Arial" w:hAnsi="Arial"/>
                <w:sz w:val="18"/>
                <w:szCs w:val="18"/>
                <w:color w:val="auto"/>
              </w:rPr>
              <w:t>134.4</w:t>
            </w:r>
          </w:p>
        </w:tc>
        <w:tc>
          <w:tcPr>
            <w:tcW w:w="1440" w:type="dxa"/>
            <w:vAlign w:val="bottom"/>
            <w:tcBorders>
              <w:right w:val="single" w:sz="8" w:color="95B3D7"/>
            </w:tcBorders>
          </w:tcPr>
          <w:p>
            <w:pPr>
              <w:jc w:val="center"/>
              <w:ind w:left="18"/>
              <w:spacing w:after="0" w:line="177" w:lineRule="exact"/>
              <w:rPr>
                <w:sz w:val="20"/>
                <w:szCs w:val="20"/>
                <w:color w:val="auto"/>
              </w:rPr>
            </w:pPr>
            <w:r>
              <w:rPr>
                <w:rFonts w:ascii="Arial" w:cs="Arial" w:eastAsia="Arial" w:hAnsi="Arial"/>
                <w:sz w:val="18"/>
                <w:szCs w:val="18"/>
                <w:color w:val="auto"/>
                <w:w w:val="99"/>
              </w:rPr>
              <w:t>150%</w:t>
            </w:r>
          </w:p>
        </w:tc>
        <w:tc>
          <w:tcPr>
            <w:tcW w:w="1420" w:type="dxa"/>
            <w:vAlign w:val="bottom"/>
            <w:tcBorders>
              <w:right w:val="single" w:sz="8" w:color="95B3D7"/>
            </w:tcBorders>
          </w:tcPr>
          <w:p>
            <w:pPr>
              <w:jc w:val="center"/>
              <w:ind w:left="19"/>
              <w:spacing w:after="0" w:line="177" w:lineRule="exact"/>
              <w:rPr>
                <w:sz w:val="20"/>
                <w:szCs w:val="20"/>
                <w:color w:val="auto"/>
              </w:rPr>
            </w:pPr>
            <w:r>
              <w:rPr>
                <w:rFonts w:ascii="Arial" w:cs="Arial" w:eastAsia="Arial" w:hAnsi="Arial"/>
                <w:sz w:val="18"/>
                <w:szCs w:val="18"/>
                <w:color w:val="auto"/>
                <w:w w:val="98"/>
              </w:rPr>
              <w:t>434,913</w:t>
            </w:r>
          </w:p>
        </w:tc>
        <w:tc>
          <w:tcPr>
            <w:tcW w:w="1320" w:type="dxa"/>
            <w:vAlign w:val="bottom"/>
          </w:tcPr>
          <w:p>
            <w:pPr>
              <w:jc w:val="center"/>
              <w:ind w:left="41"/>
              <w:spacing w:after="0" w:line="177" w:lineRule="exact"/>
              <w:rPr>
                <w:sz w:val="20"/>
                <w:szCs w:val="20"/>
                <w:color w:val="auto"/>
              </w:rPr>
            </w:pPr>
            <w:r>
              <w:rPr>
                <w:rFonts w:ascii="Arial" w:cs="Arial" w:eastAsia="Arial" w:hAnsi="Arial"/>
                <w:sz w:val="18"/>
                <w:szCs w:val="18"/>
                <w:color w:val="auto"/>
                <w:w w:val="97"/>
              </w:rPr>
              <w:t>120.4</w:t>
            </w:r>
          </w:p>
        </w:tc>
      </w:tr>
      <w:tr>
        <w:trPr>
          <w:trHeight w:val="235"/>
        </w:trPr>
        <w:tc>
          <w:tcPr>
            <w:tcW w:w="1700" w:type="dxa"/>
            <w:vAlign w:val="bottom"/>
            <w:tcBorders>
              <w:bottom w:val="single" w:sz="8" w:color="95B3D7"/>
              <w:right w:val="single" w:sz="8" w:color="95B3D7"/>
            </w:tcBorders>
          </w:tcPr>
          <w:p>
            <w:pPr>
              <w:spacing w:after="0" w:line="235" w:lineRule="exact"/>
              <w:rPr>
                <w:sz w:val="20"/>
                <w:szCs w:val="20"/>
                <w:color w:val="auto"/>
              </w:rPr>
            </w:pPr>
            <w:r>
              <w:rPr>
                <w:rFonts w:ascii="Arial" w:cs="Arial" w:eastAsia="Arial" w:hAnsi="Arial"/>
                <w:sz w:val="18"/>
                <w:szCs w:val="18"/>
                <w:color w:val="auto"/>
              </w:rPr>
              <w:t>  Kardes</w:t>
            </w:r>
            <w:r>
              <w:rPr>
                <w:rFonts w:ascii="Arial" w:cs="Arial" w:eastAsia="Arial" w:hAnsi="Arial"/>
                <w:sz w:val="26"/>
                <w:szCs w:val="26"/>
                <w:color w:val="auto"/>
                <w:vertAlign w:val="superscript"/>
              </w:rPr>
              <w:t>(1)</w:t>
            </w:r>
          </w:p>
        </w:tc>
        <w:tc>
          <w:tcPr>
            <w:tcW w:w="1400" w:type="dxa"/>
            <w:vAlign w:val="bottom"/>
            <w:tcBorders>
              <w:bottom w:val="single" w:sz="8" w:color="95B3D7"/>
              <w:right w:val="single" w:sz="8" w:color="95B3D7"/>
            </w:tcBorders>
          </w:tcPr>
          <w:p>
            <w:pPr>
              <w:spacing w:after="0"/>
              <w:rPr>
                <w:sz w:val="20"/>
                <w:szCs w:val="20"/>
                <w:color w:val="auto"/>
              </w:rPr>
            </w:pPr>
          </w:p>
        </w:tc>
        <w:tc>
          <w:tcPr>
            <w:tcW w:w="1420" w:type="dxa"/>
            <w:vAlign w:val="bottom"/>
            <w:tcBorders>
              <w:bottom w:val="single" w:sz="8" w:color="95B3D7"/>
              <w:right w:val="single" w:sz="8" w:color="95B3D7"/>
            </w:tcBorders>
          </w:tcPr>
          <w:p>
            <w:pPr>
              <w:spacing w:after="0"/>
              <w:rPr>
                <w:sz w:val="20"/>
                <w:szCs w:val="20"/>
                <w:color w:val="auto"/>
              </w:rPr>
            </w:pPr>
          </w:p>
        </w:tc>
        <w:tc>
          <w:tcPr>
            <w:tcW w:w="1420" w:type="dxa"/>
            <w:vAlign w:val="bottom"/>
            <w:tcBorders>
              <w:bottom w:val="single" w:sz="8" w:color="95B3D7"/>
              <w:right w:val="single" w:sz="8" w:color="95B3D7"/>
            </w:tcBorders>
          </w:tcPr>
          <w:p>
            <w:pPr>
              <w:spacing w:after="0"/>
              <w:rPr>
                <w:sz w:val="20"/>
                <w:szCs w:val="20"/>
                <w:color w:val="auto"/>
              </w:rPr>
            </w:pPr>
          </w:p>
        </w:tc>
        <w:tc>
          <w:tcPr>
            <w:tcW w:w="1440" w:type="dxa"/>
            <w:vAlign w:val="bottom"/>
            <w:tcBorders>
              <w:bottom w:val="single" w:sz="8" w:color="95B3D7"/>
              <w:right w:val="single" w:sz="8" w:color="95B3D7"/>
            </w:tcBorders>
          </w:tcPr>
          <w:p>
            <w:pPr>
              <w:spacing w:after="0"/>
              <w:rPr>
                <w:sz w:val="20"/>
                <w:szCs w:val="20"/>
                <w:color w:val="auto"/>
              </w:rPr>
            </w:pPr>
          </w:p>
        </w:tc>
        <w:tc>
          <w:tcPr>
            <w:tcW w:w="1420" w:type="dxa"/>
            <w:vAlign w:val="bottom"/>
            <w:tcBorders>
              <w:bottom w:val="single" w:sz="8" w:color="95B3D7"/>
              <w:right w:val="single" w:sz="8" w:color="95B3D7"/>
            </w:tcBorders>
          </w:tcPr>
          <w:p>
            <w:pPr>
              <w:spacing w:after="0"/>
              <w:rPr>
                <w:sz w:val="20"/>
                <w:szCs w:val="20"/>
                <w:color w:val="auto"/>
              </w:rPr>
            </w:pPr>
          </w:p>
        </w:tc>
        <w:tc>
          <w:tcPr>
            <w:tcW w:w="1320" w:type="dxa"/>
            <w:vAlign w:val="bottom"/>
            <w:tcBorders>
              <w:bottom w:val="single" w:sz="8" w:color="95B3D7"/>
            </w:tcBorders>
          </w:tcPr>
          <w:p>
            <w:pPr>
              <w:spacing w:after="0"/>
              <w:rPr>
                <w:sz w:val="20"/>
                <w:szCs w:val="20"/>
                <w:color w:val="auto"/>
              </w:rPr>
            </w:pPr>
          </w:p>
        </w:tc>
      </w:tr>
      <w:tr>
        <w:trPr>
          <w:trHeight w:val="177"/>
        </w:trPr>
        <w:tc>
          <w:tcPr>
            <w:tcW w:w="1700" w:type="dxa"/>
            <w:vAlign w:val="bottom"/>
            <w:tcBorders>
              <w:right w:val="single" w:sz="8" w:color="95B3D7"/>
            </w:tcBorders>
            <w:shd w:val="clear" w:color="auto" w:fill="DBE5F1"/>
          </w:tcPr>
          <w:p>
            <w:pPr>
              <w:spacing w:after="0" w:line="177" w:lineRule="exact"/>
              <w:rPr>
                <w:sz w:val="20"/>
                <w:szCs w:val="20"/>
                <w:color w:val="auto"/>
              </w:rPr>
            </w:pPr>
            <w:r>
              <w:rPr>
                <w:rFonts w:ascii="Arial" w:cs="Arial" w:eastAsia="Arial" w:hAnsi="Arial"/>
                <w:sz w:val="18"/>
                <w:szCs w:val="18"/>
                <w:color w:val="auto"/>
              </w:rPr>
              <w:t>  Hyong (Ken)</w:t>
            </w:r>
          </w:p>
        </w:tc>
        <w:tc>
          <w:tcPr>
            <w:tcW w:w="140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w w:val="99"/>
              </w:rPr>
              <w:t>85</w:t>
            </w:r>
          </w:p>
        </w:tc>
        <w:tc>
          <w:tcPr>
            <w:tcW w:w="142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w w:val="95"/>
              </w:rPr>
              <w:t>119,000</w:t>
            </w:r>
          </w:p>
        </w:tc>
        <w:tc>
          <w:tcPr>
            <w:tcW w:w="1420" w:type="dxa"/>
            <w:vAlign w:val="bottom"/>
            <w:tcBorders>
              <w:right w:val="single" w:sz="8" w:color="95B3D7"/>
            </w:tcBorders>
            <w:shd w:val="clear" w:color="auto" w:fill="DBE5F1"/>
          </w:tcPr>
          <w:p>
            <w:pPr>
              <w:jc w:val="center"/>
              <w:spacing w:after="0" w:line="177" w:lineRule="exact"/>
              <w:rPr>
                <w:sz w:val="20"/>
                <w:szCs w:val="20"/>
                <w:color w:val="auto"/>
              </w:rPr>
            </w:pPr>
            <w:r>
              <w:rPr>
                <w:rFonts w:ascii="Arial" w:cs="Arial" w:eastAsia="Arial" w:hAnsi="Arial"/>
                <w:sz w:val="18"/>
                <w:szCs w:val="18"/>
                <w:color w:val="auto"/>
              </w:rPr>
              <w:t>134.4</w:t>
            </w:r>
          </w:p>
        </w:tc>
        <w:tc>
          <w:tcPr>
            <w:tcW w:w="1440" w:type="dxa"/>
            <w:vAlign w:val="bottom"/>
            <w:tcBorders>
              <w:right w:val="single" w:sz="8" w:color="95B3D7"/>
            </w:tcBorders>
            <w:shd w:val="clear" w:color="auto" w:fill="DBE5F1"/>
          </w:tcPr>
          <w:p>
            <w:pPr>
              <w:jc w:val="center"/>
              <w:ind w:left="18"/>
              <w:spacing w:after="0" w:line="177" w:lineRule="exact"/>
              <w:rPr>
                <w:sz w:val="20"/>
                <w:szCs w:val="20"/>
                <w:color w:val="auto"/>
              </w:rPr>
            </w:pPr>
            <w:r>
              <w:rPr>
                <w:rFonts w:ascii="Arial" w:cs="Arial" w:eastAsia="Arial" w:hAnsi="Arial"/>
                <w:sz w:val="18"/>
                <w:szCs w:val="18"/>
                <w:color w:val="auto"/>
                <w:w w:val="99"/>
              </w:rPr>
              <w:t>100%</w:t>
            </w:r>
          </w:p>
        </w:tc>
        <w:tc>
          <w:tcPr>
            <w:tcW w:w="1420" w:type="dxa"/>
            <w:vAlign w:val="bottom"/>
            <w:tcBorders>
              <w:right w:val="single" w:sz="8" w:color="95B3D7"/>
            </w:tcBorders>
            <w:shd w:val="clear" w:color="auto" w:fill="DBE5F1"/>
          </w:tcPr>
          <w:p>
            <w:pPr>
              <w:jc w:val="center"/>
              <w:ind w:left="19"/>
              <w:spacing w:after="0" w:line="177" w:lineRule="exact"/>
              <w:rPr>
                <w:sz w:val="20"/>
                <w:szCs w:val="20"/>
                <w:color w:val="auto"/>
              </w:rPr>
            </w:pPr>
            <w:r>
              <w:rPr>
                <w:rFonts w:ascii="Arial" w:cs="Arial" w:eastAsia="Arial" w:hAnsi="Arial"/>
                <w:sz w:val="18"/>
                <w:szCs w:val="18"/>
                <w:color w:val="auto"/>
                <w:w w:val="98"/>
              </w:rPr>
              <w:t>149,702</w:t>
            </w:r>
          </w:p>
        </w:tc>
        <w:tc>
          <w:tcPr>
            <w:tcW w:w="1320" w:type="dxa"/>
            <w:vAlign w:val="bottom"/>
            <w:shd w:val="clear" w:color="auto" w:fill="DBE5F1"/>
          </w:tcPr>
          <w:p>
            <w:pPr>
              <w:jc w:val="center"/>
              <w:ind w:left="41"/>
              <w:spacing w:after="0" w:line="177" w:lineRule="exact"/>
              <w:rPr>
                <w:sz w:val="20"/>
                <w:szCs w:val="20"/>
                <w:color w:val="auto"/>
              </w:rPr>
            </w:pPr>
            <w:r>
              <w:rPr>
                <w:rFonts w:ascii="Arial" w:cs="Arial" w:eastAsia="Arial" w:hAnsi="Arial"/>
                <w:sz w:val="18"/>
                <w:szCs w:val="18"/>
                <w:color w:val="auto"/>
                <w:w w:val="97"/>
              </w:rPr>
              <w:t>125.8</w:t>
            </w:r>
          </w:p>
        </w:tc>
      </w:tr>
      <w:tr>
        <w:trPr>
          <w:trHeight w:val="235"/>
        </w:trPr>
        <w:tc>
          <w:tcPr>
            <w:tcW w:w="1700" w:type="dxa"/>
            <w:vAlign w:val="bottom"/>
            <w:tcBorders>
              <w:bottom w:val="single" w:sz="8" w:color="95B3D7"/>
              <w:right w:val="single" w:sz="8" w:color="95B3D7"/>
            </w:tcBorders>
            <w:shd w:val="clear" w:color="auto" w:fill="DBE5F1"/>
          </w:tcPr>
          <w:p>
            <w:pPr>
              <w:spacing w:after="0" w:line="235" w:lineRule="exact"/>
              <w:rPr>
                <w:sz w:val="20"/>
                <w:szCs w:val="20"/>
                <w:color w:val="auto"/>
              </w:rPr>
            </w:pPr>
            <w:r>
              <w:rPr>
                <w:rFonts w:ascii="Arial" w:cs="Arial" w:eastAsia="Arial" w:hAnsi="Arial"/>
                <w:sz w:val="18"/>
                <w:szCs w:val="18"/>
                <w:color w:val="auto"/>
              </w:rPr>
              <w:t>  Kim, M.D.</w:t>
            </w:r>
            <w:r>
              <w:rPr>
                <w:rFonts w:ascii="Arial" w:cs="Arial" w:eastAsia="Arial" w:hAnsi="Arial"/>
                <w:sz w:val="26"/>
                <w:szCs w:val="26"/>
                <w:color w:val="auto"/>
                <w:vertAlign w:val="superscript"/>
              </w:rPr>
              <w:t>(1)(2)</w:t>
            </w:r>
          </w:p>
        </w:tc>
        <w:tc>
          <w:tcPr>
            <w:tcW w:w="1400" w:type="dxa"/>
            <w:vAlign w:val="bottom"/>
            <w:tcBorders>
              <w:bottom w:val="single" w:sz="8" w:color="95B3D7"/>
              <w:right w:val="single" w:sz="8" w:color="95B3D7"/>
            </w:tcBorders>
            <w:shd w:val="clear" w:color="auto" w:fill="DBE5F1"/>
          </w:tcPr>
          <w:p>
            <w:pPr>
              <w:spacing w:after="0"/>
              <w:rPr>
                <w:sz w:val="20"/>
                <w:szCs w:val="20"/>
                <w:color w:val="auto"/>
              </w:rPr>
            </w:pPr>
          </w:p>
        </w:tc>
        <w:tc>
          <w:tcPr>
            <w:tcW w:w="1420" w:type="dxa"/>
            <w:vAlign w:val="bottom"/>
            <w:tcBorders>
              <w:bottom w:val="single" w:sz="8" w:color="95B3D7"/>
              <w:right w:val="single" w:sz="8" w:color="95B3D7"/>
            </w:tcBorders>
            <w:shd w:val="clear" w:color="auto" w:fill="DBE5F1"/>
          </w:tcPr>
          <w:p>
            <w:pPr>
              <w:spacing w:after="0"/>
              <w:rPr>
                <w:sz w:val="20"/>
                <w:szCs w:val="20"/>
                <w:color w:val="auto"/>
              </w:rPr>
            </w:pPr>
          </w:p>
        </w:tc>
        <w:tc>
          <w:tcPr>
            <w:tcW w:w="1420" w:type="dxa"/>
            <w:vAlign w:val="bottom"/>
            <w:tcBorders>
              <w:bottom w:val="single" w:sz="8" w:color="95B3D7"/>
              <w:right w:val="single" w:sz="8" w:color="95B3D7"/>
            </w:tcBorders>
            <w:shd w:val="clear" w:color="auto" w:fill="DBE5F1"/>
          </w:tcPr>
          <w:p>
            <w:pPr>
              <w:spacing w:after="0"/>
              <w:rPr>
                <w:sz w:val="20"/>
                <w:szCs w:val="20"/>
                <w:color w:val="auto"/>
              </w:rPr>
            </w:pPr>
          </w:p>
        </w:tc>
        <w:tc>
          <w:tcPr>
            <w:tcW w:w="1440" w:type="dxa"/>
            <w:vAlign w:val="bottom"/>
            <w:tcBorders>
              <w:bottom w:val="single" w:sz="8" w:color="95B3D7"/>
              <w:right w:val="single" w:sz="8" w:color="95B3D7"/>
            </w:tcBorders>
            <w:shd w:val="clear" w:color="auto" w:fill="DBE5F1"/>
          </w:tcPr>
          <w:p>
            <w:pPr>
              <w:spacing w:after="0"/>
              <w:rPr>
                <w:sz w:val="20"/>
                <w:szCs w:val="20"/>
                <w:color w:val="auto"/>
              </w:rPr>
            </w:pPr>
          </w:p>
        </w:tc>
        <w:tc>
          <w:tcPr>
            <w:tcW w:w="1420" w:type="dxa"/>
            <w:vAlign w:val="bottom"/>
            <w:tcBorders>
              <w:bottom w:val="single" w:sz="8" w:color="95B3D7"/>
              <w:right w:val="single" w:sz="8" w:color="95B3D7"/>
            </w:tcBorders>
            <w:shd w:val="clear" w:color="auto" w:fill="DBE5F1"/>
          </w:tcPr>
          <w:p>
            <w:pPr>
              <w:spacing w:after="0"/>
              <w:rPr>
                <w:sz w:val="20"/>
                <w:szCs w:val="20"/>
                <w:color w:val="auto"/>
              </w:rPr>
            </w:pPr>
          </w:p>
        </w:tc>
        <w:tc>
          <w:tcPr>
            <w:tcW w:w="1320" w:type="dxa"/>
            <w:vAlign w:val="bottom"/>
            <w:tcBorders>
              <w:bottom w:val="single" w:sz="8" w:color="95B3D7"/>
            </w:tcBorders>
            <w:shd w:val="clear" w:color="auto" w:fill="DBE5F1"/>
          </w:tcPr>
          <w:p>
            <w:pPr>
              <w:spacing w:after="0"/>
              <w:rPr>
                <w:sz w:val="20"/>
                <w:szCs w:val="20"/>
                <w:color w:val="auto"/>
              </w:rPr>
            </w:pPr>
          </w:p>
        </w:tc>
      </w:tr>
    </w:tbl>
    <w:p>
      <w:pPr>
        <w:spacing w:after="0" w:line="1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both"/>
        <w:ind w:left="760" w:hanging="332"/>
        <w:spacing w:after="0" w:line="256" w:lineRule="auto"/>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potential payout based on achievement of corporate objectives established at 134.4% and individual objectives as shown in the table. Actual payout in March 2024 was 75% of these amounts, with the remaining 25% held back and potentially payable in the fourth quarter of 2024, subject to the modifier based on the Company’s CMS Star Ratings. See “—</w:t>
      </w:r>
      <w:r>
        <w:rPr>
          <w:rFonts w:ascii="Arial" w:cs="Arial" w:eastAsia="Arial" w:hAnsi="Arial"/>
          <w:sz w:val="14"/>
          <w:szCs w:val="14"/>
          <w:i w:val="1"/>
          <w:iCs w:val="1"/>
          <w:color w:val="auto"/>
        </w:rPr>
        <w:t>2023 Annual Incentive Plan Payouts—Adjustment for CMS Star Ratings</w:t>
      </w:r>
      <w:r>
        <w:rPr>
          <w:rFonts w:ascii="Arial" w:cs="Arial" w:eastAsia="Arial" w:hAnsi="Arial"/>
          <w:sz w:val="14"/>
          <w:szCs w:val="14"/>
          <w:color w:val="auto"/>
        </w:rPr>
        <w:t>” below. Does not include additional discretionary bonus amounts awarded for 2023. See “</w:t>
      </w:r>
      <w:r>
        <w:rPr>
          <w:rFonts w:ascii="Arial" w:cs="Arial" w:eastAsia="Arial" w:hAnsi="Arial"/>
          <w:sz w:val="14"/>
          <w:szCs w:val="14"/>
          <w:i w:val="1"/>
          <w:iCs w:val="1"/>
          <w:color w:val="auto"/>
        </w:rPr>
        <w:t>Executive and Director Compensation—Summary Compensation Table</w:t>
      </w:r>
      <w:r>
        <w:rPr>
          <w:rFonts w:ascii="Arial" w:cs="Arial" w:eastAsia="Arial" w:hAnsi="Arial"/>
          <w:sz w:val="14"/>
          <w:szCs w:val="14"/>
          <w:color w:val="auto"/>
        </w:rPr>
        <w:t>.”</w:t>
      </w:r>
    </w:p>
    <w:p>
      <w:pPr>
        <w:spacing w:after="0" w:line="82" w:lineRule="exact"/>
        <w:rPr>
          <w:rFonts w:ascii="Arial" w:cs="Arial" w:eastAsia="Arial" w:hAnsi="Arial"/>
          <w:sz w:val="14"/>
          <w:szCs w:val="14"/>
          <w:color w:val="auto"/>
        </w:rPr>
      </w:pPr>
    </w:p>
    <w:p>
      <w:pPr>
        <w:ind w:left="760" w:hanging="332"/>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Mr. Kim’s payout is pro-rated to reflect his hire date with the Company on September 25, 2023.</w:t>
      </w:r>
    </w:p>
    <w:p>
      <w:pPr>
        <w:spacing w:after="0" w:line="207" w:lineRule="exact"/>
        <w:rPr>
          <w:sz w:val="20"/>
          <w:szCs w:val="20"/>
          <w:color w:val="auto"/>
        </w:rPr>
      </w:pPr>
    </w:p>
    <w:p>
      <w:pPr>
        <w:jc w:val="both"/>
        <w:ind w:firstLine="440"/>
        <w:spacing w:after="0" w:line="244" w:lineRule="auto"/>
        <w:rPr>
          <w:sz w:val="20"/>
          <w:szCs w:val="20"/>
          <w:color w:val="auto"/>
        </w:rPr>
      </w:pPr>
      <w:r>
        <w:rPr>
          <w:rFonts w:ascii="Arial" w:cs="Arial" w:eastAsia="Arial" w:hAnsi="Arial"/>
          <w:sz w:val="18"/>
          <w:szCs w:val="18"/>
          <w:i w:val="1"/>
          <w:iCs w:val="1"/>
          <w:color w:val="auto"/>
        </w:rPr>
        <w:t xml:space="preserve">Adjustment for CMS Star Ratings. </w:t>
      </w:r>
      <w:r>
        <w:rPr>
          <w:rFonts w:ascii="Arial" w:cs="Arial" w:eastAsia="Arial" w:hAnsi="Arial"/>
          <w:sz w:val="18"/>
          <w:szCs w:val="18"/>
          <w:color w:val="auto"/>
        </w:rPr>
        <w:t>As described above, 25% of each NEOs total 2023 Annual Incentive Plan payout based on</w:t>
      </w:r>
      <w:r>
        <w:rPr>
          <w:rFonts w:ascii="Arial" w:cs="Arial" w:eastAsia="Arial" w:hAnsi="Arial"/>
          <w:sz w:val="18"/>
          <w:szCs w:val="18"/>
          <w:i w:val="1"/>
          <w:iCs w:val="1"/>
          <w:color w:val="auto"/>
        </w:rPr>
        <w:t xml:space="preserve"> </w:t>
      </w:r>
      <w:r>
        <w:rPr>
          <w:rFonts w:ascii="Arial" w:cs="Arial" w:eastAsia="Arial" w:hAnsi="Arial"/>
          <w:sz w:val="18"/>
          <w:szCs w:val="18"/>
          <w:color w:val="auto"/>
        </w:rPr>
        <w:t>corporate and individual performance will not be paid until the fourth quarter of 2024. The amount of the holdback that is paid to each NEO is subject to an adjustment based on the CMS Star Rating achieved by the Company’s Medicare Advantage plans. Each rated health plan has an “Overall” quality rating of 1 to 5 stars (5 is highest), which accounts for member experience, medical care, and health plan administration.</w:t>
      </w:r>
    </w:p>
    <w:p>
      <w:pPr>
        <w:spacing w:after="0" w:line="2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plan’s overall rating is based on three general categories:</w:t>
      </w:r>
    </w:p>
    <w:p>
      <w:pPr>
        <w:spacing w:after="0" w:line="117" w:lineRule="exact"/>
        <w:rPr>
          <w:sz w:val="20"/>
          <w:szCs w:val="20"/>
          <w:color w:val="auto"/>
        </w:rPr>
      </w:pPr>
    </w:p>
    <w:p>
      <w:pPr>
        <w:ind w:left="1420" w:right="4260" w:hanging="884"/>
        <w:spacing w:after="0" w:line="360"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Member experience</w:t>
      </w:r>
      <w:r>
        <w:rPr>
          <w:rFonts w:ascii="Arial" w:cs="Arial" w:eastAsia="Arial" w:hAnsi="Arial"/>
          <w:sz w:val="18"/>
          <w:szCs w:val="18"/>
          <w:color w:val="auto"/>
        </w:rPr>
        <w:t>: Based on surveys of member satisfaction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   Their health care and doctors</w:t>
      </w:r>
    </w:p>
    <w:p>
      <w:pPr>
        <w:ind w:left="1420"/>
        <w:spacing w:after="0"/>
        <w:rPr>
          <w:rFonts w:ascii="Arial" w:cs="Arial" w:eastAsia="Arial" w:hAnsi="Arial"/>
          <w:sz w:val="18"/>
          <w:szCs w:val="18"/>
          <w:color w:val="auto"/>
        </w:rPr>
      </w:pPr>
      <w:r>
        <w:rPr>
          <w:rFonts w:ascii="Arial" w:cs="Arial" w:eastAsia="Arial" w:hAnsi="Arial"/>
          <w:sz w:val="18"/>
          <w:szCs w:val="18"/>
          <w:color w:val="auto"/>
        </w:rPr>
        <w:t>o    Ease of getting appointments and services</w:t>
      </w:r>
    </w:p>
    <w:p>
      <w:pPr>
        <w:spacing w:after="0" w:line="117" w:lineRule="exact"/>
        <w:rPr>
          <w:rFonts w:ascii="Arial" w:cs="Arial" w:eastAsia="Arial" w:hAnsi="Arial"/>
          <w:sz w:val="18"/>
          <w:szCs w:val="18"/>
          <w:color w:val="auto"/>
        </w:rPr>
      </w:pPr>
    </w:p>
    <w:p>
      <w:pPr>
        <w:ind w:left="1420" w:right="1940" w:hanging="884"/>
        <w:spacing w:after="0" w:line="360"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Medical care</w:t>
      </w:r>
      <w:r>
        <w:rPr>
          <w:rFonts w:ascii="Arial" w:cs="Arial" w:eastAsia="Arial" w:hAnsi="Arial"/>
          <w:sz w:val="18"/>
          <w:szCs w:val="18"/>
          <w:color w:val="auto"/>
        </w:rPr>
        <w:t>: Based on how well the plan’s network providers manage member health care,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o   Providing regular screenings, vaccines, and other basic health services</w:t>
      </w:r>
    </w:p>
    <w:p>
      <w:pPr>
        <w:ind w:left="1420"/>
        <w:spacing w:after="0"/>
        <w:rPr>
          <w:rFonts w:ascii="Arial" w:cs="Arial" w:eastAsia="Arial" w:hAnsi="Arial"/>
          <w:sz w:val="18"/>
          <w:szCs w:val="18"/>
          <w:color w:val="auto"/>
        </w:rPr>
      </w:pPr>
      <w:r>
        <w:rPr>
          <w:rFonts w:ascii="Arial" w:cs="Arial" w:eastAsia="Arial" w:hAnsi="Arial"/>
          <w:sz w:val="18"/>
          <w:szCs w:val="18"/>
          <w:color w:val="auto"/>
        </w:rPr>
        <w:t>o    Monitoring some conditions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Based on how well the plan is run, including:</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    Customer service</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   Access to needed information</w:t>
      </w:r>
    </w:p>
    <w:p>
      <w:pPr>
        <w:spacing w:after="0" w:line="104"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o    Network providers ordering appropriate tests and treatment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health plan ratings are calculated the same way, using the same information sources.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20"/>
          </w:cols>
          <w:pgMar w:left="440" w:top="306" w:right="439" w:bottom="1440" w:gutter="0" w:footer="0" w:header="0"/>
        </w:sectPr>
      </w:pPr>
    </w:p>
    <w:bookmarkStart w:id="58" w:name="page59"/>
    <w:bookmarkEnd w:id="58"/>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When the prior fiscal year’s results are available in the fourth quarter of 2024, the NEO’s final payouts will be adjusted as follows:</w:t>
      </w:r>
    </w:p>
    <w:p>
      <w:pPr>
        <w:spacing w:after="0" w:line="117" w:lineRule="exact"/>
        <w:rPr>
          <w:sz w:val="20"/>
          <w:szCs w:val="20"/>
          <w:color w:val="auto"/>
        </w:rPr>
      </w:pPr>
    </w:p>
    <w:p>
      <w:pPr>
        <w:ind w:left="960" w:hanging="424"/>
        <w:spacing w:after="0" w:line="270" w:lineRule="auto"/>
        <w:tabs>
          <w:tab w:leader="none" w:pos="9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3.5 stars or lower will result in a 25% decrease in each NEO’s aggregate bonus (i.e., no payment of the 25% holdback will occur);</w:t>
      </w:r>
    </w:p>
    <w:p>
      <w:pPr>
        <w:spacing w:after="0" w:line="59"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4.0 stars will result in a 5% decrease in each NEO’s aggregate bonus;</w:t>
      </w:r>
    </w:p>
    <w:p>
      <w:pPr>
        <w:spacing w:after="0" w:line="129"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4.5 stars will result in a 40% increase in each NEO’s aggregate bonus; and</w:t>
      </w:r>
    </w:p>
    <w:p>
      <w:pPr>
        <w:spacing w:after="0" w:line="129"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2"/>
        </w:numPr>
        <w:rPr>
          <w:rFonts w:ascii="Times New Roman" w:cs="Times New Roman" w:eastAsia="Times New Roman" w:hAnsi="Times New Roman"/>
          <w:sz w:val="18"/>
          <w:szCs w:val="18"/>
          <w:color w:val="auto"/>
        </w:rPr>
      </w:pPr>
      <w:r>
        <w:rPr>
          <w:rFonts w:ascii="Arial" w:cs="Arial" w:eastAsia="Arial" w:hAnsi="Arial"/>
          <w:sz w:val="18"/>
          <w:szCs w:val="18"/>
          <w:color w:val="auto"/>
        </w:rPr>
        <w:t>5.0 stars will result in a 50% increase in each NEO’s aggregate bonus.</w:t>
      </w:r>
    </w:p>
    <w:p>
      <w:pPr>
        <w:spacing w:after="0" w:line="22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In addition to the annual incentive payouts indicated above and as a result of the significant overperformance on the Health Plan Membership metric (actual result of 155,500 members vs. maximum goal of 140,790 members), the Compensation Committee determined that an additional discretionary bonus to executives (other than the CEO) was warranted. Discretionary bonus amounts are as follows and are further explained in the Summary Compensation Table.</w:t>
      </w:r>
    </w:p>
    <w:p>
      <w:pPr>
        <w:spacing w:after="0" w:line="220" w:lineRule="exact"/>
        <w:rPr>
          <w:sz w:val="20"/>
          <w:szCs w:val="20"/>
          <w:color w:val="auto"/>
        </w:rPr>
      </w:pPr>
    </w:p>
    <w:tbl>
      <w:tblPr>
        <w:tblLayout w:type="fixed"/>
        <w:tblInd w:w="1660" w:type="dxa"/>
        <w:tblCellMar>
          <w:top w:w="0" w:type="dxa"/>
          <w:left w:w="0" w:type="dxa"/>
          <w:bottom w:w="0" w:type="dxa"/>
          <w:right w:w="0" w:type="dxa"/>
        </w:tblCellMar>
      </w:tblPr>
      <w:tr>
        <w:trPr>
          <w:trHeight w:val="243"/>
        </w:trPr>
        <w:tc>
          <w:tcPr>
            <w:tcW w:w="3920" w:type="dxa"/>
            <w:vAlign w:val="bottom"/>
            <w:tcBorders>
              <w:bottom w:val="single" w:sz="8" w:color="95B3D7"/>
              <w:right w:val="single" w:sz="8" w:color="95B3D7"/>
            </w:tcBorders>
          </w:tcPr>
          <w:p>
            <w:pPr>
              <w:ind w:left="140"/>
              <w:spacing w:after="0"/>
              <w:rPr>
                <w:sz w:val="20"/>
                <w:szCs w:val="20"/>
                <w:color w:val="auto"/>
              </w:rPr>
            </w:pPr>
            <w:r>
              <w:rPr>
                <w:rFonts w:ascii="Arial" w:cs="Arial" w:eastAsia="Arial" w:hAnsi="Arial"/>
                <w:sz w:val="16"/>
                <w:szCs w:val="16"/>
                <w:b w:val="1"/>
                <w:bCs w:val="1"/>
                <w:color w:val="auto"/>
              </w:rPr>
              <w:t>Officer</w:t>
            </w:r>
          </w:p>
        </w:tc>
        <w:tc>
          <w:tcPr>
            <w:tcW w:w="3780" w:type="dxa"/>
            <w:vAlign w:val="bottom"/>
            <w:tcBorders>
              <w:bottom w:val="single" w:sz="8" w:color="95B3D7"/>
            </w:tcBorders>
          </w:tcPr>
          <w:p>
            <w:pPr>
              <w:ind w:left="80"/>
              <w:spacing w:after="0"/>
              <w:rPr>
                <w:sz w:val="20"/>
                <w:szCs w:val="20"/>
                <w:color w:val="auto"/>
              </w:rPr>
            </w:pPr>
            <w:r>
              <w:rPr>
                <w:rFonts w:ascii="Arial" w:cs="Arial" w:eastAsia="Arial" w:hAnsi="Arial"/>
                <w:sz w:val="16"/>
                <w:szCs w:val="16"/>
                <w:b w:val="1"/>
                <w:bCs w:val="1"/>
                <w:color w:val="auto"/>
              </w:rPr>
              <w:t>Discretionary Bonus</w:t>
            </w:r>
          </w:p>
        </w:tc>
      </w:tr>
      <w:tr>
        <w:trPr>
          <w:trHeight w:val="255"/>
        </w:trPr>
        <w:tc>
          <w:tcPr>
            <w:tcW w:w="392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Thomas Freeman</w:t>
            </w:r>
          </w:p>
        </w:tc>
        <w:tc>
          <w:tcPr>
            <w:tcW w:w="378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6"/>
                <w:szCs w:val="16"/>
                <w:color w:val="auto"/>
              </w:rPr>
              <w:t>$105,000 (total payout = 174% of target)</w:t>
            </w:r>
          </w:p>
        </w:tc>
      </w:tr>
      <w:tr>
        <w:trPr>
          <w:trHeight w:val="208"/>
        </w:trPr>
        <w:tc>
          <w:tcPr>
            <w:tcW w:w="3920" w:type="dxa"/>
            <w:vAlign w:val="bottom"/>
            <w:tcBorders>
              <w:top w:val="single" w:sz="8" w:color="95B3D7"/>
              <w:right w:val="single" w:sz="8" w:color="95B3D7"/>
            </w:tcBorders>
          </w:tcPr>
          <w:p>
            <w:pPr>
              <w:ind w:left="140"/>
              <w:spacing w:after="0"/>
              <w:rPr>
                <w:sz w:val="20"/>
                <w:szCs w:val="20"/>
                <w:color w:val="auto"/>
              </w:rPr>
            </w:pPr>
            <w:r>
              <w:rPr>
                <w:rFonts w:ascii="Arial" w:cs="Arial" w:eastAsia="Arial" w:hAnsi="Arial"/>
                <w:sz w:val="16"/>
                <w:szCs w:val="16"/>
                <w:color w:val="auto"/>
              </w:rPr>
              <w:t>Dawn Maroney</w:t>
            </w:r>
          </w:p>
        </w:tc>
        <w:tc>
          <w:tcPr>
            <w:tcW w:w="3780" w:type="dxa"/>
            <w:vAlign w:val="bottom"/>
            <w:tcBorders>
              <w:top w:val="single" w:sz="8" w:color="95B3D7"/>
            </w:tcBorders>
          </w:tcPr>
          <w:p>
            <w:pPr>
              <w:ind w:left="80"/>
              <w:spacing w:after="0"/>
              <w:rPr>
                <w:sz w:val="20"/>
                <w:szCs w:val="20"/>
                <w:color w:val="auto"/>
              </w:rPr>
            </w:pPr>
            <w:r>
              <w:rPr>
                <w:rFonts w:ascii="Arial" w:cs="Arial" w:eastAsia="Arial" w:hAnsi="Arial"/>
                <w:sz w:val="16"/>
                <w:szCs w:val="16"/>
                <w:color w:val="auto"/>
              </w:rPr>
              <w:t>$205,000 (total payout = 194% of target)</w:t>
            </w:r>
          </w:p>
        </w:tc>
      </w:tr>
      <w:tr>
        <w:trPr>
          <w:trHeight w:val="42"/>
        </w:trPr>
        <w:tc>
          <w:tcPr>
            <w:tcW w:w="3920" w:type="dxa"/>
            <w:vAlign w:val="bottom"/>
            <w:tcBorders>
              <w:bottom w:val="single" w:sz="8" w:color="95B3D7"/>
              <w:right w:val="single" w:sz="8" w:color="95B3D7"/>
            </w:tcBorders>
          </w:tcPr>
          <w:p>
            <w:pPr>
              <w:spacing w:after="0"/>
              <w:rPr>
                <w:sz w:val="3"/>
                <w:szCs w:val="3"/>
                <w:color w:val="auto"/>
              </w:rPr>
            </w:pPr>
          </w:p>
        </w:tc>
        <w:tc>
          <w:tcPr>
            <w:tcW w:w="3780" w:type="dxa"/>
            <w:vAlign w:val="bottom"/>
            <w:tcBorders>
              <w:bottom w:val="single" w:sz="8" w:color="95B3D7"/>
            </w:tcBorders>
          </w:tcPr>
          <w:p>
            <w:pPr>
              <w:spacing w:after="0"/>
              <w:rPr>
                <w:sz w:val="3"/>
                <w:szCs w:val="3"/>
                <w:color w:val="auto"/>
              </w:rPr>
            </w:pPr>
          </w:p>
        </w:tc>
      </w:tr>
      <w:tr>
        <w:trPr>
          <w:trHeight w:val="255"/>
        </w:trPr>
        <w:tc>
          <w:tcPr>
            <w:tcW w:w="3920" w:type="dxa"/>
            <w:vAlign w:val="bottom"/>
            <w:tcBorders>
              <w:bottom w:val="single" w:sz="8" w:color="DBE5F1"/>
              <w:right w:val="single" w:sz="8" w:color="95B3D7"/>
            </w:tcBorders>
            <w:shd w:val="clear" w:color="auto" w:fill="DBE5F1"/>
          </w:tcPr>
          <w:p>
            <w:pPr>
              <w:ind w:left="140"/>
              <w:spacing w:after="0"/>
              <w:rPr>
                <w:sz w:val="20"/>
                <w:szCs w:val="20"/>
                <w:color w:val="auto"/>
              </w:rPr>
            </w:pPr>
            <w:r>
              <w:rPr>
                <w:rFonts w:ascii="Arial" w:cs="Arial" w:eastAsia="Arial" w:hAnsi="Arial"/>
                <w:sz w:val="16"/>
                <w:szCs w:val="16"/>
                <w:color w:val="auto"/>
              </w:rPr>
              <w:t>Hakan Kardes</w:t>
            </w:r>
          </w:p>
        </w:tc>
        <w:tc>
          <w:tcPr>
            <w:tcW w:w="3780" w:type="dxa"/>
            <w:vAlign w:val="bottom"/>
            <w:tcBorders>
              <w:bottom w:val="single" w:sz="8" w:color="DBE5F1"/>
            </w:tcBorders>
            <w:shd w:val="clear" w:color="auto" w:fill="DBE5F1"/>
          </w:tcPr>
          <w:p>
            <w:pPr>
              <w:ind w:left="80"/>
              <w:spacing w:after="0"/>
              <w:rPr>
                <w:sz w:val="20"/>
                <w:szCs w:val="20"/>
                <w:color w:val="auto"/>
              </w:rPr>
            </w:pPr>
            <w:r>
              <w:rPr>
                <w:rFonts w:ascii="Arial" w:cs="Arial" w:eastAsia="Arial" w:hAnsi="Arial"/>
                <w:sz w:val="16"/>
                <w:szCs w:val="16"/>
                <w:color w:val="auto"/>
              </w:rPr>
              <w:t>$90,000 (total payout = 167% of target)</w:t>
            </w:r>
          </w:p>
        </w:tc>
      </w:tr>
      <w:tr>
        <w:trPr>
          <w:trHeight w:val="208"/>
        </w:trPr>
        <w:tc>
          <w:tcPr>
            <w:tcW w:w="3920" w:type="dxa"/>
            <w:vAlign w:val="bottom"/>
            <w:tcBorders>
              <w:top w:val="single" w:sz="8" w:color="95B3D7"/>
              <w:right w:val="single" w:sz="8" w:color="95B3D7"/>
            </w:tcBorders>
          </w:tcPr>
          <w:p>
            <w:pPr>
              <w:ind w:left="140"/>
              <w:spacing w:after="0"/>
              <w:rPr>
                <w:sz w:val="20"/>
                <w:szCs w:val="20"/>
                <w:color w:val="auto"/>
              </w:rPr>
            </w:pPr>
            <w:r>
              <w:rPr>
                <w:rFonts w:ascii="Arial" w:cs="Arial" w:eastAsia="Arial" w:hAnsi="Arial"/>
                <w:sz w:val="16"/>
                <w:szCs w:val="16"/>
                <w:color w:val="auto"/>
              </w:rPr>
              <w:t>Hyong (Ken) Kim, M.D.:</w:t>
            </w:r>
          </w:p>
        </w:tc>
        <w:tc>
          <w:tcPr>
            <w:tcW w:w="3780" w:type="dxa"/>
            <w:vAlign w:val="bottom"/>
            <w:tcBorders>
              <w:top w:val="single" w:sz="8" w:color="95B3D7"/>
            </w:tcBorders>
          </w:tcPr>
          <w:p>
            <w:pPr>
              <w:ind w:left="80"/>
              <w:spacing w:after="0"/>
              <w:rPr>
                <w:sz w:val="20"/>
                <w:szCs w:val="20"/>
                <w:color w:val="auto"/>
              </w:rPr>
            </w:pPr>
            <w:r>
              <w:rPr>
                <w:rFonts w:ascii="Arial" w:cs="Arial" w:eastAsia="Arial" w:hAnsi="Arial"/>
                <w:sz w:val="16"/>
                <w:szCs w:val="16"/>
                <w:color w:val="auto"/>
              </w:rPr>
              <w:t>$20,000 (total payout = 143% of target)</w:t>
            </w:r>
          </w:p>
        </w:tc>
      </w:tr>
      <w:tr>
        <w:trPr>
          <w:trHeight w:val="42"/>
        </w:trPr>
        <w:tc>
          <w:tcPr>
            <w:tcW w:w="3920" w:type="dxa"/>
            <w:vAlign w:val="bottom"/>
            <w:tcBorders>
              <w:bottom w:val="single" w:sz="8" w:color="95B3D7"/>
              <w:right w:val="single" w:sz="8" w:color="95B3D7"/>
            </w:tcBorders>
          </w:tcPr>
          <w:p>
            <w:pPr>
              <w:spacing w:after="0"/>
              <w:rPr>
                <w:sz w:val="3"/>
                <w:szCs w:val="3"/>
                <w:color w:val="auto"/>
              </w:rPr>
            </w:pPr>
          </w:p>
        </w:tc>
        <w:tc>
          <w:tcPr>
            <w:tcW w:w="3780" w:type="dxa"/>
            <w:vAlign w:val="bottom"/>
            <w:tcBorders>
              <w:bottom w:val="single" w:sz="8" w:color="95B3D7"/>
            </w:tcBorders>
          </w:tcPr>
          <w:p>
            <w:pPr>
              <w:spacing w:after="0"/>
              <w:rPr>
                <w:sz w:val="3"/>
                <w:szCs w:val="3"/>
                <w:color w:val="auto"/>
              </w:rPr>
            </w:pPr>
          </w:p>
        </w:tc>
      </w:tr>
    </w:tbl>
    <w:p>
      <w:pPr>
        <w:spacing w:after="0" w:line="19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As indicated by the percentages of target above, total bonus payout for 2023 performance did not exceed the plan cap of 200% of target for any individual.</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Long-Term Equity Incentives</w:t>
      </w:r>
    </w:p>
    <w:p>
      <w:pPr>
        <w:spacing w:after="0" w:line="210"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The Company’s long-term equity incentive program is designed to provide a portion of our executives’ compensation opportunity in equity-based instruments. We believe that long-term equity compensation is key to assuring our executives’ interests are aligned with those of our stockholders.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2023 Equity Awards</w:t>
      </w:r>
    </w:p>
    <w:p>
      <w:pPr>
        <w:spacing w:after="0" w:line="210" w:lineRule="exact"/>
        <w:rPr>
          <w:sz w:val="20"/>
          <w:szCs w:val="20"/>
          <w:color w:val="auto"/>
        </w:rPr>
      </w:pPr>
    </w:p>
    <w:p>
      <w:pPr>
        <w:jc w:val="both"/>
        <w:ind w:firstLine="440"/>
        <w:spacing w:after="0"/>
        <w:rPr>
          <w:sz w:val="20"/>
          <w:szCs w:val="20"/>
          <w:color w:val="auto"/>
        </w:rPr>
      </w:pPr>
      <w:r>
        <w:rPr>
          <w:rFonts w:ascii="Arial" w:cs="Arial" w:eastAsia="Arial" w:hAnsi="Arial"/>
          <w:sz w:val="18"/>
          <w:szCs w:val="18"/>
          <w:color w:val="auto"/>
        </w:rPr>
        <w:t>In September 2023, the Compensation Committee and Board approved the award of the September 2023 PSUs to the NEOs under the Company’s 2021 Equity Incentive Plan (the “Plan”). In determining the nature and amount of long-term equity grants during 2023, the Compensation Committee considered our team’s continued strong performance amidst the challenging macroeconomic environment since our IPO in 2021 and its direct impact on our industry. In light of the diminution of the intended target value of the equity awards granted at our IPO in 2021 and in 2022, and the Company’s retention objectives given competition for talent in the health care space, together with the preference of our stockholders to see a stronger focus on performance-based equity compensation, the Compensation Committee approved long-term incentive grants for 2023 using 100% PSUs.</w:t>
      </w:r>
    </w:p>
    <w:p>
      <w:pPr>
        <w:spacing w:after="0" w:line="185" w:lineRule="exact"/>
        <w:rPr>
          <w:sz w:val="20"/>
          <w:szCs w:val="20"/>
          <w:color w:val="auto"/>
        </w:rPr>
      </w:pPr>
    </w:p>
    <w:p>
      <w:pPr>
        <w:jc w:val="both"/>
        <w:ind w:right="20" w:firstLine="440"/>
        <w:spacing w:after="0"/>
        <w:rPr>
          <w:sz w:val="20"/>
          <w:szCs w:val="20"/>
          <w:color w:val="auto"/>
        </w:rPr>
      </w:pPr>
      <w:r>
        <w:rPr>
          <w:rFonts w:ascii="Arial" w:cs="Arial" w:eastAsia="Arial" w:hAnsi="Arial"/>
          <w:sz w:val="18"/>
          <w:szCs w:val="18"/>
          <w:color w:val="auto"/>
        </w:rPr>
        <w:t>With respect to the September 2023 PSUs, the NEOs are eligible to vest in a number of PSUs ranging from 0% to 150% of the target number of PSUs granted, based on the aggregate achievement by the Company of certain performance metrics during the performance period from January 1, 2024 to December 31, 2024 (the “Measurement Period”), with threshold, target and maximum goals for each performance metric set by the Compensation Committee. The Compensation Committee chose to measure performance for this grant using a one-year performance period, although the Compensation Committee intends to adopt PSUs contingent upon longer performance measurement cycles as the Company’s long-term incentive strategy evolves with respect to future grants. To the extent earned, shares will vest fifty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96" w:right="439" w:bottom="1440" w:gutter="0" w:footer="0" w:header="0"/>
        </w:sectPr>
      </w:pPr>
    </w:p>
    <w:bookmarkStart w:id="59" w:name="page60"/>
    <w:bookmarkEnd w:id="59"/>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percent (50%) upon certification of results by the Committee (expected on or about February 28, 2025) and fifty percent (50%) on December 31, 2025, subject to the applicable grantee’s continued employment on such date.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shows the target long-term incentive awards granted for fiscal year 2023 for each of the NEOs: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880" w:type="dxa"/>
            <w:vAlign w:val="bottom"/>
            <w:tcBorders>
              <w:bottom w:val="single" w:sz="8" w:color="95B3D7"/>
            </w:tcBorders>
          </w:tcPr>
          <w:p>
            <w:pPr>
              <w:spacing w:after="0"/>
              <w:rPr>
                <w:sz w:val="20"/>
                <w:szCs w:val="20"/>
                <w:color w:val="auto"/>
              </w:rPr>
            </w:pPr>
            <w:r>
              <w:rPr>
                <w:rFonts w:ascii="Arial" w:cs="Arial" w:eastAsia="Arial" w:hAnsi="Arial"/>
                <w:sz w:val="14"/>
                <w:szCs w:val="14"/>
                <w:b w:val="1"/>
                <w:bCs w:val="1"/>
                <w:color w:val="auto"/>
              </w:rPr>
              <w:t>  Name</w:t>
            </w:r>
          </w:p>
        </w:tc>
        <w:tc>
          <w:tcPr>
            <w:tcW w:w="3640" w:type="dxa"/>
            <w:vAlign w:val="bottom"/>
            <w:tcBorders>
              <w:bottom w:val="single" w:sz="8" w:color="95B3D7"/>
            </w:tcBorders>
          </w:tcPr>
          <w:p>
            <w:pPr>
              <w:ind w:left="1240"/>
              <w:spacing w:after="0"/>
              <w:rPr>
                <w:sz w:val="20"/>
                <w:szCs w:val="20"/>
                <w:color w:val="auto"/>
              </w:rPr>
            </w:pPr>
            <w:r>
              <w:rPr>
                <w:rFonts w:ascii="Arial" w:cs="Arial" w:eastAsia="Arial" w:hAnsi="Arial"/>
                <w:sz w:val="14"/>
                <w:szCs w:val="14"/>
                <w:b w:val="1"/>
                <w:bCs w:val="1"/>
                <w:color w:val="auto"/>
              </w:rPr>
              <w:t>PSUs at Target (#)</w:t>
            </w:r>
          </w:p>
        </w:tc>
        <w:tc>
          <w:tcPr>
            <w:tcW w:w="3500" w:type="dxa"/>
            <w:vAlign w:val="bottom"/>
            <w:tcBorders>
              <w:bottom w:val="single" w:sz="8" w:color="95B3D7"/>
            </w:tcBorders>
          </w:tcPr>
          <w:p>
            <w:pPr>
              <w:ind w:left="960"/>
              <w:spacing w:after="0"/>
              <w:rPr>
                <w:sz w:val="20"/>
                <w:szCs w:val="20"/>
                <w:color w:val="auto"/>
              </w:rPr>
            </w:pPr>
            <w:r>
              <w:rPr>
                <w:rFonts w:ascii="Arial" w:cs="Arial" w:eastAsia="Arial" w:hAnsi="Arial"/>
                <w:sz w:val="14"/>
                <w:szCs w:val="14"/>
                <w:b w:val="1"/>
                <w:bCs w:val="1"/>
                <w:color w:val="auto"/>
              </w:rPr>
              <w:t>PSUs at Target ($ Value)</w:t>
            </w:r>
          </w:p>
        </w:tc>
      </w:tr>
      <w:tr>
        <w:trPr>
          <w:trHeight w:val="189"/>
        </w:trPr>
        <w:tc>
          <w:tcPr>
            <w:tcW w:w="3880" w:type="dxa"/>
            <w:vAlign w:val="bottom"/>
            <w:tcBorders>
              <w:bottom w:val="single" w:sz="8" w:color="95B3D7"/>
              <w:right w:val="single" w:sz="8" w:color="95B3D7"/>
            </w:tcBorders>
            <w:shd w:val="clear" w:color="auto" w:fill="DBE5F1"/>
          </w:tcPr>
          <w:p>
            <w:pPr>
              <w:spacing w:after="0"/>
              <w:rPr>
                <w:sz w:val="20"/>
                <w:szCs w:val="20"/>
                <w:color w:val="auto"/>
              </w:rPr>
            </w:pPr>
            <w:r>
              <w:rPr>
                <w:rFonts w:ascii="Arial" w:cs="Arial" w:eastAsia="Arial" w:hAnsi="Arial"/>
                <w:sz w:val="16"/>
                <w:szCs w:val="16"/>
                <w:color w:val="auto"/>
              </w:rPr>
              <w:t>  John Kao</w:t>
            </w:r>
          </w:p>
        </w:tc>
        <w:tc>
          <w:tcPr>
            <w:tcW w:w="3640" w:type="dxa"/>
            <w:vAlign w:val="bottom"/>
            <w:tcBorders>
              <w:bottom w:val="single" w:sz="8" w:color="95B3D7"/>
              <w:right w:val="single" w:sz="8" w:color="95B3D7"/>
            </w:tcBorders>
            <w:shd w:val="clear" w:color="auto" w:fill="DBE5F1"/>
          </w:tcPr>
          <w:p>
            <w:pPr>
              <w:jc w:val="center"/>
              <w:ind w:left="1"/>
              <w:spacing w:after="0"/>
              <w:rPr>
                <w:sz w:val="20"/>
                <w:szCs w:val="20"/>
                <w:color w:val="auto"/>
              </w:rPr>
            </w:pPr>
            <w:r>
              <w:rPr>
                <w:rFonts w:ascii="Arial" w:cs="Arial" w:eastAsia="Arial" w:hAnsi="Arial"/>
                <w:sz w:val="16"/>
                <w:szCs w:val="16"/>
                <w:color w:val="auto"/>
              </w:rPr>
              <w:t>2,177,333</w:t>
            </w:r>
          </w:p>
        </w:tc>
        <w:tc>
          <w:tcPr>
            <w:tcW w:w="3500" w:type="dxa"/>
            <w:vAlign w:val="bottom"/>
            <w:tcBorders>
              <w:bottom w:val="single" w:sz="8" w:color="95B3D7"/>
            </w:tcBorders>
            <w:shd w:val="clear" w:color="auto" w:fill="DBE5F1"/>
          </w:tcPr>
          <w:p>
            <w:pPr>
              <w:jc w:val="center"/>
              <w:ind w:left="1"/>
              <w:spacing w:after="0"/>
              <w:rPr>
                <w:sz w:val="20"/>
                <w:szCs w:val="20"/>
                <w:color w:val="auto"/>
              </w:rPr>
            </w:pPr>
            <w:r>
              <w:rPr>
                <w:rFonts w:ascii="Arial" w:cs="Arial" w:eastAsia="Arial" w:hAnsi="Arial"/>
                <w:sz w:val="16"/>
                <w:szCs w:val="16"/>
                <w:color w:val="auto"/>
              </w:rPr>
              <w:t>12,497,891</w:t>
            </w:r>
          </w:p>
        </w:tc>
      </w:tr>
      <w:tr>
        <w:trPr>
          <w:trHeight w:val="183"/>
        </w:trPr>
        <w:tc>
          <w:tcPr>
            <w:tcW w:w="388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color w:val="auto"/>
              </w:rPr>
              <w:t>  Thomas Freeman</w:t>
            </w:r>
          </w:p>
        </w:tc>
        <w:tc>
          <w:tcPr>
            <w:tcW w:w="3640" w:type="dxa"/>
            <w:vAlign w:val="bottom"/>
            <w:tcBorders>
              <w:bottom w:val="single" w:sz="8" w:color="95B3D7"/>
              <w:right w:val="single" w:sz="8" w:color="95B3D7"/>
            </w:tcBorders>
          </w:tcPr>
          <w:p>
            <w:pPr>
              <w:jc w:val="center"/>
              <w:ind w:left="1"/>
              <w:spacing w:after="0" w:line="183" w:lineRule="exact"/>
              <w:rPr>
                <w:sz w:val="20"/>
                <w:szCs w:val="20"/>
                <w:color w:val="auto"/>
              </w:rPr>
            </w:pPr>
            <w:r>
              <w:rPr>
                <w:rFonts w:ascii="Arial" w:cs="Arial" w:eastAsia="Arial" w:hAnsi="Arial"/>
                <w:sz w:val="16"/>
                <w:szCs w:val="16"/>
                <w:color w:val="auto"/>
              </w:rPr>
              <w:t>873,667</w:t>
            </w:r>
          </w:p>
        </w:tc>
        <w:tc>
          <w:tcPr>
            <w:tcW w:w="3500" w:type="dxa"/>
            <w:vAlign w:val="bottom"/>
            <w:tcBorders>
              <w:bottom w:val="single" w:sz="8" w:color="95B3D7"/>
            </w:tcBorders>
          </w:tcPr>
          <w:p>
            <w:pPr>
              <w:jc w:val="center"/>
              <w:ind w:left="21"/>
              <w:spacing w:after="0" w:line="183" w:lineRule="exact"/>
              <w:rPr>
                <w:sz w:val="20"/>
                <w:szCs w:val="20"/>
                <w:color w:val="auto"/>
              </w:rPr>
            </w:pPr>
            <w:r>
              <w:rPr>
                <w:rFonts w:ascii="Arial" w:cs="Arial" w:eastAsia="Arial" w:hAnsi="Arial"/>
                <w:sz w:val="16"/>
                <w:szCs w:val="16"/>
                <w:color w:val="auto"/>
              </w:rPr>
              <w:t>5,014,849</w:t>
            </w:r>
          </w:p>
        </w:tc>
      </w:tr>
      <w:tr>
        <w:trPr>
          <w:trHeight w:val="183"/>
        </w:trPr>
        <w:tc>
          <w:tcPr>
            <w:tcW w:w="388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color w:val="auto"/>
              </w:rPr>
              <w:t>  Dawn Maroney</w:t>
            </w:r>
          </w:p>
        </w:tc>
        <w:tc>
          <w:tcPr>
            <w:tcW w:w="3640" w:type="dxa"/>
            <w:vAlign w:val="bottom"/>
            <w:tcBorders>
              <w:bottom w:val="single" w:sz="8" w:color="95B3D7"/>
              <w:right w:val="single" w:sz="8" w:color="95B3D7"/>
            </w:tcBorders>
            <w:shd w:val="clear" w:color="auto" w:fill="DBE5F1"/>
          </w:tcPr>
          <w:p>
            <w:pPr>
              <w:jc w:val="center"/>
              <w:ind w:left="1"/>
              <w:spacing w:after="0" w:line="183" w:lineRule="exact"/>
              <w:rPr>
                <w:sz w:val="20"/>
                <w:szCs w:val="20"/>
                <w:color w:val="auto"/>
              </w:rPr>
            </w:pPr>
            <w:r>
              <w:rPr>
                <w:rFonts w:ascii="Arial" w:cs="Arial" w:eastAsia="Arial" w:hAnsi="Arial"/>
                <w:sz w:val="16"/>
                <w:szCs w:val="16"/>
                <w:color w:val="auto"/>
              </w:rPr>
              <w:t>873,667</w:t>
            </w:r>
          </w:p>
        </w:tc>
        <w:tc>
          <w:tcPr>
            <w:tcW w:w="3500" w:type="dxa"/>
            <w:vAlign w:val="bottom"/>
            <w:tcBorders>
              <w:bottom w:val="single" w:sz="8" w:color="95B3D7"/>
            </w:tcBorders>
            <w:shd w:val="clear" w:color="auto" w:fill="DBE5F1"/>
          </w:tcPr>
          <w:p>
            <w:pPr>
              <w:jc w:val="center"/>
              <w:ind w:left="21"/>
              <w:spacing w:after="0" w:line="183" w:lineRule="exact"/>
              <w:rPr>
                <w:sz w:val="20"/>
                <w:szCs w:val="20"/>
                <w:color w:val="auto"/>
              </w:rPr>
            </w:pPr>
            <w:r>
              <w:rPr>
                <w:rFonts w:ascii="Arial" w:cs="Arial" w:eastAsia="Arial" w:hAnsi="Arial"/>
                <w:sz w:val="16"/>
                <w:szCs w:val="16"/>
                <w:color w:val="auto"/>
              </w:rPr>
              <w:t>5,014,849</w:t>
            </w:r>
          </w:p>
        </w:tc>
      </w:tr>
      <w:tr>
        <w:trPr>
          <w:trHeight w:val="183"/>
        </w:trPr>
        <w:tc>
          <w:tcPr>
            <w:tcW w:w="388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color w:val="auto"/>
              </w:rPr>
              <w:t>  Hakan Kardes</w:t>
            </w:r>
          </w:p>
        </w:tc>
        <w:tc>
          <w:tcPr>
            <w:tcW w:w="3640" w:type="dxa"/>
            <w:vAlign w:val="bottom"/>
            <w:tcBorders>
              <w:bottom w:val="single" w:sz="8" w:color="95B3D7"/>
              <w:right w:val="single" w:sz="8" w:color="95B3D7"/>
            </w:tcBorders>
          </w:tcPr>
          <w:p>
            <w:pPr>
              <w:jc w:val="center"/>
              <w:ind w:left="1"/>
              <w:spacing w:after="0" w:line="183" w:lineRule="exact"/>
              <w:rPr>
                <w:sz w:val="20"/>
                <w:szCs w:val="20"/>
                <w:color w:val="auto"/>
              </w:rPr>
            </w:pPr>
            <w:r>
              <w:rPr>
                <w:rFonts w:ascii="Arial" w:cs="Arial" w:eastAsia="Arial" w:hAnsi="Arial"/>
                <w:sz w:val="16"/>
                <w:szCs w:val="16"/>
                <w:color w:val="auto"/>
              </w:rPr>
              <w:t>406,000</w:t>
            </w:r>
          </w:p>
        </w:tc>
        <w:tc>
          <w:tcPr>
            <w:tcW w:w="3500" w:type="dxa"/>
            <w:vAlign w:val="bottom"/>
            <w:tcBorders>
              <w:bottom w:val="single" w:sz="8" w:color="95B3D7"/>
            </w:tcBorders>
          </w:tcPr>
          <w:p>
            <w:pPr>
              <w:jc w:val="center"/>
              <w:ind w:left="21"/>
              <w:spacing w:after="0" w:line="183" w:lineRule="exact"/>
              <w:rPr>
                <w:sz w:val="20"/>
                <w:szCs w:val="20"/>
                <w:color w:val="auto"/>
              </w:rPr>
            </w:pPr>
            <w:r>
              <w:rPr>
                <w:rFonts w:ascii="Arial" w:cs="Arial" w:eastAsia="Arial" w:hAnsi="Arial"/>
                <w:sz w:val="16"/>
                <w:szCs w:val="16"/>
                <w:color w:val="auto"/>
              </w:rPr>
              <w:t>2,330,440</w:t>
            </w:r>
          </w:p>
        </w:tc>
      </w:tr>
      <w:tr>
        <w:trPr>
          <w:trHeight w:val="183"/>
        </w:trPr>
        <w:tc>
          <w:tcPr>
            <w:tcW w:w="388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4"/>
                <w:szCs w:val="14"/>
                <w:color w:val="auto"/>
              </w:rPr>
              <w:t>  Hyong (Ken) Kim, M.D.</w:t>
            </w:r>
            <w:r>
              <w:rPr>
                <w:rFonts w:ascii="Arial" w:cs="Arial" w:eastAsia="Arial" w:hAnsi="Arial"/>
                <w:sz w:val="21"/>
                <w:szCs w:val="21"/>
                <w:color w:val="auto"/>
                <w:vertAlign w:val="superscript"/>
              </w:rPr>
              <w:t>(1)</w:t>
            </w:r>
          </w:p>
        </w:tc>
        <w:tc>
          <w:tcPr>
            <w:tcW w:w="3640" w:type="dxa"/>
            <w:vAlign w:val="bottom"/>
            <w:tcBorders>
              <w:bottom w:val="single" w:sz="8" w:color="95B3D7"/>
              <w:right w:val="single" w:sz="8" w:color="95B3D7"/>
            </w:tcBorders>
            <w:shd w:val="clear" w:color="auto" w:fill="DBE5F1"/>
          </w:tcPr>
          <w:p>
            <w:pPr>
              <w:jc w:val="center"/>
              <w:ind w:left="1"/>
              <w:spacing w:after="0" w:line="183" w:lineRule="exact"/>
              <w:rPr>
                <w:sz w:val="20"/>
                <w:szCs w:val="20"/>
                <w:color w:val="auto"/>
              </w:rPr>
            </w:pPr>
            <w:r>
              <w:rPr>
                <w:rFonts w:ascii="Arial" w:cs="Arial" w:eastAsia="Arial" w:hAnsi="Arial"/>
                <w:sz w:val="16"/>
                <w:szCs w:val="16"/>
                <w:color w:val="auto"/>
                <w:w w:val="98"/>
              </w:rPr>
              <w:t>50,000</w:t>
            </w:r>
          </w:p>
        </w:tc>
        <w:tc>
          <w:tcPr>
            <w:tcW w:w="3500" w:type="dxa"/>
            <w:vAlign w:val="bottom"/>
            <w:tcBorders>
              <w:bottom w:val="single" w:sz="8" w:color="95B3D7"/>
            </w:tcBorders>
            <w:shd w:val="clear" w:color="auto" w:fill="DBE5F1"/>
          </w:tcPr>
          <w:p>
            <w:pPr>
              <w:jc w:val="center"/>
              <w:ind w:left="1"/>
              <w:spacing w:after="0" w:line="183" w:lineRule="exact"/>
              <w:rPr>
                <w:sz w:val="20"/>
                <w:szCs w:val="20"/>
                <w:color w:val="auto"/>
              </w:rPr>
            </w:pPr>
            <w:r>
              <w:rPr>
                <w:rFonts w:ascii="Arial" w:cs="Arial" w:eastAsia="Arial" w:hAnsi="Arial"/>
                <w:sz w:val="16"/>
                <w:szCs w:val="16"/>
                <w:color w:val="auto"/>
              </w:rPr>
              <w:t>287,000</w:t>
            </w:r>
          </w:p>
        </w:tc>
      </w:tr>
    </w:tbl>
    <w:p>
      <w:pPr>
        <w:spacing w:after="0" w:line="234" w:lineRule="exact"/>
        <w:rPr>
          <w:sz w:val="20"/>
          <w:szCs w:val="20"/>
          <w:color w:val="auto"/>
        </w:rPr>
      </w:pPr>
    </w:p>
    <w:p>
      <w:pPr>
        <w:jc w:val="both"/>
        <w:ind w:left="540" w:hanging="328"/>
        <w:spacing w:after="0" w:line="263" w:lineRule="auto"/>
        <w:tabs>
          <w:tab w:leader="none" w:pos="5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Pursuant to the terms of his Employment Agreement, on September 25, 2023, Mr. Kim received a one-time, new hire RSU award with a grant date fair value equal to $2.5 million. Such RSUs will vest in equal installments of twenty-five percent (25%) on each the first four anniversaries of the grant date, subject to the Mr. Kim’s employment on the applicable vesting date.</w:t>
      </w:r>
    </w:p>
    <w:p>
      <w:pPr>
        <w:spacing w:after="0" w:line="163" w:lineRule="exact"/>
        <w:rPr>
          <w:sz w:val="20"/>
          <w:szCs w:val="20"/>
          <w:color w:val="auto"/>
        </w:rPr>
      </w:pPr>
    </w:p>
    <w:p>
      <w:pPr>
        <w:ind w:right="740" w:firstLine="440"/>
        <w:spacing w:after="0" w:line="271" w:lineRule="auto"/>
        <w:rPr>
          <w:sz w:val="20"/>
          <w:szCs w:val="20"/>
          <w:color w:val="auto"/>
        </w:rPr>
      </w:pPr>
      <w:r>
        <w:rPr>
          <w:rFonts w:ascii="Arial" w:cs="Arial" w:eastAsia="Arial" w:hAnsi="Arial"/>
          <w:sz w:val="18"/>
          <w:szCs w:val="18"/>
          <w:color w:val="auto"/>
        </w:rPr>
        <w:t>The achievement of PSUs relative to the approved target awards is based on the following performance metrics and relative weighting:</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640" w:type="dxa"/>
            <w:vAlign w:val="bottom"/>
            <w:tcBorders>
              <w:bottom w:val="single" w:sz="8" w:color="95B3D7"/>
            </w:tcBorders>
          </w:tcPr>
          <w:p>
            <w:pPr>
              <w:spacing w:after="0"/>
              <w:rPr>
                <w:sz w:val="20"/>
                <w:szCs w:val="20"/>
                <w:color w:val="auto"/>
              </w:rPr>
            </w:pPr>
            <w:r>
              <w:rPr>
                <w:rFonts w:ascii="Arial" w:cs="Arial" w:eastAsia="Arial" w:hAnsi="Arial"/>
                <w:sz w:val="14"/>
                <w:szCs w:val="14"/>
                <w:b w:val="1"/>
                <w:bCs w:val="1"/>
                <w:color w:val="auto"/>
              </w:rPr>
              <w:t>  Performance Metric</w:t>
            </w:r>
          </w:p>
        </w:tc>
        <w:tc>
          <w:tcPr>
            <w:tcW w:w="5380" w:type="dxa"/>
            <w:vAlign w:val="bottom"/>
            <w:tcBorders>
              <w:bottom w:val="single" w:sz="8" w:color="95B3D7"/>
            </w:tcBorders>
          </w:tcPr>
          <w:p>
            <w:pPr>
              <w:jc w:val="center"/>
              <w:ind w:left="1"/>
              <w:spacing w:after="0"/>
              <w:rPr>
                <w:sz w:val="20"/>
                <w:szCs w:val="20"/>
                <w:color w:val="auto"/>
              </w:rPr>
            </w:pPr>
            <w:r>
              <w:rPr>
                <w:rFonts w:ascii="Arial" w:cs="Arial" w:eastAsia="Arial" w:hAnsi="Arial"/>
                <w:sz w:val="14"/>
                <w:szCs w:val="14"/>
                <w:b w:val="1"/>
                <w:bCs w:val="1"/>
                <w:color w:val="auto"/>
              </w:rPr>
              <w:t>Weighting</w:t>
            </w:r>
          </w:p>
        </w:tc>
      </w:tr>
      <w:tr>
        <w:trPr>
          <w:trHeight w:val="189"/>
        </w:trPr>
        <w:tc>
          <w:tcPr>
            <w:tcW w:w="5640" w:type="dxa"/>
            <w:vAlign w:val="bottom"/>
            <w:tcBorders>
              <w:bottom w:val="single" w:sz="8" w:color="95B3D7"/>
              <w:right w:val="single" w:sz="8" w:color="95B3D7"/>
            </w:tcBorders>
            <w:shd w:val="clear" w:color="auto" w:fill="DBE5F1"/>
          </w:tcPr>
          <w:p>
            <w:pPr>
              <w:spacing w:after="0"/>
              <w:rPr>
                <w:sz w:val="20"/>
                <w:szCs w:val="20"/>
                <w:color w:val="auto"/>
              </w:rPr>
            </w:pPr>
            <w:r>
              <w:rPr>
                <w:rFonts w:ascii="Arial" w:cs="Arial" w:eastAsia="Arial" w:hAnsi="Arial"/>
                <w:sz w:val="16"/>
                <w:szCs w:val="16"/>
                <w:color w:val="auto"/>
              </w:rPr>
              <w:t>  Health Plan Revenue Growth Percentage</w:t>
            </w:r>
          </w:p>
        </w:tc>
        <w:tc>
          <w:tcPr>
            <w:tcW w:w="5380" w:type="dxa"/>
            <w:vAlign w:val="bottom"/>
            <w:tcBorders>
              <w:bottom w:val="single" w:sz="8" w:color="95B3D7"/>
            </w:tcBorders>
            <w:shd w:val="clear" w:color="auto" w:fill="DBE5F1"/>
          </w:tcPr>
          <w:p>
            <w:pPr>
              <w:jc w:val="center"/>
              <w:ind w:left="21"/>
              <w:spacing w:after="0"/>
              <w:rPr>
                <w:sz w:val="20"/>
                <w:szCs w:val="20"/>
                <w:color w:val="auto"/>
              </w:rPr>
            </w:pPr>
            <w:r>
              <w:rPr>
                <w:rFonts w:ascii="Arial" w:cs="Arial" w:eastAsia="Arial" w:hAnsi="Arial"/>
                <w:sz w:val="16"/>
                <w:szCs w:val="16"/>
                <w:color w:val="auto"/>
                <w:w w:val="99"/>
              </w:rPr>
              <w:t>60%</w:t>
            </w:r>
          </w:p>
        </w:tc>
      </w:tr>
      <w:tr>
        <w:trPr>
          <w:trHeight w:val="183"/>
        </w:trPr>
        <w:tc>
          <w:tcPr>
            <w:tcW w:w="5640" w:type="dxa"/>
            <w:vAlign w:val="bottom"/>
            <w:tcBorders>
              <w:bottom w:val="single" w:sz="8" w:color="95B3D7"/>
              <w:right w:val="single" w:sz="8" w:color="95B3D7"/>
            </w:tcBorders>
          </w:tcPr>
          <w:p>
            <w:pPr>
              <w:spacing w:after="0" w:line="183" w:lineRule="exact"/>
              <w:rPr>
                <w:sz w:val="20"/>
                <w:szCs w:val="20"/>
                <w:color w:val="auto"/>
              </w:rPr>
            </w:pPr>
            <w:r>
              <w:rPr>
                <w:rFonts w:ascii="Arial" w:cs="Arial" w:eastAsia="Arial" w:hAnsi="Arial"/>
                <w:sz w:val="16"/>
                <w:szCs w:val="16"/>
                <w:color w:val="auto"/>
              </w:rPr>
              <w:t>  At-Risk Returning Member Medical Benefits Ratio</w:t>
            </w:r>
          </w:p>
        </w:tc>
        <w:tc>
          <w:tcPr>
            <w:tcW w:w="5380" w:type="dxa"/>
            <w:vAlign w:val="bottom"/>
            <w:tcBorders>
              <w:bottom w:val="single" w:sz="8" w:color="95B3D7"/>
            </w:tcBorders>
          </w:tcPr>
          <w:p>
            <w:pPr>
              <w:jc w:val="center"/>
              <w:ind w:left="21"/>
              <w:spacing w:after="0" w:line="183" w:lineRule="exact"/>
              <w:rPr>
                <w:sz w:val="20"/>
                <w:szCs w:val="20"/>
                <w:color w:val="auto"/>
              </w:rPr>
            </w:pPr>
            <w:r>
              <w:rPr>
                <w:rFonts w:ascii="Arial" w:cs="Arial" w:eastAsia="Arial" w:hAnsi="Arial"/>
                <w:sz w:val="16"/>
                <w:szCs w:val="16"/>
                <w:color w:val="auto"/>
                <w:w w:val="99"/>
              </w:rPr>
              <w:t>20%</w:t>
            </w:r>
          </w:p>
        </w:tc>
      </w:tr>
      <w:tr>
        <w:trPr>
          <w:trHeight w:val="183"/>
        </w:trPr>
        <w:tc>
          <w:tcPr>
            <w:tcW w:w="5640" w:type="dxa"/>
            <w:vAlign w:val="bottom"/>
            <w:tcBorders>
              <w:bottom w:val="single" w:sz="8" w:color="95B3D7"/>
              <w:right w:val="single" w:sz="8" w:color="95B3D7"/>
            </w:tcBorders>
            <w:shd w:val="clear" w:color="auto" w:fill="DBE5F1"/>
          </w:tcPr>
          <w:p>
            <w:pPr>
              <w:spacing w:after="0" w:line="183" w:lineRule="exact"/>
              <w:rPr>
                <w:sz w:val="20"/>
                <w:szCs w:val="20"/>
                <w:color w:val="auto"/>
              </w:rPr>
            </w:pPr>
            <w:r>
              <w:rPr>
                <w:rFonts w:ascii="Arial" w:cs="Arial" w:eastAsia="Arial" w:hAnsi="Arial"/>
                <w:sz w:val="16"/>
                <w:szCs w:val="16"/>
                <w:color w:val="auto"/>
              </w:rPr>
              <w:t>  Adjusted EBITDA, less Capital Expenditures</w:t>
            </w:r>
          </w:p>
        </w:tc>
        <w:tc>
          <w:tcPr>
            <w:tcW w:w="5380" w:type="dxa"/>
            <w:vAlign w:val="bottom"/>
            <w:tcBorders>
              <w:bottom w:val="single" w:sz="8" w:color="95B3D7"/>
            </w:tcBorders>
            <w:shd w:val="clear" w:color="auto" w:fill="DBE5F1"/>
          </w:tcPr>
          <w:p>
            <w:pPr>
              <w:jc w:val="center"/>
              <w:ind w:left="21"/>
              <w:spacing w:after="0" w:line="183" w:lineRule="exact"/>
              <w:rPr>
                <w:sz w:val="20"/>
                <w:szCs w:val="20"/>
                <w:color w:val="auto"/>
              </w:rPr>
            </w:pPr>
            <w:r>
              <w:rPr>
                <w:rFonts w:ascii="Arial" w:cs="Arial" w:eastAsia="Arial" w:hAnsi="Arial"/>
                <w:sz w:val="16"/>
                <w:szCs w:val="16"/>
                <w:color w:val="auto"/>
                <w:w w:val="99"/>
              </w:rPr>
              <w:t>20%</w:t>
            </w:r>
          </w:p>
        </w:tc>
      </w:tr>
    </w:tbl>
    <w:p>
      <w:pPr>
        <w:spacing w:after="0" w:line="112" w:lineRule="exact"/>
        <w:rPr>
          <w:sz w:val="20"/>
          <w:szCs w:val="20"/>
          <w:color w:val="auto"/>
        </w:rPr>
      </w:pPr>
    </w:p>
    <w:p>
      <w:pPr>
        <w:ind w:left="760" w:right="40" w:hanging="332"/>
        <w:spacing w:after="0" w:line="252" w:lineRule="auto"/>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“Health Plan Revenue Growth Percentage” means the percentage increase in the consolidated premium revenue of the Company’s regulated health plan entities between the fiscal year ended December 31, 2023 and the fiscal year ended December 31, 2024, subject to any adjustments deemed appropriate by the Committee. For the avoidance of doubt, premium revenue does not include (i) capitation revenue or (ii) investment income from securities accounts held by health plan entities. “Capitation revenue” means capitated fees for medical care services provided by the Company under arrangements with third-party payors and from CMS related to the ACO REACH program.</w:t>
      </w:r>
    </w:p>
    <w:p>
      <w:pPr>
        <w:spacing w:after="0" w:line="86" w:lineRule="exact"/>
        <w:rPr>
          <w:rFonts w:ascii="Arial" w:cs="Arial" w:eastAsia="Arial" w:hAnsi="Arial"/>
          <w:sz w:val="14"/>
          <w:szCs w:val="14"/>
          <w:color w:val="auto"/>
        </w:rPr>
      </w:pPr>
    </w:p>
    <w:p>
      <w:pPr>
        <w:ind w:left="760" w:right="60" w:hanging="332"/>
        <w:spacing w:after="0" w:line="250" w:lineRule="auto"/>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“At-Risk Returning Member Medical Benefit Ratio” means the Medical Benefit Ratio during the Measurement Period for Returning Members, excluding the Medical Benefit Ratio associated with Returning Members under global capitation arrangements. “Medical Benefit Ratio” means total medical expenses for the Measurement Period, excluding depreciation and equity-based compensation, divided by total revenues for the Measurement Period, in each case measured on an incurred basis for dates of service during the Measurement Period, subject to any adjustments deemed appropriate by the Committee. “Returning Member” means a member that was enrolled in any of the Company’s regulated health plans during the 2023 plan year. This metric excludes Medical Benefit Ratio related to the ACO REACH program.</w:t>
      </w:r>
    </w:p>
    <w:p>
      <w:pPr>
        <w:spacing w:after="0" w:line="87" w:lineRule="exact"/>
        <w:rPr>
          <w:rFonts w:ascii="Arial" w:cs="Arial" w:eastAsia="Arial" w:hAnsi="Arial"/>
          <w:sz w:val="14"/>
          <w:szCs w:val="14"/>
          <w:color w:val="auto"/>
        </w:rPr>
      </w:pPr>
    </w:p>
    <w:p>
      <w:pPr>
        <w:ind w:left="760" w:right="380" w:hanging="332"/>
        <w:spacing w:after="0" w:line="246" w:lineRule="auto"/>
        <w:tabs>
          <w:tab w:leader="none" w:pos="7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“Adjusted EBITDA” means net loss before interest expense, income taxes, depreciation and amortization expense, reorganization and transaction-related expenses, gains or losses from subleases and equity-based compensation expense for the Measurement Period, subject to any adjustments deemed appropriate by the Committee. “Capital Expenditures” means long-lived tangible assets used to create and distribute the entity’s services, as reflected in the Company’s financial statements, incurred during the Measurement Period, including without limitation (a) leasehold improvements, (b) computer equipment,</w:t>
      </w:r>
    </w:p>
    <w:p>
      <w:pPr>
        <w:spacing w:after="0" w:line="1" w:lineRule="exact"/>
        <w:rPr>
          <w:rFonts w:ascii="Arial" w:cs="Arial" w:eastAsia="Arial" w:hAnsi="Arial"/>
          <w:sz w:val="14"/>
          <w:szCs w:val="14"/>
          <w:color w:val="auto"/>
        </w:rPr>
      </w:pPr>
    </w:p>
    <w:p>
      <w:pPr>
        <w:ind w:left="760"/>
        <w:spacing w:after="0"/>
        <w:rPr>
          <w:rFonts w:ascii="Arial" w:cs="Arial" w:eastAsia="Arial" w:hAnsi="Arial"/>
          <w:sz w:val="14"/>
          <w:szCs w:val="14"/>
          <w:color w:val="auto"/>
        </w:rPr>
      </w:pPr>
      <w:r>
        <w:rPr>
          <w:rFonts w:ascii="Arial" w:cs="Arial" w:eastAsia="Arial" w:hAnsi="Arial"/>
          <w:sz w:val="14"/>
          <w:szCs w:val="14"/>
          <w:color w:val="auto"/>
        </w:rPr>
        <w:t>(c) furniture and fixtures and (d) capitalized software.</w:t>
      </w:r>
    </w:p>
    <w:p>
      <w:pPr>
        <w:spacing w:after="0" w:line="193"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8"/>
          <w:szCs w:val="18"/>
          <w:color w:val="auto"/>
        </w:rPr>
        <w:t>Following the completion of the Measurement Period, the Compensation Committee will certify the Company’s achievement of each of the performance metrics, as a percentage of the target established for each metric (the date of such certification, the “Certification Date”). If any financial metric is attained at a level above the threshold goal but below the target goal, or above the target goal but below the maximum goal, percentage achievement for such metric will be determined on a straight-line basis between the applicable goals. The Committee will then determine, based on the relative weighting of the performance metrics and the percentage achievement of each metric, the aggregated percentage achievement of the performance metrics. The number of PSUs that each NEO earns is determined by multiplying his or her target award by the aggregated percentage achievement of the performance metrics. Fifty percent (50%) of such total number of earned PSUs will become fully vested on or about March 1, 2025, subject to each NEO’s continued service to the Company through such date, and the remaining fifty percent (50%) of such earned PSUs will become vested as of December 31, 2025, subject to each NEO’s continued service to</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20"/>
          </w:cols>
          <w:pgMar w:left="440" w:top="296" w:right="439" w:bottom="1440" w:gutter="0" w:footer="0" w:header="0"/>
        </w:sectPr>
      </w:pPr>
    </w:p>
    <w:bookmarkStart w:id="60" w:name="page61"/>
    <w:bookmarkEnd w:id="60"/>
    <w:p>
      <w:pPr>
        <w:jc w:val="both"/>
        <w:ind w:right="2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Company through such date. Any PSUs that do not become earned and vested on such dates will be cancelled and forfeited for no consideration.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Other Compensation Matters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Alignment Healthcare, Inc. Clawback Policy</w:t>
      </w:r>
    </w:p>
    <w:p>
      <w:pPr>
        <w:spacing w:after="0" w:line="210" w:lineRule="exact"/>
        <w:rPr>
          <w:sz w:val="20"/>
          <w:szCs w:val="20"/>
          <w:color w:val="auto"/>
        </w:rPr>
      </w:pPr>
    </w:p>
    <w:p>
      <w:pPr>
        <w:jc w:val="both"/>
        <w:ind w:firstLine="440"/>
        <w:spacing w:after="0"/>
        <w:rPr>
          <w:sz w:val="20"/>
          <w:szCs w:val="20"/>
          <w:color w:val="auto"/>
        </w:rPr>
      </w:pPr>
      <w:r>
        <w:rPr>
          <w:rFonts w:ascii="Arial" w:cs="Arial" w:eastAsia="Arial" w:hAnsi="Arial"/>
          <w:sz w:val="18"/>
          <w:szCs w:val="18"/>
          <w:color w:val="auto"/>
        </w:rPr>
        <w:t>In October 2023, the Board of Directors adopted the Alignment Healthcare, Inc. Clawback Policy, which is designed to comply with Section 10D-1 of the Exchange Act and the applicable listing standards of the Nasdaq Stock Market. The Clawback Policy requires the Company to recoup any erroneously awarded incentive-based compensation received by certain executives, including each NEO, in the event the Company is required to prepare an accounting restatement due to material noncompliance with any financial reporting requirement under the federal securities laws. The Clawback Policy generally applies to all incentive-based compensation received by a covered executive during the three completed fiscal years immediately preceding the date that the Company is required to prepare a restatement after the policy’s effective date. The Clawback Policy is filed as an exhibit to the Company’s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Employment Agreements</w:t>
      </w:r>
    </w:p>
    <w:p>
      <w:pPr>
        <w:spacing w:after="0" w:line="210" w:lineRule="exact"/>
        <w:rPr>
          <w:sz w:val="20"/>
          <w:szCs w:val="20"/>
          <w:color w:val="auto"/>
        </w:rPr>
      </w:pPr>
    </w:p>
    <w:p>
      <w:pPr>
        <w:jc w:val="both"/>
        <w:ind w:right="20" w:firstLine="440"/>
        <w:spacing w:after="0" w:line="244" w:lineRule="auto"/>
        <w:rPr>
          <w:sz w:val="20"/>
          <w:szCs w:val="20"/>
          <w:color w:val="auto"/>
        </w:rPr>
      </w:pPr>
      <w:r>
        <w:rPr>
          <w:rFonts w:ascii="Arial" w:cs="Arial" w:eastAsia="Arial" w:hAnsi="Arial"/>
          <w:sz w:val="18"/>
          <w:szCs w:val="18"/>
          <w:color w:val="auto"/>
        </w:rPr>
        <w:t>The terms of the employment agreements applicable to each NEO are described under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Employment Agreements</w:t>
      </w:r>
      <w:r>
        <w:rPr>
          <w:rFonts w:ascii="Arial" w:cs="Arial" w:eastAsia="Arial" w:hAnsi="Arial"/>
          <w:sz w:val="18"/>
          <w:szCs w:val="18"/>
          <w:color w:val="auto"/>
        </w:rPr>
        <w:t>” below. In addition to the terms described therein, the employment agreements provide for certain severance</w:t>
      </w:r>
      <w:r>
        <w:rPr>
          <w:rFonts w:ascii="Arial" w:cs="Arial" w:eastAsia="Arial" w:hAnsi="Arial"/>
          <w:sz w:val="18"/>
          <w:szCs w:val="18"/>
          <w:i w:val="1"/>
          <w:iCs w:val="1"/>
          <w:color w:val="auto"/>
        </w:rPr>
        <w:t xml:space="preserve"> </w:t>
      </w:r>
      <w:r>
        <w:rPr>
          <w:rFonts w:ascii="Arial" w:cs="Arial" w:eastAsia="Arial" w:hAnsi="Arial"/>
          <w:sz w:val="18"/>
          <w:szCs w:val="18"/>
          <w:color w:val="auto"/>
        </w:rPr>
        <w:t>payments and benefits following a termination of employment under certain circumstances. For details on the severance payment and benefits under each NEO’s respective employment agreement and the 2021 Plan, see “</w:t>
      </w:r>
      <w:r>
        <w:rPr>
          <w:rFonts w:ascii="Arial" w:cs="Arial" w:eastAsia="Arial" w:hAnsi="Arial"/>
          <w:sz w:val="18"/>
          <w:szCs w:val="18"/>
          <w:i w:val="1"/>
          <w:iCs w:val="1"/>
          <w:color w:val="auto"/>
        </w:rPr>
        <w:t>Executive and Director Compensation—Potential</w:t>
      </w:r>
      <w:r>
        <w:rPr>
          <w:rFonts w:ascii="Arial" w:cs="Arial" w:eastAsia="Arial" w:hAnsi="Arial"/>
          <w:sz w:val="18"/>
          <w:szCs w:val="18"/>
          <w:color w:val="auto"/>
        </w:rPr>
        <w:t xml:space="preserve"> </w:t>
      </w:r>
      <w:r>
        <w:rPr>
          <w:rFonts w:ascii="Arial" w:cs="Arial" w:eastAsia="Arial" w:hAnsi="Arial"/>
          <w:sz w:val="18"/>
          <w:szCs w:val="18"/>
          <w:i w:val="1"/>
          <w:iCs w:val="1"/>
          <w:color w:val="auto"/>
        </w:rPr>
        <w:t>Payments Upon Termination or Change in Control</w:t>
      </w:r>
      <w:r>
        <w:rPr>
          <w:rFonts w:ascii="Arial" w:cs="Arial" w:eastAsia="Arial" w:hAnsi="Arial"/>
          <w:sz w:val="18"/>
          <w:szCs w:val="18"/>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Retirement Benefits</w:t>
      </w:r>
    </w:p>
    <w:p>
      <w:pPr>
        <w:spacing w:after="0" w:line="210" w:lineRule="exact"/>
        <w:rPr>
          <w:sz w:val="20"/>
          <w:szCs w:val="20"/>
          <w:color w:val="auto"/>
        </w:rPr>
      </w:pPr>
    </w:p>
    <w:p>
      <w:pPr>
        <w:jc w:val="both"/>
        <w:ind w:firstLine="440"/>
        <w:spacing w:after="0" w:line="239" w:lineRule="auto"/>
        <w:rPr>
          <w:sz w:val="20"/>
          <w:szCs w:val="20"/>
          <w:color w:val="auto"/>
        </w:rPr>
      </w:pPr>
      <w:r>
        <w:rPr>
          <w:rFonts w:ascii="Arial" w:cs="Arial" w:eastAsia="Arial" w:hAnsi="Arial"/>
          <w:sz w:val="18"/>
          <w:szCs w:val="18"/>
          <w:color w:val="auto"/>
        </w:rPr>
        <w:t>We maintain a tax-qualified retirement plan that provides all regular employees with an opportunity to save for retirement on a tax-efficient basis. Under our 401(k) plan, participants may elect to defer a portion of their compensation on a pre-tax or after-tax basis and have it contributed to the plan subject to applicable annual limits under the Code. The Company makes a matching contribution on 100% of employee deferrals up to 4% of the eligible employee’s compensation eligible for deferral. Contributions are allocated to each participant’s individual account and are then invested in selected investment alternatives according to the participants’ directions. Employee elective deferrals and matching contributions are 100% vested at all times. As a U.S. tax-qualified retirement plan, contributions to the 401(k) plan and earnings on those contributions are not taxable to the employees until distributed from the 401(k) plan and employer matching contributions are deductible by us when made. We do not maintain any defined benefit pension plans or any nonqualified deferred compensation plans.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Executive Benefits and Perquisites</w:t>
      </w:r>
    </w:p>
    <w:p>
      <w:pPr>
        <w:spacing w:after="0" w:line="210" w:lineRule="exact"/>
        <w:rPr>
          <w:sz w:val="20"/>
          <w:szCs w:val="20"/>
          <w:color w:val="auto"/>
        </w:rPr>
      </w:pPr>
    </w:p>
    <w:p>
      <w:pPr>
        <w:jc w:val="both"/>
        <w:ind w:right="20" w:firstLine="440"/>
        <w:spacing w:after="0" w:line="253" w:lineRule="auto"/>
        <w:rPr>
          <w:sz w:val="20"/>
          <w:szCs w:val="20"/>
          <w:color w:val="auto"/>
        </w:rPr>
      </w:pPr>
      <w:r>
        <w:rPr>
          <w:rFonts w:ascii="Arial" w:cs="Arial" w:eastAsia="Arial" w:hAnsi="Arial"/>
          <w:sz w:val="18"/>
          <w:szCs w:val="18"/>
          <w:color w:val="auto"/>
        </w:rPr>
        <w:t>The Company’s executive officers, including the NEOs, are eligible to participate in the benefit plans that are available to substantially all of the Company’s employees, including our 401(k) plan described above, medical, dental and life insurance plans and long-term disability plans. None of the NEOs participate in a defined benefit pension plan.</w:t>
      </w:r>
    </w:p>
    <w:p>
      <w:pPr>
        <w:spacing w:after="0" w:line="16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provide limited perquisites to our NEOs, including an internet stipend and reimbursement of business expenses.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4B6D97"/>
        </w:rPr>
        <w:t>Impact of Tax and Accounting</w:t>
      </w:r>
    </w:p>
    <w:p>
      <w:pPr>
        <w:spacing w:after="0" w:line="210" w:lineRule="exact"/>
        <w:rPr>
          <w:sz w:val="20"/>
          <w:szCs w:val="20"/>
          <w:color w:val="auto"/>
        </w:rPr>
      </w:pPr>
    </w:p>
    <w:p>
      <w:pPr>
        <w:jc w:val="both"/>
        <w:ind w:firstLine="440"/>
        <w:spacing w:after="0" w:line="253" w:lineRule="auto"/>
        <w:rPr>
          <w:sz w:val="20"/>
          <w:szCs w:val="20"/>
          <w:color w:val="auto"/>
        </w:rPr>
      </w:pPr>
      <w:r>
        <w:rPr>
          <w:rFonts w:ascii="Arial" w:cs="Arial" w:eastAsia="Arial" w:hAnsi="Arial"/>
          <w:sz w:val="18"/>
          <w:szCs w:val="18"/>
          <w:color w:val="auto"/>
        </w:rPr>
        <w:t>We regularly consider the various tax and accounting implications of our compensation plans. When determining the amount of long-term incentives and equity grants to executives and employees, the compensation costs associated with the grants are reviewed, as required by FASB ASC Topic 718.</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20"/>
          </w:cols>
          <w:pgMar w:left="440" w:top="296" w:right="439" w:bottom="1440" w:gutter="0" w:footer="0" w:header="0"/>
        </w:sectPr>
      </w:pPr>
    </w:p>
    <w:bookmarkStart w:id="61" w:name="page62"/>
    <w:bookmarkEnd w:id="61"/>
    <w:p>
      <w:pPr>
        <w:jc w:val="both"/>
        <w:ind w:right="2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While considering tax deductibility as only one of several considerations in determining compensation, the Committee believes that the tax deduction limitation should not compromise its ability to structure compensation programs that provide benefits to the Company that outweigh the potential benefit of a tax deduction and, therefore, may approve compensation that is not deductible for tax purposes.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Compensation Committee Report</w:t>
      </w:r>
    </w:p>
    <w:p>
      <w:pPr>
        <w:spacing w:after="0" w:line="212"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8"/>
          <w:szCs w:val="18"/>
          <w:color w:val="auto"/>
        </w:rPr>
        <w:t>The Compensation Committee has reviewed and discussed the “Compensation Discussion and Analysis” contained in this proxy statement with management. Based on its review and discussions, the Compensation Committee recommended to the Board that the “Compensation Discussion and Analysis” be included in this proxy statement and incorporated by reference into the Company’s Annual Report on Form 10-K for the year ended December 31, 2023.</w:t>
      </w:r>
    </w:p>
    <w:p>
      <w:pPr>
        <w:spacing w:after="0" w:line="20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The Compensation Committee:</w:t>
      </w:r>
    </w:p>
    <w:p>
      <w:pPr>
        <w:spacing w:after="0" w:line="10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Robbert Vorhoff, Chairman</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Thomas Carella</w:t>
      </w:r>
    </w:p>
    <w:p>
      <w:pPr>
        <w:ind w:left="6620"/>
        <w:spacing w:after="0"/>
        <w:rPr>
          <w:sz w:val="20"/>
          <w:szCs w:val="20"/>
          <w:color w:val="auto"/>
        </w:rPr>
      </w:pPr>
      <w:r>
        <w:rPr>
          <w:rFonts w:ascii="Arial" w:cs="Arial" w:eastAsia="Arial" w:hAnsi="Arial"/>
          <w:sz w:val="18"/>
          <w:szCs w:val="18"/>
          <w:color w:val="auto"/>
        </w:rPr>
        <w:t>Jacqueline Kosecoff</w:t>
      </w:r>
    </w:p>
    <w:p>
      <w:pPr>
        <w:spacing w:after="0" w:line="1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440" w:top="296" w:right="439" w:bottom="1440" w:gutter="0" w:footer="0" w:header="0"/>
        </w:sectPr>
      </w:pPr>
    </w:p>
    <w:bookmarkStart w:id="62" w:name="page63"/>
    <w:bookmarkEnd w:id="62"/>
    <w:p>
      <w:pPr>
        <w:jc w:val="center"/>
        <w:ind w:right="-3"/>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EXECUTIVE AND DIRECTOR COMPENSATION</w:t>
      </w:r>
    </w:p>
    <w:p>
      <w:pPr>
        <w:spacing w:after="0" w:line="214" w:lineRule="exact"/>
        <w:rPr>
          <w:sz w:val="20"/>
          <w:szCs w:val="20"/>
          <w:color w:val="auto"/>
        </w:rPr>
      </w:pPr>
    </w:p>
    <w:p>
      <w:pPr>
        <w:ind w:left="4" w:right="160" w:firstLine="440"/>
        <w:spacing w:after="0" w:line="243" w:lineRule="auto"/>
        <w:rPr>
          <w:sz w:val="20"/>
          <w:szCs w:val="20"/>
          <w:color w:val="auto"/>
        </w:rPr>
      </w:pPr>
      <w:r>
        <w:rPr>
          <w:rFonts w:ascii="Arial" w:cs="Arial" w:eastAsia="Arial" w:hAnsi="Arial"/>
          <w:sz w:val="18"/>
          <w:szCs w:val="18"/>
          <w:i w:val="1"/>
          <w:iCs w:val="1"/>
          <w:color w:val="auto"/>
        </w:rPr>
        <w:t>Unless we state otherwise or the context otherwise requires, in this “Executive and Director Compensation” section the terms “Alignment,” “we,” “us,” “our” and the “Company” refer to Alignment Healthcare Holdings, LLC for the period up to our IPO, and for all periods following our IPO in March 2021, to Alignment Healthcare, Inc. “Alignment Partners” refers to Alignment Healthcare Partners, LP, a Delaware limited partnership, which, prior to the reorganization undertaken in connection with the IPO, was the sole member of Alignment Healthcare Holdings, LLC.</w:t>
      </w:r>
    </w:p>
    <w:p>
      <w:pPr>
        <w:spacing w:after="0" w:line="179" w:lineRule="exact"/>
        <w:rPr>
          <w:sz w:val="20"/>
          <w:szCs w:val="20"/>
          <w:color w:val="auto"/>
        </w:rPr>
      </w:pPr>
    </w:p>
    <w:p>
      <w:pPr>
        <w:ind w:left="4" w:right="160" w:firstLine="440"/>
        <w:spacing w:after="0" w:line="244" w:lineRule="auto"/>
        <w:rPr>
          <w:sz w:val="20"/>
          <w:szCs w:val="20"/>
          <w:color w:val="auto"/>
        </w:rPr>
      </w:pPr>
      <w:r>
        <w:rPr>
          <w:rFonts w:ascii="Arial" w:cs="Arial" w:eastAsia="Arial" w:hAnsi="Arial"/>
          <w:sz w:val="18"/>
          <w:szCs w:val="18"/>
          <w:color w:val="auto"/>
        </w:rPr>
        <w:t>This section discusses the material components of the executive compensation program for our Chief Executive Officer, Chief Financial Officer and our three other most highly compensated officers as of December 31, 2023, who we refer to as our “Named Executive Officers” or “NEOs.” This discussion may contain forward-looking statements that are based on our current plans, considerations, expectations and determinations regarding future compensation programs. Actual compensation programs that we adopt in the future may differ materially from the currently planned programs summarized in this discussion.</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F497D"/>
        </w:rPr>
        <w:t>Summary Compensation Table</w:t>
      </w:r>
    </w:p>
    <w:p>
      <w:pPr>
        <w:spacing w:after="0" w:line="212" w:lineRule="exact"/>
        <w:rPr>
          <w:sz w:val="20"/>
          <w:szCs w:val="20"/>
          <w:color w:val="auto"/>
        </w:rPr>
      </w:pPr>
    </w:p>
    <w:p>
      <w:pPr>
        <w:ind w:left="4" w:right="180" w:firstLine="440"/>
        <w:spacing w:after="0" w:line="271" w:lineRule="auto"/>
        <w:rPr>
          <w:sz w:val="20"/>
          <w:szCs w:val="20"/>
          <w:color w:val="auto"/>
        </w:rPr>
      </w:pPr>
      <w:r>
        <w:rPr>
          <w:rFonts w:ascii="Arial" w:cs="Arial" w:eastAsia="Arial" w:hAnsi="Arial"/>
          <w:sz w:val="18"/>
          <w:szCs w:val="18"/>
          <w:color w:val="auto"/>
        </w:rPr>
        <w:t>The following table presents summary information regarding the total compensation awarded to, earned by, and paid to our Named Executive Officers for the fiscal years ending December 31, 2023, December 31, 2022, and December 31, 2021, as applicable.</w:t>
      </w:r>
    </w:p>
    <w:p>
      <w:pPr>
        <w:spacing w:after="0" w:line="167" w:lineRule="exact"/>
        <w:rPr>
          <w:sz w:val="20"/>
          <w:szCs w:val="20"/>
          <w:color w:val="auto"/>
        </w:rPr>
      </w:pPr>
    </w:p>
    <w:tbl>
      <w:tblPr>
        <w:tblLayout w:type="fixed"/>
        <w:tblInd w:w="4"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0" w:type="dxa"/>
            <w:vAlign w:val="bottom"/>
          </w:tcPr>
          <w:p>
            <w:pPr>
              <w:jc w:val="center"/>
              <w:ind w:right="78"/>
              <w:spacing w:after="0"/>
              <w:rPr>
                <w:sz w:val="20"/>
                <w:szCs w:val="20"/>
                <w:color w:val="auto"/>
              </w:rPr>
            </w:pPr>
            <w:r>
              <w:rPr>
                <w:rFonts w:ascii="Arial" w:cs="Arial" w:eastAsia="Arial" w:hAnsi="Arial"/>
                <w:sz w:val="13"/>
                <w:szCs w:val="13"/>
                <w:color w:val="auto"/>
                <w:w w:val="96"/>
              </w:rPr>
              <w:t>Non-Equity</w:t>
            </w:r>
          </w:p>
        </w:tc>
        <w:tc>
          <w:tcPr>
            <w:tcW w:w="1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0" w:type="dxa"/>
            <w:vAlign w:val="bottom"/>
            <w:vMerge w:val="restart"/>
          </w:tcPr>
          <w:p>
            <w:pPr>
              <w:jc w:val="center"/>
              <w:ind w:right="219"/>
              <w:spacing w:after="0"/>
              <w:rPr>
                <w:sz w:val="20"/>
                <w:szCs w:val="20"/>
                <w:color w:val="auto"/>
              </w:rPr>
            </w:pPr>
            <w:r>
              <w:rPr>
                <w:rFonts w:ascii="Arial" w:cs="Arial" w:eastAsia="Arial" w:hAnsi="Arial"/>
                <w:sz w:val="13"/>
                <w:szCs w:val="13"/>
                <w:color w:val="auto"/>
                <w:w w:val="98"/>
              </w:rPr>
              <w:t>Stock</w:t>
            </w:r>
          </w:p>
        </w:tc>
        <w:tc>
          <w:tcPr>
            <w:tcW w:w="1140" w:type="dxa"/>
            <w:vAlign w:val="bottom"/>
            <w:vMerge w:val="restart"/>
          </w:tcPr>
          <w:p>
            <w:pPr>
              <w:jc w:val="center"/>
              <w:ind w:right="139"/>
              <w:spacing w:after="0"/>
              <w:rPr>
                <w:sz w:val="20"/>
                <w:szCs w:val="20"/>
                <w:color w:val="auto"/>
              </w:rPr>
            </w:pPr>
            <w:r>
              <w:rPr>
                <w:rFonts w:ascii="Arial" w:cs="Arial" w:eastAsia="Arial" w:hAnsi="Arial"/>
                <w:sz w:val="13"/>
                <w:szCs w:val="13"/>
                <w:color w:val="auto"/>
                <w:w w:val="99"/>
              </w:rPr>
              <w:t>Option</w:t>
            </w:r>
          </w:p>
        </w:tc>
        <w:tc>
          <w:tcPr>
            <w:tcW w:w="1200" w:type="dxa"/>
            <w:vAlign w:val="bottom"/>
          </w:tcPr>
          <w:p>
            <w:pPr>
              <w:jc w:val="center"/>
              <w:ind w:right="78"/>
              <w:spacing w:after="0" w:line="135" w:lineRule="exact"/>
              <w:rPr>
                <w:sz w:val="20"/>
                <w:szCs w:val="20"/>
                <w:color w:val="auto"/>
              </w:rPr>
            </w:pPr>
            <w:r>
              <w:rPr>
                <w:rFonts w:ascii="Arial" w:cs="Arial" w:eastAsia="Arial" w:hAnsi="Arial"/>
                <w:sz w:val="13"/>
                <w:szCs w:val="13"/>
                <w:color w:val="auto"/>
                <w:w w:val="95"/>
              </w:rPr>
              <w:t>Incentive Plan</w:t>
            </w:r>
          </w:p>
        </w:tc>
        <w:tc>
          <w:tcPr>
            <w:tcW w:w="1320" w:type="dxa"/>
            <w:vAlign w:val="bottom"/>
          </w:tcPr>
          <w:p>
            <w:pPr>
              <w:jc w:val="right"/>
              <w:ind w:right="479"/>
              <w:spacing w:after="0" w:line="135" w:lineRule="exact"/>
              <w:rPr>
                <w:sz w:val="20"/>
                <w:szCs w:val="20"/>
                <w:color w:val="auto"/>
              </w:rPr>
            </w:pPr>
            <w:r>
              <w:rPr>
                <w:rFonts w:ascii="Arial" w:cs="Arial" w:eastAsia="Arial" w:hAnsi="Arial"/>
                <w:sz w:val="13"/>
                <w:szCs w:val="13"/>
                <w:color w:val="auto"/>
              </w:rPr>
              <w:t>All Other</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20" w:type="dxa"/>
            <w:vAlign w:val="bottom"/>
            <w:vMerge w:val="restart"/>
          </w:tcPr>
          <w:p>
            <w:pPr>
              <w:ind w:left="260"/>
              <w:spacing w:after="0"/>
              <w:rPr>
                <w:sz w:val="20"/>
                <w:szCs w:val="20"/>
                <w:color w:val="auto"/>
              </w:rPr>
            </w:pPr>
            <w:r>
              <w:rPr>
                <w:rFonts w:ascii="Arial" w:cs="Arial" w:eastAsia="Arial" w:hAnsi="Arial"/>
                <w:sz w:val="5"/>
                <w:szCs w:val="5"/>
                <w:color w:val="auto"/>
                <w:w w:val="79"/>
              </w:rPr>
              <w:t> </w:t>
            </w:r>
          </w:p>
        </w:tc>
        <w:tc>
          <w:tcPr>
            <w:tcW w:w="1060" w:type="dxa"/>
            <w:vAlign w:val="bottom"/>
            <w:vMerge w:val="restart"/>
          </w:tcPr>
          <w:p>
            <w:pPr>
              <w:jc w:val="right"/>
              <w:ind w:right="297"/>
              <w:spacing w:after="0"/>
              <w:rPr>
                <w:sz w:val="20"/>
                <w:szCs w:val="20"/>
                <w:color w:val="auto"/>
              </w:rPr>
            </w:pPr>
            <w:r>
              <w:rPr>
                <w:rFonts w:ascii="Arial" w:cs="Arial" w:eastAsia="Arial" w:hAnsi="Arial"/>
                <w:sz w:val="13"/>
                <w:szCs w:val="13"/>
                <w:color w:val="auto"/>
                <w:w w:val="96"/>
              </w:rPr>
              <w:t xml:space="preserve">   Salary    </w:t>
            </w:r>
          </w:p>
        </w:tc>
        <w:tc>
          <w:tcPr>
            <w:tcW w:w="1260" w:type="dxa"/>
            <w:vAlign w:val="bottom"/>
            <w:vMerge w:val="restart"/>
          </w:tcPr>
          <w:p>
            <w:pPr>
              <w:jc w:val="right"/>
              <w:ind w:right="497"/>
              <w:spacing w:after="0"/>
              <w:rPr>
                <w:sz w:val="20"/>
                <w:szCs w:val="20"/>
                <w:color w:val="auto"/>
              </w:rPr>
            </w:pPr>
            <w:r>
              <w:rPr>
                <w:rFonts w:ascii="Arial" w:cs="Arial" w:eastAsia="Arial" w:hAnsi="Arial"/>
                <w:sz w:val="13"/>
                <w:szCs w:val="13"/>
                <w:color w:val="auto"/>
              </w:rPr>
              <w:t>Bonus</w:t>
            </w:r>
          </w:p>
        </w:tc>
        <w:tc>
          <w:tcPr>
            <w:tcW w:w="120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00" w:type="dxa"/>
            <w:vAlign w:val="bottom"/>
          </w:tcPr>
          <w:p>
            <w:pPr>
              <w:jc w:val="center"/>
              <w:ind w:right="78"/>
              <w:spacing w:after="0" w:line="126" w:lineRule="exact"/>
              <w:rPr>
                <w:sz w:val="20"/>
                <w:szCs w:val="20"/>
                <w:color w:val="auto"/>
              </w:rPr>
            </w:pPr>
            <w:r>
              <w:rPr>
                <w:rFonts w:ascii="Arial" w:cs="Arial" w:eastAsia="Arial" w:hAnsi="Arial"/>
                <w:sz w:val="13"/>
                <w:szCs w:val="13"/>
                <w:color w:val="auto"/>
                <w:w w:val="97"/>
              </w:rPr>
              <w:t>Compensation</w:t>
            </w:r>
          </w:p>
        </w:tc>
        <w:tc>
          <w:tcPr>
            <w:tcW w:w="1320" w:type="dxa"/>
            <w:vAlign w:val="bottom"/>
          </w:tcPr>
          <w:p>
            <w:pPr>
              <w:jc w:val="right"/>
              <w:ind w:right="319"/>
              <w:spacing w:after="0" w:line="126" w:lineRule="exact"/>
              <w:rPr>
                <w:sz w:val="20"/>
                <w:szCs w:val="20"/>
                <w:color w:val="auto"/>
              </w:rPr>
            </w:pPr>
            <w:r>
              <w:rPr>
                <w:rFonts w:ascii="Arial" w:cs="Arial" w:eastAsia="Arial" w:hAnsi="Arial"/>
                <w:sz w:val="13"/>
                <w:szCs w:val="13"/>
                <w:color w:val="auto"/>
              </w:rPr>
              <w:t>Compensation</w:t>
            </w:r>
          </w:p>
        </w:tc>
        <w:tc>
          <w:tcPr>
            <w:tcW w:w="880" w:type="dxa"/>
            <w:vAlign w:val="bottom"/>
            <w:gridSpan w:val="2"/>
            <w:vMerge w:val="restart"/>
          </w:tcPr>
          <w:p>
            <w:pPr>
              <w:ind w:left="220"/>
              <w:spacing w:after="0"/>
              <w:rPr>
                <w:sz w:val="20"/>
                <w:szCs w:val="20"/>
                <w:color w:val="auto"/>
              </w:rPr>
            </w:pPr>
            <w:r>
              <w:rPr>
                <w:rFonts w:ascii="Arial" w:cs="Arial" w:eastAsia="Arial" w:hAnsi="Arial"/>
                <w:sz w:val="13"/>
                <w:szCs w:val="13"/>
                <w:color w:val="auto"/>
              </w:rPr>
              <w:t>Total</w:t>
            </w:r>
          </w:p>
        </w:tc>
        <w:tc>
          <w:tcPr>
            <w:tcW w:w="0" w:type="dxa"/>
            <w:vAlign w:val="bottom"/>
          </w:tcPr>
          <w:p>
            <w:pPr>
              <w:spacing w:after="0"/>
              <w:rPr>
                <w:sz w:val="1"/>
                <w:szCs w:val="1"/>
                <w:color w:val="auto"/>
              </w:rPr>
            </w:pPr>
          </w:p>
        </w:tc>
      </w:tr>
      <w:tr>
        <w:trPr>
          <w:trHeight w:val="108"/>
        </w:trPr>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6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200" w:type="dxa"/>
            <w:vAlign w:val="bottom"/>
          </w:tcPr>
          <w:p>
            <w:pPr>
              <w:jc w:val="center"/>
              <w:ind w:right="199"/>
              <w:spacing w:after="0" w:line="108" w:lineRule="exact"/>
              <w:rPr>
                <w:sz w:val="20"/>
                <w:szCs w:val="20"/>
                <w:color w:val="auto"/>
              </w:rPr>
            </w:pPr>
            <w:r>
              <w:rPr>
                <w:rFonts w:ascii="Arial" w:cs="Arial" w:eastAsia="Arial" w:hAnsi="Arial"/>
                <w:sz w:val="9"/>
                <w:szCs w:val="9"/>
                <w:color w:val="auto"/>
              </w:rPr>
              <w:t>Awards</w:t>
            </w:r>
            <w:r>
              <w:rPr>
                <w:rFonts w:ascii="Arial" w:cs="Arial" w:eastAsia="Arial" w:hAnsi="Arial"/>
                <w:sz w:val="12"/>
                <w:szCs w:val="12"/>
                <w:color w:val="auto"/>
                <w:vertAlign w:val="superscript"/>
              </w:rPr>
              <w:t>(2)</w:t>
            </w:r>
          </w:p>
        </w:tc>
        <w:tc>
          <w:tcPr>
            <w:tcW w:w="1140" w:type="dxa"/>
            <w:vAlign w:val="bottom"/>
          </w:tcPr>
          <w:p>
            <w:pPr>
              <w:jc w:val="center"/>
              <w:ind w:right="139"/>
              <w:spacing w:after="0" w:line="108" w:lineRule="exact"/>
              <w:rPr>
                <w:sz w:val="20"/>
                <w:szCs w:val="20"/>
                <w:color w:val="auto"/>
              </w:rPr>
            </w:pPr>
            <w:r>
              <w:rPr>
                <w:rFonts w:ascii="Arial" w:cs="Arial" w:eastAsia="Arial" w:hAnsi="Arial"/>
                <w:sz w:val="9"/>
                <w:szCs w:val="9"/>
                <w:color w:val="auto"/>
              </w:rPr>
              <w:t>Awards</w:t>
            </w:r>
            <w:r>
              <w:rPr>
                <w:rFonts w:ascii="Arial" w:cs="Arial" w:eastAsia="Arial" w:hAnsi="Arial"/>
                <w:sz w:val="12"/>
                <w:szCs w:val="12"/>
                <w:color w:val="auto"/>
                <w:vertAlign w:val="superscript"/>
              </w:rPr>
              <w:t>(3)</w:t>
            </w:r>
          </w:p>
        </w:tc>
        <w:tc>
          <w:tcPr>
            <w:tcW w:w="1200" w:type="dxa"/>
            <w:vAlign w:val="bottom"/>
          </w:tcPr>
          <w:p>
            <w:pPr>
              <w:jc w:val="right"/>
              <w:ind w:right="558"/>
              <w:spacing w:after="0"/>
              <w:rPr>
                <w:sz w:val="20"/>
                <w:szCs w:val="20"/>
                <w:color w:val="auto"/>
              </w:rPr>
            </w:pPr>
            <w:r>
              <w:rPr>
                <w:rFonts w:ascii="Arial" w:cs="Arial" w:eastAsia="Arial" w:hAnsi="Arial"/>
                <w:sz w:val="9"/>
                <w:szCs w:val="9"/>
                <w:color w:val="auto"/>
              </w:rPr>
              <w:t>(4)</w:t>
            </w:r>
          </w:p>
        </w:tc>
        <w:tc>
          <w:tcPr>
            <w:tcW w:w="1320" w:type="dxa"/>
            <w:vAlign w:val="bottom"/>
          </w:tcPr>
          <w:p>
            <w:pPr>
              <w:jc w:val="right"/>
              <w:ind w:right="679"/>
              <w:spacing w:after="0"/>
              <w:rPr>
                <w:sz w:val="20"/>
                <w:szCs w:val="20"/>
                <w:color w:val="auto"/>
              </w:rPr>
            </w:pPr>
            <w:r>
              <w:rPr>
                <w:rFonts w:ascii="Arial" w:cs="Arial" w:eastAsia="Arial" w:hAnsi="Arial"/>
                <w:sz w:val="9"/>
                <w:szCs w:val="9"/>
                <w:color w:val="auto"/>
              </w:rPr>
              <w:t>(5)</w:t>
            </w: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80" w:type="dxa"/>
            <w:vAlign w:val="bottom"/>
            <w:tcBorders>
              <w:bottom w:val="single" w:sz="8" w:color="95B3D7"/>
            </w:tcBorders>
          </w:tcPr>
          <w:p>
            <w:pPr>
              <w:spacing w:after="0"/>
              <w:rPr>
                <w:sz w:val="14"/>
                <w:szCs w:val="14"/>
                <w:color w:val="auto"/>
              </w:rPr>
            </w:pPr>
          </w:p>
        </w:tc>
        <w:tc>
          <w:tcPr>
            <w:tcW w:w="1360" w:type="dxa"/>
            <w:vAlign w:val="bottom"/>
            <w:tcBorders>
              <w:bottom w:val="single" w:sz="8" w:color="95B3D7"/>
            </w:tcBorders>
          </w:tcPr>
          <w:p>
            <w:pPr>
              <w:spacing w:after="0"/>
              <w:rPr>
                <w:sz w:val="14"/>
                <w:szCs w:val="14"/>
                <w:color w:val="auto"/>
              </w:rPr>
            </w:pPr>
          </w:p>
        </w:tc>
        <w:tc>
          <w:tcPr>
            <w:tcW w:w="560" w:type="dxa"/>
            <w:vAlign w:val="bottom"/>
            <w:tcBorders>
              <w:bottom w:val="single" w:sz="8" w:color="95B3D7"/>
            </w:tcBorders>
          </w:tcPr>
          <w:p>
            <w:pPr>
              <w:ind w:left="360"/>
              <w:spacing w:after="0"/>
              <w:rPr>
                <w:sz w:val="20"/>
                <w:szCs w:val="20"/>
                <w:color w:val="auto"/>
              </w:rPr>
            </w:pPr>
            <w:r>
              <w:rPr>
                <w:rFonts w:ascii="Arial" w:cs="Arial" w:eastAsia="Arial" w:hAnsi="Arial"/>
                <w:sz w:val="13"/>
                <w:szCs w:val="13"/>
                <w:color w:val="auto"/>
              </w:rPr>
              <w:t xml:space="preserve">    </w:t>
            </w:r>
          </w:p>
        </w:tc>
        <w:tc>
          <w:tcPr>
            <w:tcW w:w="980" w:type="dxa"/>
            <w:vAlign w:val="bottom"/>
            <w:tcBorders>
              <w:bottom w:val="single" w:sz="8" w:color="95B3D7"/>
            </w:tcBorders>
            <w:gridSpan w:val="2"/>
          </w:tcPr>
          <w:p>
            <w:pPr>
              <w:ind w:left="60"/>
              <w:spacing w:after="0"/>
              <w:rPr>
                <w:sz w:val="20"/>
                <w:szCs w:val="20"/>
                <w:color w:val="auto"/>
              </w:rPr>
            </w:pPr>
            <w:r>
              <w:rPr>
                <w:rFonts w:ascii="Arial" w:cs="Arial" w:eastAsia="Arial" w:hAnsi="Arial"/>
                <w:sz w:val="13"/>
                <w:szCs w:val="13"/>
                <w:color w:val="auto"/>
              </w:rPr>
              <w:t>   Year</w:t>
            </w:r>
          </w:p>
        </w:tc>
        <w:tc>
          <w:tcPr>
            <w:tcW w:w="1060" w:type="dxa"/>
            <w:vAlign w:val="bottom"/>
            <w:tcBorders>
              <w:bottom w:val="single" w:sz="8" w:color="95B3D7"/>
            </w:tcBorders>
          </w:tcPr>
          <w:p>
            <w:pPr>
              <w:jc w:val="right"/>
              <w:ind w:right="397"/>
              <w:spacing w:after="0"/>
              <w:rPr>
                <w:sz w:val="20"/>
                <w:szCs w:val="20"/>
                <w:color w:val="auto"/>
              </w:rPr>
            </w:pPr>
            <w:r>
              <w:rPr>
                <w:rFonts w:ascii="Arial" w:cs="Arial" w:eastAsia="Arial" w:hAnsi="Arial"/>
                <w:sz w:val="13"/>
                <w:szCs w:val="13"/>
                <w:color w:val="auto"/>
              </w:rPr>
              <w:t xml:space="preserve">      ($)    </w:t>
            </w:r>
          </w:p>
        </w:tc>
        <w:tc>
          <w:tcPr>
            <w:tcW w:w="1260" w:type="dxa"/>
            <w:vAlign w:val="bottom"/>
            <w:tcBorders>
              <w:bottom w:val="single" w:sz="8" w:color="95B3D7"/>
            </w:tcBorders>
          </w:tcPr>
          <w:p>
            <w:pPr>
              <w:jc w:val="right"/>
              <w:ind w:right="537"/>
              <w:spacing w:after="0" w:line="162" w:lineRule="exact"/>
              <w:rPr>
                <w:sz w:val="20"/>
                <w:szCs w:val="20"/>
                <w:color w:val="auto"/>
              </w:rPr>
            </w:pPr>
            <w:r>
              <w:rPr>
                <w:rFonts w:ascii="Arial" w:cs="Arial" w:eastAsia="Arial" w:hAnsi="Arial"/>
                <w:sz w:val="13"/>
                <w:szCs w:val="13"/>
                <w:color w:val="auto"/>
              </w:rPr>
              <w:t>($)</w:t>
            </w:r>
            <w:r>
              <w:rPr>
                <w:rFonts w:ascii="Arial" w:cs="Arial" w:eastAsia="Arial" w:hAnsi="Arial"/>
                <w:sz w:val="18"/>
                <w:szCs w:val="18"/>
                <w:color w:val="auto"/>
                <w:vertAlign w:val="superscript"/>
              </w:rPr>
              <w:t>(1)</w:t>
            </w:r>
          </w:p>
        </w:tc>
        <w:tc>
          <w:tcPr>
            <w:tcW w:w="1200" w:type="dxa"/>
            <w:vAlign w:val="bottom"/>
            <w:tcBorders>
              <w:bottom w:val="single" w:sz="8" w:color="95B3D7"/>
            </w:tcBorders>
          </w:tcPr>
          <w:p>
            <w:pPr>
              <w:jc w:val="center"/>
              <w:ind w:right="199"/>
              <w:spacing w:after="0"/>
              <w:rPr>
                <w:sz w:val="20"/>
                <w:szCs w:val="20"/>
                <w:color w:val="auto"/>
              </w:rPr>
            </w:pPr>
            <w:r>
              <w:rPr>
                <w:rFonts w:ascii="Arial" w:cs="Arial" w:eastAsia="Arial" w:hAnsi="Arial"/>
                <w:sz w:val="13"/>
                <w:szCs w:val="13"/>
                <w:color w:val="auto"/>
                <w:w w:val="87"/>
              </w:rPr>
              <w:t>($)</w:t>
            </w:r>
          </w:p>
        </w:tc>
        <w:tc>
          <w:tcPr>
            <w:tcW w:w="1140" w:type="dxa"/>
            <w:vAlign w:val="bottom"/>
            <w:tcBorders>
              <w:bottom w:val="single" w:sz="8" w:color="95B3D7"/>
            </w:tcBorders>
          </w:tcPr>
          <w:p>
            <w:pPr>
              <w:jc w:val="center"/>
              <w:ind w:right="139"/>
              <w:spacing w:after="0"/>
              <w:rPr>
                <w:sz w:val="20"/>
                <w:szCs w:val="20"/>
                <w:color w:val="auto"/>
              </w:rPr>
            </w:pPr>
            <w:r>
              <w:rPr>
                <w:rFonts w:ascii="Arial" w:cs="Arial" w:eastAsia="Arial" w:hAnsi="Arial"/>
                <w:sz w:val="13"/>
                <w:szCs w:val="13"/>
                <w:color w:val="auto"/>
                <w:w w:val="87"/>
              </w:rPr>
              <w:t>($)</w:t>
            </w:r>
          </w:p>
        </w:tc>
        <w:tc>
          <w:tcPr>
            <w:tcW w:w="1200" w:type="dxa"/>
            <w:vAlign w:val="bottom"/>
            <w:tcBorders>
              <w:bottom w:val="single" w:sz="8" w:color="95B3D7"/>
            </w:tcBorders>
          </w:tcPr>
          <w:p>
            <w:pPr>
              <w:jc w:val="right"/>
              <w:ind w:right="538"/>
              <w:spacing w:after="0"/>
              <w:rPr>
                <w:sz w:val="20"/>
                <w:szCs w:val="20"/>
                <w:color w:val="auto"/>
              </w:rPr>
            </w:pPr>
            <w:r>
              <w:rPr>
                <w:rFonts w:ascii="Arial" w:cs="Arial" w:eastAsia="Arial" w:hAnsi="Arial"/>
                <w:sz w:val="13"/>
                <w:szCs w:val="13"/>
                <w:color w:val="auto"/>
              </w:rPr>
              <w:t>($)</w:t>
            </w:r>
          </w:p>
        </w:tc>
        <w:tc>
          <w:tcPr>
            <w:tcW w:w="1320" w:type="dxa"/>
            <w:vAlign w:val="bottom"/>
            <w:tcBorders>
              <w:bottom w:val="single" w:sz="8" w:color="95B3D7"/>
            </w:tcBorders>
          </w:tcPr>
          <w:p>
            <w:pPr>
              <w:jc w:val="right"/>
              <w:ind w:right="659"/>
              <w:spacing w:after="0"/>
              <w:rPr>
                <w:sz w:val="20"/>
                <w:szCs w:val="20"/>
                <w:color w:val="auto"/>
              </w:rPr>
            </w:pPr>
            <w:r>
              <w:rPr>
                <w:rFonts w:ascii="Arial" w:cs="Arial" w:eastAsia="Arial" w:hAnsi="Arial"/>
                <w:sz w:val="13"/>
                <w:szCs w:val="13"/>
                <w:color w:val="auto"/>
              </w:rPr>
              <w:t>($)</w:t>
            </w:r>
          </w:p>
        </w:tc>
        <w:tc>
          <w:tcPr>
            <w:tcW w:w="860" w:type="dxa"/>
            <w:vAlign w:val="bottom"/>
            <w:tcBorders>
              <w:bottom w:val="single" w:sz="8" w:color="95B3D7"/>
            </w:tcBorders>
          </w:tcPr>
          <w:p>
            <w:pPr>
              <w:jc w:val="right"/>
              <w:ind w:right="357"/>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1440" w:type="dxa"/>
            <w:vAlign w:val="bottom"/>
            <w:gridSpan w:val="2"/>
            <w:shd w:val="clear" w:color="auto" w:fill="DBE5F1"/>
          </w:tcPr>
          <w:p>
            <w:pPr>
              <w:spacing w:after="0" w:line="124" w:lineRule="exact"/>
              <w:rPr>
                <w:sz w:val="20"/>
                <w:szCs w:val="20"/>
                <w:color w:val="auto"/>
              </w:rPr>
            </w:pPr>
            <w:r>
              <w:rPr>
                <w:rFonts w:ascii="Arial" w:cs="Arial" w:eastAsia="Arial" w:hAnsi="Arial"/>
                <w:sz w:val="13"/>
                <w:szCs w:val="13"/>
                <w:b w:val="1"/>
                <w:bCs w:val="1"/>
                <w:color w:val="auto"/>
              </w:rPr>
              <w:t>  John Kao</w:t>
            </w:r>
          </w:p>
        </w:tc>
        <w:tc>
          <w:tcPr>
            <w:tcW w:w="560" w:type="dxa"/>
            <w:vAlign w:val="bottom"/>
            <w:shd w:val="clear" w:color="auto" w:fill="DBE5F1"/>
          </w:tcPr>
          <w:p>
            <w:pPr>
              <w:spacing w:after="0"/>
              <w:rPr>
                <w:sz w:val="10"/>
                <w:szCs w:val="10"/>
                <w:color w:val="auto"/>
              </w:rPr>
            </w:pPr>
          </w:p>
        </w:tc>
        <w:tc>
          <w:tcPr>
            <w:tcW w:w="980" w:type="dxa"/>
            <w:vAlign w:val="bottom"/>
            <w:gridSpan w:val="2"/>
            <w:shd w:val="clear" w:color="auto" w:fill="DBE5F1"/>
          </w:tcPr>
          <w:p>
            <w:pPr>
              <w:ind w:left="380"/>
              <w:spacing w:after="0" w:line="124" w:lineRule="exact"/>
              <w:rPr>
                <w:sz w:val="20"/>
                <w:szCs w:val="20"/>
                <w:color w:val="auto"/>
              </w:rPr>
            </w:pPr>
            <w:r>
              <w:rPr>
                <w:rFonts w:ascii="Arial" w:cs="Arial" w:eastAsia="Arial" w:hAnsi="Arial"/>
                <w:sz w:val="13"/>
                <w:szCs w:val="13"/>
                <w:color w:val="auto"/>
              </w:rPr>
              <w:t>2023</w:t>
            </w:r>
          </w:p>
        </w:tc>
        <w:tc>
          <w:tcPr>
            <w:tcW w:w="1060" w:type="dxa"/>
            <w:vAlign w:val="bottom"/>
            <w:shd w:val="clear" w:color="auto" w:fill="DBE5F1"/>
          </w:tcPr>
          <w:p>
            <w:pPr>
              <w:jc w:val="right"/>
              <w:ind w:right="397"/>
              <w:spacing w:after="0" w:line="124" w:lineRule="exact"/>
              <w:rPr>
                <w:sz w:val="20"/>
                <w:szCs w:val="20"/>
                <w:color w:val="auto"/>
              </w:rPr>
            </w:pPr>
            <w:r>
              <w:rPr>
                <w:rFonts w:ascii="Arial" w:cs="Arial" w:eastAsia="Arial" w:hAnsi="Arial"/>
                <w:sz w:val="13"/>
                <w:szCs w:val="13"/>
                <w:color w:val="auto"/>
              </w:rPr>
              <w:t>786,539</w:t>
            </w:r>
          </w:p>
        </w:tc>
        <w:tc>
          <w:tcPr>
            <w:tcW w:w="1260" w:type="dxa"/>
            <w:vAlign w:val="bottom"/>
            <w:shd w:val="clear" w:color="auto" w:fill="DBE5F1"/>
          </w:tcPr>
          <w:p>
            <w:pPr>
              <w:jc w:val="right"/>
              <w:ind w:right="117"/>
              <w:spacing w:after="0" w:line="124" w:lineRule="exact"/>
              <w:rPr>
                <w:sz w:val="20"/>
                <w:szCs w:val="20"/>
                <w:color w:val="auto"/>
              </w:rPr>
            </w:pPr>
            <w:r>
              <w:rPr>
                <w:rFonts w:ascii="Arial" w:cs="Arial" w:eastAsia="Arial" w:hAnsi="Arial"/>
                <w:sz w:val="13"/>
                <w:szCs w:val="13"/>
                <w:color w:val="auto"/>
              </w:rPr>
              <w:t>—</w:t>
            </w:r>
          </w:p>
        </w:tc>
        <w:tc>
          <w:tcPr>
            <w:tcW w:w="1200" w:type="dxa"/>
            <w:vAlign w:val="bottom"/>
            <w:shd w:val="clear" w:color="auto" w:fill="DBE5F1"/>
          </w:tcPr>
          <w:p>
            <w:pPr>
              <w:jc w:val="right"/>
              <w:ind w:right="119"/>
              <w:spacing w:after="0" w:line="124" w:lineRule="exact"/>
              <w:rPr>
                <w:sz w:val="20"/>
                <w:szCs w:val="20"/>
                <w:color w:val="auto"/>
              </w:rPr>
            </w:pPr>
            <w:r>
              <w:rPr>
                <w:rFonts w:ascii="Arial" w:cs="Arial" w:eastAsia="Arial" w:hAnsi="Arial"/>
                <w:sz w:val="13"/>
                <w:szCs w:val="13"/>
                <w:color w:val="auto"/>
              </w:rPr>
              <w:t>12,497,891</w:t>
            </w:r>
          </w:p>
        </w:tc>
        <w:tc>
          <w:tcPr>
            <w:tcW w:w="1140" w:type="dxa"/>
            <w:vAlign w:val="bottom"/>
            <w:shd w:val="clear" w:color="auto" w:fill="DBE5F1"/>
          </w:tcPr>
          <w:p>
            <w:pPr>
              <w:jc w:val="right"/>
              <w:ind w:right="59"/>
              <w:spacing w:after="0" w:line="124" w:lineRule="exact"/>
              <w:rPr>
                <w:sz w:val="20"/>
                <w:szCs w:val="20"/>
                <w:color w:val="auto"/>
              </w:rPr>
            </w:pPr>
            <w:r>
              <w:rPr>
                <w:rFonts w:ascii="Arial" w:cs="Arial" w:eastAsia="Arial" w:hAnsi="Arial"/>
                <w:sz w:val="13"/>
                <w:szCs w:val="13"/>
                <w:color w:val="auto"/>
              </w:rPr>
              <w:t>—</w:t>
            </w:r>
          </w:p>
        </w:tc>
        <w:tc>
          <w:tcPr>
            <w:tcW w:w="1200" w:type="dxa"/>
            <w:vAlign w:val="bottom"/>
            <w:shd w:val="clear" w:color="auto" w:fill="DBE5F1"/>
          </w:tcPr>
          <w:p>
            <w:pPr>
              <w:jc w:val="right"/>
              <w:ind w:right="58"/>
              <w:spacing w:after="0" w:line="124" w:lineRule="exact"/>
              <w:rPr>
                <w:sz w:val="20"/>
                <w:szCs w:val="20"/>
                <w:color w:val="auto"/>
              </w:rPr>
            </w:pPr>
            <w:r>
              <w:rPr>
                <w:rFonts w:ascii="Arial" w:cs="Arial" w:eastAsia="Arial" w:hAnsi="Arial"/>
                <w:sz w:val="13"/>
                <w:szCs w:val="13"/>
                <w:color w:val="auto"/>
              </w:rPr>
              <w:t>1,006,837</w:t>
            </w:r>
          </w:p>
        </w:tc>
        <w:tc>
          <w:tcPr>
            <w:tcW w:w="1320" w:type="dxa"/>
            <w:vAlign w:val="bottom"/>
            <w:shd w:val="clear" w:color="auto" w:fill="DBE5F1"/>
          </w:tcPr>
          <w:p>
            <w:pPr>
              <w:jc w:val="right"/>
              <w:ind w:right="179"/>
              <w:spacing w:after="0" w:line="124" w:lineRule="exact"/>
              <w:rPr>
                <w:sz w:val="20"/>
                <w:szCs w:val="20"/>
                <w:color w:val="auto"/>
              </w:rPr>
            </w:pPr>
            <w:r>
              <w:rPr>
                <w:rFonts w:ascii="Arial" w:cs="Arial" w:eastAsia="Arial" w:hAnsi="Arial"/>
                <w:sz w:val="13"/>
                <w:szCs w:val="13"/>
                <w:color w:val="auto"/>
              </w:rPr>
              <w:t>5,209</w:t>
            </w:r>
          </w:p>
        </w:tc>
        <w:tc>
          <w:tcPr>
            <w:tcW w:w="860" w:type="dxa"/>
            <w:vAlign w:val="bottom"/>
            <w:shd w:val="clear" w:color="auto" w:fill="DBE5F1"/>
          </w:tcPr>
          <w:p>
            <w:pPr>
              <w:jc w:val="right"/>
              <w:spacing w:after="0" w:line="124" w:lineRule="exact"/>
              <w:rPr>
                <w:sz w:val="20"/>
                <w:szCs w:val="20"/>
                <w:color w:val="auto"/>
              </w:rPr>
            </w:pPr>
            <w:r>
              <w:rPr>
                <w:rFonts w:ascii="Arial" w:cs="Arial" w:eastAsia="Arial" w:hAnsi="Arial"/>
                <w:sz w:val="13"/>
                <w:szCs w:val="13"/>
                <w:color w:val="auto"/>
              </w:rPr>
              <w:t>14,296,476</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80" w:type="dxa"/>
            <w:vAlign w:val="bottom"/>
            <w:shd w:val="clear" w:color="auto" w:fill="DBE5F1"/>
          </w:tcPr>
          <w:p>
            <w:pPr>
              <w:spacing w:after="0"/>
              <w:rPr>
                <w:sz w:val="20"/>
                <w:szCs w:val="20"/>
                <w:color w:val="auto"/>
              </w:rPr>
            </w:pPr>
            <w:r>
              <w:rPr>
                <w:rFonts w:ascii="Arial" w:cs="Arial" w:eastAsia="Arial" w:hAnsi="Arial"/>
                <w:sz w:val="8"/>
                <w:szCs w:val="8"/>
                <w:color w:val="auto"/>
                <w:w w:val="74"/>
              </w:rPr>
              <w:t> </w:t>
            </w:r>
          </w:p>
        </w:tc>
        <w:tc>
          <w:tcPr>
            <w:tcW w:w="1360" w:type="dxa"/>
            <w:vAlign w:val="bottom"/>
            <w:shd w:val="clear" w:color="auto" w:fill="DBE5F1"/>
          </w:tcPr>
          <w:p>
            <w:pPr>
              <w:ind w:left="40"/>
              <w:spacing w:after="0"/>
              <w:rPr>
                <w:sz w:val="20"/>
                <w:szCs w:val="20"/>
                <w:color w:val="auto"/>
              </w:rPr>
            </w:pPr>
            <w:r>
              <w:rPr>
                <w:rFonts w:ascii="Arial" w:cs="Arial" w:eastAsia="Arial" w:hAnsi="Arial"/>
                <w:sz w:val="13"/>
                <w:szCs w:val="13"/>
                <w:color w:val="auto"/>
              </w:rPr>
              <w:t>  Chief</w:t>
            </w:r>
          </w:p>
        </w:tc>
        <w:tc>
          <w:tcPr>
            <w:tcW w:w="560" w:type="dxa"/>
            <w:vAlign w:val="bottom"/>
            <w:shd w:val="clear" w:color="auto" w:fill="DBE5F1"/>
          </w:tcPr>
          <w:p>
            <w:pPr>
              <w:spacing w:after="0"/>
              <w:rPr>
                <w:sz w:val="14"/>
                <w:szCs w:val="14"/>
                <w:color w:val="auto"/>
              </w:rPr>
            </w:pPr>
          </w:p>
        </w:tc>
        <w:tc>
          <w:tcPr>
            <w:tcW w:w="660" w:type="dxa"/>
            <w:vAlign w:val="bottom"/>
            <w:shd w:val="clear" w:color="auto" w:fill="DBE5F1"/>
          </w:tcPr>
          <w:p>
            <w:pPr>
              <w:ind w:left="380"/>
              <w:spacing w:after="0"/>
              <w:rPr>
                <w:sz w:val="20"/>
                <w:szCs w:val="20"/>
                <w:color w:val="auto"/>
              </w:rPr>
            </w:pPr>
            <w:r>
              <w:rPr>
                <w:rFonts w:ascii="Arial" w:cs="Arial" w:eastAsia="Arial" w:hAnsi="Arial"/>
                <w:sz w:val="13"/>
                <w:szCs w:val="13"/>
                <w:color w:val="auto"/>
                <w:w w:val="89"/>
              </w:rPr>
              <w:t>2022</w:t>
            </w:r>
          </w:p>
        </w:tc>
        <w:tc>
          <w:tcPr>
            <w:tcW w:w="320" w:type="dxa"/>
            <w:vAlign w:val="bottom"/>
            <w:shd w:val="clear" w:color="auto" w:fill="DBE5F1"/>
          </w:tcPr>
          <w:p>
            <w:pPr>
              <w:spacing w:after="0"/>
              <w:rPr>
                <w:sz w:val="14"/>
                <w:szCs w:val="14"/>
                <w:color w:val="auto"/>
              </w:rPr>
            </w:pPr>
          </w:p>
        </w:tc>
        <w:tc>
          <w:tcPr>
            <w:tcW w:w="1060" w:type="dxa"/>
            <w:vAlign w:val="bottom"/>
            <w:shd w:val="clear" w:color="auto" w:fill="DBE5F1"/>
          </w:tcPr>
          <w:p>
            <w:pPr>
              <w:jc w:val="right"/>
              <w:ind w:right="397"/>
              <w:spacing w:after="0"/>
              <w:rPr>
                <w:sz w:val="20"/>
                <w:szCs w:val="20"/>
                <w:color w:val="auto"/>
              </w:rPr>
            </w:pPr>
            <w:r>
              <w:rPr>
                <w:rFonts w:ascii="Arial" w:cs="Arial" w:eastAsia="Arial" w:hAnsi="Arial"/>
                <w:sz w:val="13"/>
                <w:szCs w:val="13"/>
                <w:color w:val="auto"/>
              </w:rPr>
              <w:t>729,827</w:t>
            </w:r>
          </w:p>
        </w:tc>
        <w:tc>
          <w:tcPr>
            <w:tcW w:w="1260" w:type="dxa"/>
            <w:vAlign w:val="bottom"/>
            <w:shd w:val="clear" w:color="auto" w:fill="DBE5F1"/>
          </w:tcPr>
          <w:p>
            <w:pPr>
              <w:jc w:val="right"/>
              <w:ind w:right="117"/>
              <w:spacing w:after="0"/>
              <w:rPr>
                <w:sz w:val="20"/>
                <w:szCs w:val="20"/>
                <w:color w:val="auto"/>
              </w:rPr>
            </w:pPr>
            <w:r>
              <w:rPr>
                <w:rFonts w:ascii="Arial" w:cs="Arial" w:eastAsia="Arial" w:hAnsi="Arial"/>
                <w:sz w:val="13"/>
                <w:szCs w:val="13"/>
                <w:color w:val="auto"/>
              </w:rPr>
              <w:t>—</w:t>
            </w:r>
          </w:p>
        </w:tc>
        <w:tc>
          <w:tcPr>
            <w:tcW w:w="1200" w:type="dxa"/>
            <w:vAlign w:val="bottom"/>
            <w:shd w:val="clear" w:color="auto" w:fill="DBE5F1"/>
          </w:tcPr>
          <w:p>
            <w:pPr>
              <w:jc w:val="right"/>
              <w:ind w:right="119"/>
              <w:spacing w:after="0"/>
              <w:rPr>
                <w:sz w:val="20"/>
                <w:szCs w:val="20"/>
                <w:color w:val="auto"/>
              </w:rPr>
            </w:pPr>
            <w:r>
              <w:rPr>
                <w:rFonts w:ascii="Arial" w:cs="Arial" w:eastAsia="Arial" w:hAnsi="Arial"/>
                <w:sz w:val="13"/>
                <w:szCs w:val="13"/>
                <w:color w:val="auto"/>
              </w:rPr>
              <w:t>30,937,508</w:t>
            </w:r>
          </w:p>
        </w:tc>
        <w:tc>
          <w:tcPr>
            <w:tcW w:w="1140" w:type="dxa"/>
            <w:vAlign w:val="bottom"/>
            <w:shd w:val="clear" w:color="auto" w:fill="DBE5F1"/>
          </w:tcPr>
          <w:p>
            <w:pPr>
              <w:jc w:val="right"/>
              <w:ind w:right="59"/>
              <w:spacing w:after="0"/>
              <w:rPr>
                <w:sz w:val="20"/>
                <w:szCs w:val="20"/>
                <w:color w:val="auto"/>
              </w:rPr>
            </w:pPr>
            <w:r>
              <w:rPr>
                <w:rFonts w:ascii="Arial" w:cs="Arial" w:eastAsia="Arial" w:hAnsi="Arial"/>
                <w:sz w:val="13"/>
                <w:szCs w:val="13"/>
                <w:color w:val="auto"/>
              </w:rPr>
              <w:t>1,500,002</w:t>
            </w:r>
          </w:p>
        </w:tc>
        <w:tc>
          <w:tcPr>
            <w:tcW w:w="1200" w:type="dxa"/>
            <w:vAlign w:val="bottom"/>
            <w:shd w:val="clear" w:color="auto" w:fill="DBE5F1"/>
          </w:tcPr>
          <w:p>
            <w:pPr>
              <w:jc w:val="right"/>
              <w:ind w:right="58"/>
              <w:spacing w:after="0"/>
              <w:rPr>
                <w:sz w:val="20"/>
                <w:szCs w:val="20"/>
                <w:color w:val="auto"/>
              </w:rPr>
            </w:pPr>
            <w:r>
              <w:rPr>
                <w:rFonts w:ascii="Arial" w:cs="Arial" w:eastAsia="Arial" w:hAnsi="Arial"/>
                <w:sz w:val="13"/>
                <w:szCs w:val="13"/>
                <w:color w:val="auto"/>
              </w:rPr>
              <w:t>902,835</w:t>
            </w:r>
          </w:p>
        </w:tc>
        <w:tc>
          <w:tcPr>
            <w:tcW w:w="1320" w:type="dxa"/>
            <w:vAlign w:val="bottom"/>
            <w:shd w:val="clear" w:color="auto" w:fill="DBE5F1"/>
          </w:tcPr>
          <w:p>
            <w:pPr>
              <w:jc w:val="right"/>
              <w:ind w:right="179"/>
              <w:spacing w:after="0"/>
              <w:rPr>
                <w:sz w:val="20"/>
                <w:szCs w:val="20"/>
                <w:color w:val="auto"/>
              </w:rPr>
            </w:pPr>
            <w:r>
              <w:rPr>
                <w:rFonts w:ascii="Arial" w:cs="Arial" w:eastAsia="Arial" w:hAnsi="Arial"/>
                <w:sz w:val="13"/>
                <w:szCs w:val="13"/>
                <w:color w:val="auto"/>
              </w:rPr>
              <w:t>420</w:t>
            </w:r>
          </w:p>
        </w:tc>
        <w:tc>
          <w:tcPr>
            <w:tcW w:w="860" w:type="dxa"/>
            <w:vAlign w:val="bottom"/>
            <w:shd w:val="clear" w:color="auto" w:fill="DBE5F1"/>
          </w:tcPr>
          <w:p>
            <w:pPr>
              <w:jc w:val="right"/>
              <w:spacing w:after="0"/>
              <w:rPr>
                <w:sz w:val="20"/>
                <w:szCs w:val="20"/>
                <w:color w:val="auto"/>
              </w:rPr>
            </w:pPr>
            <w:r>
              <w:rPr>
                <w:rFonts w:ascii="Arial" w:cs="Arial" w:eastAsia="Arial" w:hAnsi="Arial"/>
                <w:sz w:val="13"/>
                <w:szCs w:val="13"/>
                <w:color w:val="auto"/>
              </w:rPr>
              <w:t>34,070,592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80" w:type="dxa"/>
            <w:vAlign w:val="bottom"/>
            <w:shd w:val="clear" w:color="auto" w:fill="DBE5F1"/>
          </w:tcPr>
          <w:p>
            <w:pPr>
              <w:spacing w:after="0"/>
              <w:rPr>
                <w:sz w:val="20"/>
                <w:szCs w:val="20"/>
                <w:color w:val="auto"/>
              </w:rPr>
            </w:pPr>
            <w:r>
              <w:rPr>
                <w:rFonts w:ascii="Arial" w:cs="Arial" w:eastAsia="Arial" w:hAnsi="Arial"/>
                <w:sz w:val="8"/>
                <w:szCs w:val="8"/>
                <w:color w:val="auto"/>
                <w:w w:val="74"/>
              </w:rPr>
              <w:t> </w:t>
            </w:r>
          </w:p>
        </w:tc>
        <w:tc>
          <w:tcPr>
            <w:tcW w:w="1360" w:type="dxa"/>
            <w:vAlign w:val="bottom"/>
            <w:shd w:val="clear" w:color="auto" w:fill="DBE5F1"/>
          </w:tcPr>
          <w:p>
            <w:pPr>
              <w:ind w:left="40"/>
              <w:spacing w:after="0" w:line="104" w:lineRule="exact"/>
              <w:rPr>
                <w:sz w:val="20"/>
                <w:szCs w:val="20"/>
                <w:color w:val="auto"/>
              </w:rPr>
            </w:pPr>
            <w:r>
              <w:rPr>
                <w:rFonts w:ascii="Arial" w:cs="Arial" w:eastAsia="Arial" w:hAnsi="Arial"/>
                <w:sz w:val="12"/>
                <w:szCs w:val="12"/>
                <w:color w:val="auto"/>
              </w:rPr>
              <w:t>  Executive</w:t>
            </w:r>
          </w:p>
        </w:tc>
        <w:tc>
          <w:tcPr>
            <w:tcW w:w="560" w:type="dxa"/>
            <w:vAlign w:val="bottom"/>
            <w:shd w:val="clear" w:color="auto" w:fill="DBE5F1"/>
          </w:tcPr>
          <w:p>
            <w:pPr>
              <w:spacing w:after="0"/>
              <w:rPr>
                <w:sz w:val="9"/>
                <w:szCs w:val="9"/>
                <w:color w:val="auto"/>
              </w:rPr>
            </w:pPr>
          </w:p>
        </w:tc>
        <w:tc>
          <w:tcPr>
            <w:tcW w:w="660" w:type="dxa"/>
            <w:vAlign w:val="bottom"/>
            <w:vMerge w:val="restart"/>
            <w:shd w:val="clear" w:color="auto" w:fill="DBE5F1"/>
          </w:tcPr>
          <w:p>
            <w:pPr>
              <w:ind w:left="380"/>
              <w:spacing w:after="0"/>
              <w:rPr>
                <w:sz w:val="20"/>
                <w:szCs w:val="20"/>
                <w:color w:val="auto"/>
              </w:rPr>
            </w:pPr>
            <w:r>
              <w:rPr>
                <w:rFonts w:ascii="Arial" w:cs="Arial" w:eastAsia="Arial" w:hAnsi="Arial"/>
                <w:sz w:val="13"/>
                <w:szCs w:val="13"/>
                <w:color w:val="auto"/>
                <w:w w:val="89"/>
              </w:rPr>
              <w:t>2021</w:t>
            </w:r>
          </w:p>
        </w:tc>
        <w:tc>
          <w:tcPr>
            <w:tcW w:w="320" w:type="dxa"/>
            <w:vAlign w:val="bottom"/>
            <w:shd w:val="clear" w:color="auto" w:fill="DBE5F1"/>
          </w:tcPr>
          <w:p>
            <w:pPr>
              <w:spacing w:after="0"/>
              <w:rPr>
                <w:sz w:val="9"/>
                <w:szCs w:val="9"/>
                <w:color w:val="auto"/>
              </w:rPr>
            </w:pPr>
          </w:p>
        </w:tc>
        <w:tc>
          <w:tcPr>
            <w:tcW w:w="1060" w:type="dxa"/>
            <w:vAlign w:val="bottom"/>
            <w:vMerge w:val="restart"/>
            <w:shd w:val="clear" w:color="auto" w:fill="DBE5F1"/>
          </w:tcPr>
          <w:p>
            <w:pPr>
              <w:jc w:val="right"/>
              <w:ind w:right="397"/>
              <w:spacing w:after="0"/>
              <w:rPr>
                <w:sz w:val="20"/>
                <w:szCs w:val="20"/>
                <w:color w:val="auto"/>
              </w:rPr>
            </w:pPr>
            <w:r>
              <w:rPr>
                <w:rFonts w:ascii="Arial" w:cs="Arial" w:eastAsia="Arial" w:hAnsi="Arial"/>
                <w:sz w:val="13"/>
                <w:szCs w:val="13"/>
                <w:color w:val="auto"/>
              </w:rPr>
              <w:t>675,000</w:t>
            </w:r>
          </w:p>
        </w:tc>
        <w:tc>
          <w:tcPr>
            <w:tcW w:w="1260" w:type="dxa"/>
            <w:vAlign w:val="bottom"/>
            <w:vMerge w:val="restart"/>
            <w:shd w:val="clear" w:color="auto" w:fill="DBE5F1"/>
          </w:tcPr>
          <w:p>
            <w:pPr>
              <w:jc w:val="right"/>
              <w:ind w:right="117"/>
              <w:spacing w:after="0"/>
              <w:rPr>
                <w:sz w:val="20"/>
                <w:szCs w:val="20"/>
                <w:color w:val="auto"/>
              </w:rPr>
            </w:pPr>
            <w:r>
              <w:rPr>
                <w:rFonts w:ascii="Arial" w:cs="Arial" w:eastAsia="Arial" w:hAnsi="Arial"/>
                <w:sz w:val="13"/>
                <w:szCs w:val="13"/>
                <w:color w:val="auto"/>
              </w:rPr>
              <w:t>200,000</w:t>
            </w:r>
            <w:r>
              <w:rPr>
                <w:rFonts w:ascii="Arial" w:cs="Arial" w:eastAsia="Arial" w:hAnsi="Arial"/>
                <w:sz w:val="18"/>
                <w:szCs w:val="18"/>
                <w:color w:val="auto"/>
                <w:vertAlign w:val="superscript"/>
              </w:rPr>
              <w:t>(5)</w:t>
            </w:r>
          </w:p>
        </w:tc>
        <w:tc>
          <w:tcPr>
            <w:tcW w:w="1200" w:type="dxa"/>
            <w:vAlign w:val="bottom"/>
            <w:vMerge w:val="restart"/>
            <w:shd w:val="clear" w:color="auto" w:fill="DBE5F1"/>
          </w:tcPr>
          <w:p>
            <w:pPr>
              <w:jc w:val="right"/>
              <w:ind w:right="119"/>
              <w:spacing w:after="0"/>
              <w:rPr>
                <w:sz w:val="20"/>
                <w:szCs w:val="20"/>
                <w:color w:val="auto"/>
              </w:rPr>
            </w:pPr>
            <w:r>
              <w:rPr>
                <w:rFonts w:ascii="Arial" w:cs="Arial" w:eastAsia="Arial" w:hAnsi="Arial"/>
                <w:sz w:val="13"/>
                <w:szCs w:val="13"/>
                <w:color w:val="auto"/>
              </w:rPr>
              <w:t>14,835,906</w:t>
            </w:r>
          </w:p>
        </w:tc>
        <w:tc>
          <w:tcPr>
            <w:tcW w:w="1140" w:type="dxa"/>
            <w:vAlign w:val="bottom"/>
            <w:vMerge w:val="restart"/>
            <w:shd w:val="clear" w:color="auto" w:fill="DBE5F1"/>
          </w:tcPr>
          <w:p>
            <w:pPr>
              <w:jc w:val="right"/>
              <w:ind w:right="59"/>
              <w:spacing w:after="0"/>
              <w:rPr>
                <w:sz w:val="20"/>
                <w:szCs w:val="20"/>
                <w:color w:val="auto"/>
              </w:rPr>
            </w:pPr>
            <w:r>
              <w:rPr>
                <w:rFonts w:ascii="Arial" w:cs="Arial" w:eastAsia="Arial" w:hAnsi="Arial"/>
                <w:sz w:val="13"/>
                <w:szCs w:val="13"/>
                <w:color w:val="auto"/>
              </w:rPr>
              <w:t>29,570,843</w:t>
            </w:r>
          </w:p>
        </w:tc>
        <w:tc>
          <w:tcPr>
            <w:tcW w:w="1200" w:type="dxa"/>
            <w:vAlign w:val="bottom"/>
            <w:vMerge w:val="restart"/>
            <w:shd w:val="clear" w:color="auto" w:fill="DBE5F1"/>
          </w:tcPr>
          <w:p>
            <w:pPr>
              <w:jc w:val="right"/>
              <w:ind w:right="58"/>
              <w:spacing w:after="0"/>
              <w:rPr>
                <w:sz w:val="20"/>
                <w:szCs w:val="20"/>
                <w:color w:val="auto"/>
              </w:rPr>
            </w:pPr>
            <w:r>
              <w:rPr>
                <w:rFonts w:ascii="Arial" w:cs="Arial" w:eastAsia="Arial" w:hAnsi="Arial"/>
                <w:sz w:val="13"/>
                <w:szCs w:val="13"/>
                <w:color w:val="auto"/>
              </w:rPr>
              <w:t>716,681</w:t>
            </w:r>
          </w:p>
        </w:tc>
        <w:tc>
          <w:tcPr>
            <w:tcW w:w="1320" w:type="dxa"/>
            <w:vAlign w:val="bottom"/>
            <w:vMerge w:val="restart"/>
            <w:shd w:val="clear" w:color="auto" w:fill="DBE5F1"/>
          </w:tcPr>
          <w:p>
            <w:pPr>
              <w:jc w:val="right"/>
              <w:ind w:right="179"/>
              <w:spacing w:after="0"/>
              <w:rPr>
                <w:sz w:val="20"/>
                <w:szCs w:val="20"/>
                <w:color w:val="auto"/>
              </w:rPr>
            </w:pPr>
            <w:r>
              <w:rPr>
                <w:rFonts w:ascii="Arial" w:cs="Arial" w:eastAsia="Arial" w:hAnsi="Arial"/>
                <w:sz w:val="13"/>
                <w:szCs w:val="13"/>
                <w:color w:val="auto"/>
              </w:rPr>
              <w:t>420</w:t>
            </w:r>
          </w:p>
        </w:tc>
        <w:tc>
          <w:tcPr>
            <w:tcW w:w="860" w:type="dxa"/>
            <w:vAlign w:val="bottom"/>
            <w:vMerge w:val="restart"/>
            <w:shd w:val="clear" w:color="auto" w:fill="DBE5F1"/>
          </w:tcPr>
          <w:p>
            <w:pPr>
              <w:jc w:val="right"/>
              <w:spacing w:after="0"/>
              <w:rPr>
                <w:sz w:val="20"/>
                <w:szCs w:val="20"/>
                <w:color w:val="auto"/>
              </w:rPr>
            </w:pPr>
            <w:r>
              <w:rPr>
                <w:rFonts w:ascii="Arial" w:cs="Arial" w:eastAsia="Arial" w:hAnsi="Arial"/>
                <w:sz w:val="13"/>
                <w:szCs w:val="13"/>
                <w:color w:val="auto"/>
              </w:rPr>
              <w:t>45,998,851</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6"/>
        </w:trPr>
        <w:tc>
          <w:tcPr>
            <w:tcW w:w="80" w:type="dxa"/>
            <w:vAlign w:val="bottom"/>
            <w:tcBorders>
              <w:bottom w:val="single" w:sz="8" w:color="95B3D7"/>
            </w:tcBorders>
            <w:shd w:val="clear" w:color="auto" w:fill="DBE5F1"/>
          </w:tcPr>
          <w:p>
            <w:pPr>
              <w:spacing w:after="0"/>
              <w:rPr>
                <w:sz w:val="20"/>
                <w:szCs w:val="20"/>
                <w:color w:val="auto"/>
              </w:rPr>
            </w:pPr>
            <w:r>
              <w:rPr>
                <w:rFonts w:ascii="Arial" w:cs="Arial" w:eastAsia="Arial" w:hAnsi="Arial"/>
                <w:sz w:val="8"/>
                <w:szCs w:val="8"/>
                <w:color w:val="auto"/>
                <w:w w:val="74"/>
              </w:rPr>
              <w:t> </w:t>
            </w:r>
          </w:p>
        </w:tc>
        <w:tc>
          <w:tcPr>
            <w:tcW w:w="1360" w:type="dxa"/>
            <w:vAlign w:val="bottom"/>
            <w:tcBorders>
              <w:bottom w:val="single" w:sz="8" w:color="95B3D7"/>
            </w:tcBorders>
            <w:shd w:val="clear" w:color="auto" w:fill="DBE5F1"/>
          </w:tcPr>
          <w:p>
            <w:pPr>
              <w:ind w:left="40"/>
              <w:spacing w:after="0"/>
              <w:rPr>
                <w:sz w:val="20"/>
                <w:szCs w:val="20"/>
                <w:color w:val="auto"/>
              </w:rPr>
            </w:pPr>
            <w:r>
              <w:rPr>
                <w:rFonts w:ascii="Arial" w:cs="Arial" w:eastAsia="Arial" w:hAnsi="Arial"/>
                <w:sz w:val="13"/>
                <w:szCs w:val="13"/>
                <w:color w:val="auto"/>
              </w:rPr>
              <w:t>  Officer</w:t>
            </w:r>
          </w:p>
        </w:tc>
        <w:tc>
          <w:tcPr>
            <w:tcW w:w="560" w:type="dxa"/>
            <w:vAlign w:val="bottom"/>
            <w:tcBorders>
              <w:bottom w:val="single" w:sz="8" w:color="95B3D7"/>
            </w:tcBorders>
            <w:shd w:val="clear" w:color="auto" w:fill="DBE5F1"/>
          </w:tcPr>
          <w:p>
            <w:pPr>
              <w:spacing w:after="0"/>
              <w:rPr>
                <w:sz w:val="14"/>
                <w:szCs w:val="14"/>
                <w:color w:val="auto"/>
              </w:rPr>
            </w:pPr>
          </w:p>
        </w:tc>
        <w:tc>
          <w:tcPr>
            <w:tcW w:w="660" w:type="dxa"/>
            <w:vAlign w:val="bottom"/>
            <w:tcBorders>
              <w:bottom w:val="single" w:sz="8" w:color="95B3D7"/>
            </w:tcBorders>
            <w:vMerge w:val="continue"/>
            <w:shd w:val="clear" w:color="auto" w:fill="DBE5F1"/>
          </w:tcPr>
          <w:p>
            <w:pPr>
              <w:spacing w:after="0"/>
              <w:rPr>
                <w:sz w:val="14"/>
                <w:szCs w:val="14"/>
                <w:color w:val="auto"/>
              </w:rPr>
            </w:pPr>
          </w:p>
        </w:tc>
        <w:tc>
          <w:tcPr>
            <w:tcW w:w="320" w:type="dxa"/>
            <w:vAlign w:val="bottom"/>
            <w:tcBorders>
              <w:bottom w:val="single" w:sz="8" w:color="95B3D7"/>
            </w:tcBorders>
            <w:shd w:val="clear" w:color="auto" w:fill="DBE5F1"/>
          </w:tcPr>
          <w:p>
            <w:pPr>
              <w:spacing w:after="0"/>
              <w:rPr>
                <w:sz w:val="14"/>
                <w:szCs w:val="14"/>
                <w:color w:val="auto"/>
              </w:rPr>
            </w:pPr>
          </w:p>
        </w:tc>
        <w:tc>
          <w:tcPr>
            <w:tcW w:w="1060" w:type="dxa"/>
            <w:vAlign w:val="bottom"/>
            <w:tcBorders>
              <w:bottom w:val="single" w:sz="8" w:color="95B3D7"/>
            </w:tcBorders>
            <w:vMerge w:val="continue"/>
            <w:shd w:val="clear" w:color="auto" w:fill="DBE5F1"/>
          </w:tcPr>
          <w:p>
            <w:pPr>
              <w:spacing w:after="0"/>
              <w:rPr>
                <w:sz w:val="14"/>
                <w:szCs w:val="14"/>
                <w:color w:val="auto"/>
              </w:rPr>
            </w:pPr>
          </w:p>
        </w:tc>
        <w:tc>
          <w:tcPr>
            <w:tcW w:w="1260" w:type="dxa"/>
            <w:vAlign w:val="bottom"/>
            <w:tcBorders>
              <w:bottom w:val="single" w:sz="8" w:color="95B3D7"/>
            </w:tcBorders>
            <w:vMerge w:val="continue"/>
            <w:shd w:val="clear" w:color="auto" w:fill="DBE5F1"/>
          </w:tcPr>
          <w:p>
            <w:pPr>
              <w:spacing w:after="0"/>
              <w:rPr>
                <w:sz w:val="14"/>
                <w:szCs w:val="14"/>
                <w:color w:val="auto"/>
              </w:rPr>
            </w:pPr>
          </w:p>
        </w:tc>
        <w:tc>
          <w:tcPr>
            <w:tcW w:w="1200" w:type="dxa"/>
            <w:vAlign w:val="bottom"/>
            <w:tcBorders>
              <w:bottom w:val="single" w:sz="8" w:color="95B3D7"/>
            </w:tcBorders>
            <w:vMerge w:val="continue"/>
            <w:shd w:val="clear" w:color="auto" w:fill="DBE5F1"/>
          </w:tcPr>
          <w:p>
            <w:pPr>
              <w:spacing w:after="0"/>
              <w:rPr>
                <w:sz w:val="14"/>
                <w:szCs w:val="14"/>
                <w:color w:val="auto"/>
              </w:rPr>
            </w:pPr>
          </w:p>
        </w:tc>
        <w:tc>
          <w:tcPr>
            <w:tcW w:w="1140" w:type="dxa"/>
            <w:vAlign w:val="bottom"/>
            <w:tcBorders>
              <w:bottom w:val="single" w:sz="8" w:color="95B3D7"/>
            </w:tcBorders>
            <w:vMerge w:val="continue"/>
            <w:shd w:val="clear" w:color="auto" w:fill="DBE5F1"/>
          </w:tcPr>
          <w:p>
            <w:pPr>
              <w:spacing w:after="0"/>
              <w:rPr>
                <w:sz w:val="14"/>
                <w:szCs w:val="14"/>
                <w:color w:val="auto"/>
              </w:rPr>
            </w:pPr>
          </w:p>
        </w:tc>
        <w:tc>
          <w:tcPr>
            <w:tcW w:w="1200" w:type="dxa"/>
            <w:vAlign w:val="bottom"/>
            <w:tcBorders>
              <w:bottom w:val="single" w:sz="8" w:color="95B3D7"/>
            </w:tcBorders>
            <w:vMerge w:val="continue"/>
            <w:shd w:val="clear" w:color="auto" w:fill="DBE5F1"/>
          </w:tcPr>
          <w:p>
            <w:pPr>
              <w:spacing w:after="0"/>
              <w:rPr>
                <w:sz w:val="14"/>
                <w:szCs w:val="14"/>
                <w:color w:val="auto"/>
              </w:rPr>
            </w:pPr>
          </w:p>
        </w:tc>
        <w:tc>
          <w:tcPr>
            <w:tcW w:w="1320" w:type="dxa"/>
            <w:vAlign w:val="bottom"/>
            <w:tcBorders>
              <w:bottom w:val="single" w:sz="8" w:color="95B3D7"/>
            </w:tcBorders>
            <w:vMerge w:val="continue"/>
            <w:shd w:val="clear" w:color="auto" w:fill="DBE5F1"/>
          </w:tcPr>
          <w:p>
            <w:pPr>
              <w:spacing w:after="0"/>
              <w:rPr>
                <w:sz w:val="14"/>
                <w:szCs w:val="14"/>
                <w:color w:val="auto"/>
              </w:rPr>
            </w:pPr>
          </w:p>
        </w:tc>
        <w:tc>
          <w:tcPr>
            <w:tcW w:w="860" w:type="dxa"/>
            <w:vAlign w:val="bottom"/>
            <w:tcBorders>
              <w:bottom w:val="single" w:sz="8" w:color="95B3D7"/>
            </w:tcBorders>
            <w:vMerge w:val="continue"/>
            <w:shd w:val="clear" w:color="auto" w:fill="DBE5F1"/>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4"/>
        </w:trPr>
        <w:tc>
          <w:tcPr>
            <w:tcW w:w="200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  Thomas Freeman</w:t>
            </w:r>
          </w:p>
        </w:tc>
        <w:tc>
          <w:tcPr>
            <w:tcW w:w="980" w:type="dxa"/>
            <w:vAlign w:val="bottom"/>
            <w:gridSpan w:val="2"/>
          </w:tcPr>
          <w:p>
            <w:pPr>
              <w:ind w:left="380"/>
              <w:spacing w:after="0" w:line="124" w:lineRule="exact"/>
              <w:rPr>
                <w:sz w:val="20"/>
                <w:szCs w:val="20"/>
                <w:color w:val="auto"/>
              </w:rPr>
            </w:pPr>
            <w:r>
              <w:rPr>
                <w:rFonts w:ascii="Arial" w:cs="Arial" w:eastAsia="Arial" w:hAnsi="Arial"/>
                <w:sz w:val="13"/>
                <w:szCs w:val="13"/>
                <w:color w:val="auto"/>
              </w:rPr>
              <w:t>2023</w:t>
            </w:r>
          </w:p>
        </w:tc>
        <w:tc>
          <w:tcPr>
            <w:tcW w:w="1060" w:type="dxa"/>
            <w:vAlign w:val="bottom"/>
          </w:tcPr>
          <w:p>
            <w:pPr>
              <w:jc w:val="right"/>
              <w:ind w:right="397"/>
              <w:spacing w:after="0" w:line="124" w:lineRule="exact"/>
              <w:rPr>
                <w:sz w:val="20"/>
                <w:szCs w:val="20"/>
                <w:color w:val="auto"/>
              </w:rPr>
            </w:pPr>
            <w:r>
              <w:rPr>
                <w:rFonts w:ascii="Arial" w:cs="Arial" w:eastAsia="Arial" w:hAnsi="Arial"/>
                <w:sz w:val="13"/>
                <w:szCs w:val="13"/>
                <w:color w:val="auto"/>
              </w:rPr>
              <w:t>543,846</w:t>
            </w:r>
          </w:p>
        </w:tc>
        <w:tc>
          <w:tcPr>
            <w:tcW w:w="1260" w:type="dxa"/>
            <w:vAlign w:val="bottom"/>
          </w:tcPr>
          <w:p>
            <w:pPr>
              <w:jc w:val="right"/>
              <w:ind w:right="117"/>
              <w:spacing w:after="0" w:line="124" w:lineRule="exact"/>
              <w:rPr>
                <w:sz w:val="20"/>
                <w:szCs w:val="20"/>
                <w:color w:val="auto"/>
              </w:rPr>
            </w:pPr>
            <w:r>
              <w:rPr>
                <w:rFonts w:ascii="Arial" w:cs="Arial" w:eastAsia="Arial" w:hAnsi="Arial"/>
                <w:sz w:val="13"/>
                <w:szCs w:val="13"/>
                <w:color w:val="auto"/>
              </w:rPr>
              <w:t>105,000</w:t>
            </w:r>
          </w:p>
        </w:tc>
        <w:tc>
          <w:tcPr>
            <w:tcW w:w="1200" w:type="dxa"/>
            <w:vAlign w:val="bottom"/>
          </w:tcPr>
          <w:p>
            <w:pPr>
              <w:jc w:val="right"/>
              <w:ind w:right="119"/>
              <w:spacing w:after="0" w:line="124" w:lineRule="exact"/>
              <w:rPr>
                <w:sz w:val="20"/>
                <w:szCs w:val="20"/>
                <w:color w:val="auto"/>
              </w:rPr>
            </w:pPr>
            <w:r>
              <w:rPr>
                <w:rFonts w:ascii="Arial" w:cs="Arial" w:eastAsia="Arial" w:hAnsi="Arial"/>
                <w:sz w:val="13"/>
                <w:szCs w:val="13"/>
                <w:color w:val="auto"/>
              </w:rPr>
              <w:t>5,014,849</w:t>
            </w:r>
          </w:p>
        </w:tc>
        <w:tc>
          <w:tcPr>
            <w:tcW w:w="1140" w:type="dxa"/>
            <w:vAlign w:val="bottom"/>
          </w:tcPr>
          <w:p>
            <w:pPr>
              <w:jc w:val="right"/>
              <w:ind w:right="59"/>
              <w:spacing w:after="0" w:line="124"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8"/>
              <w:spacing w:after="0" w:line="124" w:lineRule="exact"/>
              <w:rPr>
                <w:sz w:val="20"/>
                <w:szCs w:val="20"/>
                <w:color w:val="auto"/>
              </w:rPr>
            </w:pPr>
            <w:r>
              <w:rPr>
                <w:rFonts w:ascii="Arial" w:cs="Arial" w:eastAsia="Arial" w:hAnsi="Arial"/>
                <w:sz w:val="13"/>
                <w:szCs w:val="13"/>
                <w:color w:val="auto"/>
              </w:rPr>
              <w:t>624,730</w:t>
            </w:r>
          </w:p>
        </w:tc>
        <w:tc>
          <w:tcPr>
            <w:tcW w:w="1320" w:type="dxa"/>
            <w:vAlign w:val="bottom"/>
          </w:tcPr>
          <w:p>
            <w:pPr>
              <w:jc w:val="right"/>
              <w:ind w:right="179"/>
              <w:spacing w:after="0" w:line="124" w:lineRule="exact"/>
              <w:rPr>
                <w:sz w:val="20"/>
                <w:szCs w:val="20"/>
                <w:color w:val="auto"/>
              </w:rPr>
            </w:pPr>
            <w:r>
              <w:rPr>
                <w:rFonts w:ascii="Arial" w:cs="Arial" w:eastAsia="Arial" w:hAnsi="Arial"/>
                <w:sz w:val="13"/>
                <w:szCs w:val="13"/>
                <w:color w:val="auto"/>
              </w:rPr>
              <w:t>13,620</w:t>
            </w:r>
          </w:p>
        </w:tc>
        <w:tc>
          <w:tcPr>
            <w:tcW w:w="860" w:type="dxa"/>
            <w:vAlign w:val="bottom"/>
          </w:tcPr>
          <w:p>
            <w:pPr>
              <w:jc w:val="right"/>
              <w:spacing w:after="0" w:line="124" w:lineRule="exact"/>
              <w:rPr>
                <w:sz w:val="20"/>
                <w:szCs w:val="20"/>
                <w:color w:val="auto"/>
              </w:rPr>
            </w:pPr>
            <w:r>
              <w:rPr>
                <w:rFonts w:ascii="Arial" w:cs="Arial" w:eastAsia="Arial" w:hAnsi="Arial"/>
                <w:sz w:val="13"/>
                <w:szCs w:val="13"/>
                <w:color w:val="auto"/>
              </w:rPr>
              <w:t>6,302,045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920" w:type="dxa"/>
            <w:vAlign w:val="bottom"/>
            <w:gridSpan w:val="2"/>
          </w:tcPr>
          <w:p>
            <w:pPr>
              <w:ind w:left="40"/>
              <w:spacing w:after="0" w:line="135" w:lineRule="exact"/>
              <w:rPr>
                <w:sz w:val="20"/>
                <w:szCs w:val="20"/>
                <w:color w:val="auto"/>
              </w:rPr>
            </w:pPr>
            <w:r>
              <w:rPr>
                <w:rFonts w:ascii="Arial" w:cs="Arial" w:eastAsia="Arial" w:hAnsi="Arial"/>
                <w:sz w:val="13"/>
                <w:szCs w:val="13"/>
                <w:color w:val="auto"/>
              </w:rPr>
              <w:t>  Chief Financial</w:t>
            </w:r>
          </w:p>
        </w:tc>
        <w:tc>
          <w:tcPr>
            <w:tcW w:w="980" w:type="dxa"/>
            <w:vAlign w:val="bottom"/>
            <w:gridSpan w:val="2"/>
          </w:tcPr>
          <w:p>
            <w:pPr>
              <w:ind w:left="380"/>
              <w:spacing w:after="0" w:line="135" w:lineRule="exact"/>
              <w:rPr>
                <w:sz w:val="20"/>
                <w:szCs w:val="20"/>
                <w:color w:val="auto"/>
              </w:rPr>
            </w:pPr>
            <w:r>
              <w:rPr>
                <w:rFonts w:ascii="Arial" w:cs="Arial" w:eastAsia="Arial" w:hAnsi="Arial"/>
                <w:sz w:val="13"/>
                <w:szCs w:val="13"/>
                <w:color w:val="auto"/>
              </w:rPr>
              <w:t>2022</w:t>
            </w:r>
          </w:p>
        </w:tc>
        <w:tc>
          <w:tcPr>
            <w:tcW w:w="1060" w:type="dxa"/>
            <w:vAlign w:val="bottom"/>
          </w:tcPr>
          <w:p>
            <w:pPr>
              <w:jc w:val="right"/>
              <w:ind w:right="397"/>
              <w:spacing w:after="0" w:line="135" w:lineRule="exact"/>
              <w:rPr>
                <w:sz w:val="20"/>
                <w:szCs w:val="20"/>
                <w:color w:val="auto"/>
              </w:rPr>
            </w:pPr>
            <w:r>
              <w:rPr>
                <w:rFonts w:ascii="Arial" w:cs="Arial" w:eastAsia="Arial" w:hAnsi="Arial"/>
                <w:sz w:val="13"/>
                <w:szCs w:val="13"/>
                <w:color w:val="auto"/>
              </w:rPr>
              <w:t>486,539</w:t>
            </w:r>
          </w:p>
        </w:tc>
        <w:tc>
          <w:tcPr>
            <w:tcW w:w="12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119"/>
              <w:spacing w:after="0" w:line="135" w:lineRule="exact"/>
              <w:rPr>
                <w:sz w:val="20"/>
                <w:szCs w:val="20"/>
                <w:color w:val="auto"/>
              </w:rPr>
            </w:pPr>
            <w:r>
              <w:rPr>
                <w:rFonts w:ascii="Arial" w:cs="Arial" w:eastAsia="Arial" w:hAnsi="Arial"/>
                <w:sz w:val="13"/>
                <w:szCs w:val="13"/>
                <w:color w:val="auto"/>
              </w:rPr>
              <w:t>6,385,854</w:t>
            </w:r>
          </w:p>
        </w:tc>
        <w:tc>
          <w:tcPr>
            <w:tcW w:w="1140" w:type="dxa"/>
            <w:vAlign w:val="bottom"/>
          </w:tcPr>
          <w:p>
            <w:pPr>
              <w:jc w:val="right"/>
              <w:ind w:right="59"/>
              <w:spacing w:after="0" w:line="135" w:lineRule="exact"/>
              <w:rPr>
                <w:sz w:val="20"/>
                <w:szCs w:val="20"/>
                <w:color w:val="auto"/>
              </w:rPr>
            </w:pPr>
            <w:r>
              <w:rPr>
                <w:rFonts w:ascii="Arial" w:cs="Arial" w:eastAsia="Arial" w:hAnsi="Arial"/>
                <w:sz w:val="13"/>
                <w:szCs w:val="13"/>
                <w:color w:val="auto"/>
              </w:rPr>
              <w:t>412,500</w:t>
            </w:r>
          </w:p>
        </w:tc>
        <w:tc>
          <w:tcPr>
            <w:tcW w:w="1200" w:type="dxa"/>
            <w:vAlign w:val="bottom"/>
          </w:tcPr>
          <w:p>
            <w:pPr>
              <w:jc w:val="right"/>
              <w:ind w:right="58"/>
              <w:spacing w:after="0" w:line="135" w:lineRule="exact"/>
              <w:rPr>
                <w:sz w:val="20"/>
                <w:szCs w:val="20"/>
                <w:color w:val="auto"/>
              </w:rPr>
            </w:pPr>
            <w:r>
              <w:rPr>
                <w:rFonts w:ascii="Arial" w:cs="Arial" w:eastAsia="Arial" w:hAnsi="Arial"/>
                <w:sz w:val="13"/>
                <w:szCs w:val="13"/>
                <w:color w:val="auto"/>
              </w:rPr>
              <w:t>448,501</w:t>
            </w:r>
          </w:p>
        </w:tc>
        <w:tc>
          <w:tcPr>
            <w:tcW w:w="1320" w:type="dxa"/>
            <w:vAlign w:val="bottom"/>
          </w:tcPr>
          <w:p>
            <w:pPr>
              <w:jc w:val="right"/>
              <w:ind w:right="179"/>
              <w:spacing w:after="0" w:line="135" w:lineRule="exact"/>
              <w:rPr>
                <w:sz w:val="20"/>
                <w:szCs w:val="20"/>
                <w:color w:val="auto"/>
              </w:rPr>
            </w:pPr>
            <w:r>
              <w:rPr>
                <w:rFonts w:ascii="Arial" w:cs="Arial" w:eastAsia="Arial" w:hAnsi="Arial"/>
                <w:sz w:val="13"/>
                <w:szCs w:val="13"/>
                <w:color w:val="auto"/>
              </w:rPr>
              <w:t>13,703</w:t>
            </w:r>
          </w:p>
        </w:tc>
        <w:tc>
          <w:tcPr>
            <w:tcW w:w="8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7,747,097</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20"/>
                <w:szCs w:val="20"/>
                <w:color w:val="auto"/>
              </w:rPr>
            </w:pPr>
            <w:r>
              <w:rPr>
                <w:rFonts w:ascii="Arial" w:cs="Arial" w:eastAsia="Arial" w:hAnsi="Arial"/>
                <w:sz w:val="8"/>
                <w:szCs w:val="8"/>
                <w:color w:val="auto"/>
                <w:w w:val="74"/>
              </w:rPr>
              <w:t> </w:t>
            </w:r>
          </w:p>
        </w:tc>
        <w:tc>
          <w:tcPr>
            <w:tcW w:w="1920" w:type="dxa"/>
            <w:vAlign w:val="bottom"/>
            <w:gridSpan w:val="2"/>
          </w:tcPr>
          <w:p>
            <w:pPr>
              <w:ind w:left="40"/>
              <w:spacing w:after="0"/>
              <w:rPr>
                <w:sz w:val="20"/>
                <w:szCs w:val="20"/>
                <w:color w:val="auto"/>
              </w:rPr>
            </w:pPr>
            <w:r>
              <w:rPr>
                <w:rFonts w:ascii="Arial" w:cs="Arial" w:eastAsia="Arial" w:hAnsi="Arial"/>
                <w:sz w:val="13"/>
                <w:szCs w:val="13"/>
                <w:color w:val="auto"/>
              </w:rPr>
              <w:t>  Officer</w:t>
            </w:r>
          </w:p>
        </w:tc>
        <w:tc>
          <w:tcPr>
            <w:tcW w:w="980" w:type="dxa"/>
            <w:vAlign w:val="bottom"/>
            <w:gridSpan w:val="2"/>
          </w:tcPr>
          <w:p>
            <w:pPr>
              <w:ind w:left="380"/>
              <w:spacing w:after="0"/>
              <w:rPr>
                <w:sz w:val="20"/>
                <w:szCs w:val="20"/>
                <w:color w:val="auto"/>
              </w:rPr>
            </w:pPr>
            <w:r>
              <w:rPr>
                <w:rFonts w:ascii="Arial" w:cs="Arial" w:eastAsia="Arial" w:hAnsi="Arial"/>
                <w:sz w:val="13"/>
                <w:szCs w:val="13"/>
                <w:color w:val="auto"/>
              </w:rPr>
              <w:t>2021</w:t>
            </w:r>
          </w:p>
        </w:tc>
        <w:tc>
          <w:tcPr>
            <w:tcW w:w="1060" w:type="dxa"/>
            <w:vAlign w:val="bottom"/>
          </w:tcPr>
          <w:p>
            <w:pPr>
              <w:jc w:val="right"/>
              <w:ind w:right="397"/>
              <w:spacing w:after="0"/>
              <w:rPr>
                <w:sz w:val="20"/>
                <w:szCs w:val="20"/>
                <w:color w:val="auto"/>
              </w:rPr>
            </w:pPr>
            <w:r>
              <w:rPr>
                <w:rFonts w:ascii="Arial" w:cs="Arial" w:eastAsia="Arial" w:hAnsi="Arial"/>
                <w:sz w:val="13"/>
                <w:szCs w:val="13"/>
                <w:color w:val="auto"/>
              </w:rPr>
              <w:t>436,539</w:t>
            </w:r>
          </w:p>
        </w:tc>
        <w:tc>
          <w:tcPr>
            <w:tcW w:w="1260" w:type="dxa"/>
            <w:vAlign w:val="bottom"/>
          </w:tcPr>
          <w:p>
            <w:pPr>
              <w:jc w:val="right"/>
              <w:ind w:right="117"/>
              <w:spacing w:after="0"/>
              <w:rPr>
                <w:sz w:val="20"/>
                <w:szCs w:val="20"/>
                <w:color w:val="auto"/>
              </w:rPr>
            </w:pPr>
            <w:r>
              <w:rPr>
                <w:rFonts w:ascii="Arial" w:cs="Arial" w:eastAsia="Arial" w:hAnsi="Arial"/>
                <w:sz w:val="13"/>
                <w:szCs w:val="13"/>
                <w:color w:val="auto"/>
              </w:rPr>
              <w:t>100,000</w:t>
            </w:r>
          </w:p>
        </w:tc>
        <w:tc>
          <w:tcPr>
            <w:tcW w:w="1200" w:type="dxa"/>
            <w:vAlign w:val="bottom"/>
          </w:tcPr>
          <w:p>
            <w:pPr>
              <w:jc w:val="right"/>
              <w:ind w:right="119"/>
              <w:spacing w:after="0"/>
              <w:rPr>
                <w:sz w:val="20"/>
                <w:szCs w:val="20"/>
                <w:color w:val="auto"/>
              </w:rPr>
            </w:pPr>
            <w:r>
              <w:rPr>
                <w:rFonts w:ascii="Arial" w:cs="Arial" w:eastAsia="Arial" w:hAnsi="Arial"/>
                <w:sz w:val="13"/>
                <w:szCs w:val="13"/>
                <w:color w:val="auto"/>
              </w:rPr>
              <w:t>4,275,972</w:t>
            </w:r>
          </w:p>
        </w:tc>
        <w:tc>
          <w:tcPr>
            <w:tcW w:w="1140" w:type="dxa"/>
            <w:vAlign w:val="bottom"/>
          </w:tcPr>
          <w:p>
            <w:pPr>
              <w:jc w:val="right"/>
              <w:ind w:right="59"/>
              <w:spacing w:after="0"/>
              <w:rPr>
                <w:sz w:val="20"/>
                <w:szCs w:val="20"/>
                <w:color w:val="auto"/>
              </w:rPr>
            </w:pPr>
            <w:r>
              <w:rPr>
                <w:rFonts w:ascii="Arial" w:cs="Arial" w:eastAsia="Arial" w:hAnsi="Arial"/>
                <w:sz w:val="13"/>
                <w:szCs w:val="13"/>
                <w:color w:val="auto"/>
              </w:rPr>
              <w:t>5,758,536</w:t>
            </w:r>
          </w:p>
        </w:tc>
        <w:tc>
          <w:tcPr>
            <w:tcW w:w="1200" w:type="dxa"/>
            <w:vAlign w:val="bottom"/>
          </w:tcPr>
          <w:p>
            <w:pPr>
              <w:jc w:val="right"/>
              <w:ind w:right="58"/>
              <w:spacing w:after="0"/>
              <w:rPr>
                <w:sz w:val="20"/>
                <w:szCs w:val="20"/>
                <w:color w:val="auto"/>
              </w:rPr>
            </w:pPr>
            <w:r>
              <w:rPr>
                <w:rFonts w:ascii="Arial" w:cs="Arial" w:eastAsia="Arial" w:hAnsi="Arial"/>
                <w:sz w:val="13"/>
                <w:szCs w:val="13"/>
                <w:color w:val="auto"/>
              </w:rPr>
              <w:t>306,414</w:t>
            </w:r>
          </w:p>
        </w:tc>
        <w:tc>
          <w:tcPr>
            <w:tcW w:w="1320" w:type="dxa"/>
            <w:vAlign w:val="bottom"/>
          </w:tcPr>
          <w:p>
            <w:pPr>
              <w:jc w:val="right"/>
              <w:ind w:right="179"/>
              <w:spacing w:after="0"/>
              <w:rPr>
                <w:sz w:val="20"/>
                <w:szCs w:val="20"/>
                <w:color w:val="auto"/>
              </w:rPr>
            </w:pPr>
            <w:r>
              <w:rPr>
                <w:rFonts w:ascii="Arial" w:cs="Arial" w:eastAsia="Arial" w:hAnsi="Arial"/>
                <w:sz w:val="13"/>
                <w:szCs w:val="13"/>
                <w:color w:val="auto"/>
              </w:rPr>
              <w:t>15,267</w:t>
            </w:r>
          </w:p>
        </w:tc>
        <w:tc>
          <w:tcPr>
            <w:tcW w:w="880" w:type="dxa"/>
            <w:vAlign w:val="bottom"/>
            <w:gridSpan w:val="2"/>
          </w:tcPr>
          <w:p>
            <w:pPr>
              <w:jc w:val="right"/>
              <w:ind w:right="20"/>
              <w:spacing w:after="0"/>
              <w:rPr>
                <w:sz w:val="20"/>
                <w:szCs w:val="20"/>
                <w:color w:val="auto"/>
              </w:rPr>
            </w:pPr>
            <w:r>
              <w:rPr>
                <w:rFonts w:ascii="Arial" w:cs="Arial" w:eastAsia="Arial" w:hAnsi="Arial"/>
                <w:sz w:val="13"/>
                <w:szCs w:val="13"/>
                <w:color w:val="auto"/>
              </w:rPr>
              <w:t>10,892,727</w:t>
            </w:r>
          </w:p>
        </w:tc>
        <w:tc>
          <w:tcPr>
            <w:tcW w:w="0" w:type="dxa"/>
            <w:vAlign w:val="bottom"/>
          </w:tcPr>
          <w:p>
            <w:pPr>
              <w:spacing w:after="0"/>
              <w:rPr>
                <w:sz w:val="1"/>
                <w:szCs w:val="1"/>
                <w:color w:val="auto"/>
              </w:rPr>
            </w:pPr>
          </w:p>
        </w:tc>
      </w:tr>
      <w:tr>
        <w:trPr>
          <w:trHeight w:val="104"/>
        </w:trPr>
        <w:tc>
          <w:tcPr>
            <w:tcW w:w="1440" w:type="dxa"/>
            <w:vAlign w:val="bottom"/>
            <w:tcBorders>
              <w:top w:val="single" w:sz="8" w:color="95B3D7"/>
            </w:tcBorders>
            <w:gridSpan w:val="2"/>
            <w:shd w:val="clear" w:color="auto" w:fill="DBE5F1"/>
          </w:tcPr>
          <w:p>
            <w:pPr>
              <w:spacing w:after="0" w:line="105" w:lineRule="exact"/>
              <w:rPr>
                <w:sz w:val="20"/>
                <w:szCs w:val="20"/>
                <w:color w:val="auto"/>
              </w:rPr>
            </w:pPr>
            <w:r>
              <w:rPr>
                <w:rFonts w:ascii="Arial" w:cs="Arial" w:eastAsia="Arial" w:hAnsi="Arial"/>
                <w:sz w:val="12"/>
                <w:szCs w:val="12"/>
                <w:b w:val="1"/>
                <w:bCs w:val="1"/>
                <w:color w:val="auto"/>
              </w:rPr>
              <w:t>  Dawn Maroney</w:t>
            </w:r>
          </w:p>
        </w:tc>
        <w:tc>
          <w:tcPr>
            <w:tcW w:w="560" w:type="dxa"/>
            <w:vAlign w:val="bottom"/>
            <w:tcBorders>
              <w:top w:val="single" w:sz="8" w:color="95B3D7"/>
            </w:tcBorders>
            <w:shd w:val="clear" w:color="auto" w:fill="DBE5F1"/>
          </w:tcPr>
          <w:p>
            <w:pPr>
              <w:spacing w:after="0"/>
              <w:rPr>
                <w:sz w:val="9"/>
                <w:szCs w:val="9"/>
                <w:color w:val="auto"/>
              </w:rPr>
            </w:pPr>
          </w:p>
        </w:tc>
        <w:tc>
          <w:tcPr>
            <w:tcW w:w="980" w:type="dxa"/>
            <w:vAlign w:val="bottom"/>
            <w:tcBorders>
              <w:top w:val="single" w:sz="8" w:color="95B3D7"/>
            </w:tcBorders>
            <w:gridSpan w:val="2"/>
            <w:shd w:val="clear" w:color="auto" w:fill="DBE5F1"/>
          </w:tcPr>
          <w:p>
            <w:pPr>
              <w:ind w:left="380"/>
              <w:spacing w:after="0" w:line="105" w:lineRule="exact"/>
              <w:rPr>
                <w:sz w:val="20"/>
                <w:szCs w:val="20"/>
                <w:color w:val="auto"/>
              </w:rPr>
            </w:pPr>
            <w:r>
              <w:rPr>
                <w:rFonts w:ascii="Arial" w:cs="Arial" w:eastAsia="Arial" w:hAnsi="Arial"/>
                <w:sz w:val="12"/>
                <w:szCs w:val="12"/>
                <w:color w:val="auto"/>
              </w:rPr>
              <w:t>2023</w:t>
            </w:r>
          </w:p>
        </w:tc>
        <w:tc>
          <w:tcPr>
            <w:tcW w:w="1060" w:type="dxa"/>
            <w:vAlign w:val="bottom"/>
            <w:tcBorders>
              <w:top w:val="single" w:sz="8" w:color="95B3D7"/>
            </w:tcBorders>
            <w:shd w:val="clear" w:color="auto" w:fill="DBE5F1"/>
          </w:tcPr>
          <w:p>
            <w:pPr>
              <w:jc w:val="right"/>
              <w:ind w:right="397"/>
              <w:spacing w:after="0" w:line="105" w:lineRule="exact"/>
              <w:rPr>
                <w:sz w:val="20"/>
                <w:szCs w:val="20"/>
                <w:color w:val="auto"/>
              </w:rPr>
            </w:pPr>
            <w:r>
              <w:rPr>
                <w:rFonts w:ascii="Arial" w:cs="Arial" w:eastAsia="Arial" w:hAnsi="Arial"/>
                <w:sz w:val="12"/>
                <w:szCs w:val="12"/>
                <w:color w:val="auto"/>
              </w:rPr>
              <w:t>560,000</w:t>
            </w:r>
          </w:p>
        </w:tc>
        <w:tc>
          <w:tcPr>
            <w:tcW w:w="1260" w:type="dxa"/>
            <w:vAlign w:val="bottom"/>
            <w:tcBorders>
              <w:top w:val="single" w:sz="8" w:color="95B3D7"/>
            </w:tcBorders>
            <w:shd w:val="clear" w:color="auto" w:fill="DBE5F1"/>
          </w:tcPr>
          <w:p>
            <w:pPr>
              <w:jc w:val="right"/>
              <w:ind w:right="117"/>
              <w:spacing w:after="0" w:line="105" w:lineRule="exact"/>
              <w:rPr>
                <w:sz w:val="20"/>
                <w:szCs w:val="20"/>
                <w:color w:val="auto"/>
              </w:rPr>
            </w:pPr>
            <w:r>
              <w:rPr>
                <w:rFonts w:ascii="Arial" w:cs="Arial" w:eastAsia="Arial" w:hAnsi="Arial"/>
                <w:sz w:val="12"/>
                <w:szCs w:val="12"/>
                <w:color w:val="auto"/>
              </w:rPr>
              <w:t>205,000</w:t>
            </w:r>
          </w:p>
        </w:tc>
        <w:tc>
          <w:tcPr>
            <w:tcW w:w="1200" w:type="dxa"/>
            <w:vAlign w:val="bottom"/>
            <w:tcBorders>
              <w:top w:val="single" w:sz="8" w:color="95B3D7"/>
            </w:tcBorders>
            <w:shd w:val="clear" w:color="auto" w:fill="DBE5F1"/>
          </w:tcPr>
          <w:p>
            <w:pPr>
              <w:jc w:val="right"/>
              <w:ind w:right="119"/>
              <w:spacing w:after="0" w:line="105" w:lineRule="exact"/>
              <w:rPr>
                <w:sz w:val="20"/>
                <w:szCs w:val="20"/>
                <w:color w:val="auto"/>
              </w:rPr>
            </w:pPr>
            <w:r>
              <w:rPr>
                <w:rFonts w:ascii="Arial" w:cs="Arial" w:eastAsia="Arial" w:hAnsi="Arial"/>
                <w:sz w:val="12"/>
                <w:szCs w:val="12"/>
                <w:color w:val="auto"/>
              </w:rPr>
              <w:t>5,014,849</w:t>
            </w:r>
          </w:p>
        </w:tc>
        <w:tc>
          <w:tcPr>
            <w:tcW w:w="1140" w:type="dxa"/>
            <w:vAlign w:val="bottom"/>
            <w:tcBorders>
              <w:top w:val="single" w:sz="8" w:color="95B3D7"/>
            </w:tcBorders>
            <w:shd w:val="clear" w:color="auto" w:fill="DBE5F1"/>
          </w:tcPr>
          <w:p>
            <w:pPr>
              <w:jc w:val="right"/>
              <w:ind w:right="59"/>
              <w:spacing w:after="0" w:line="105" w:lineRule="exact"/>
              <w:rPr>
                <w:sz w:val="20"/>
                <w:szCs w:val="20"/>
                <w:color w:val="auto"/>
              </w:rPr>
            </w:pPr>
            <w:r>
              <w:rPr>
                <w:rFonts w:ascii="Arial" w:cs="Arial" w:eastAsia="Arial" w:hAnsi="Arial"/>
                <w:sz w:val="12"/>
                <w:szCs w:val="12"/>
                <w:color w:val="auto"/>
              </w:rPr>
              <w:t>—</w:t>
            </w:r>
          </w:p>
        </w:tc>
        <w:tc>
          <w:tcPr>
            <w:tcW w:w="1200" w:type="dxa"/>
            <w:vAlign w:val="bottom"/>
            <w:tcBorders>
              <w:top w:val="single" w:sz="8" w:color="95B3D7"/>
            </w:tcBorders>
            <w:shd w:val="clear" w:color="auto" w:fill="DBE5F1"/>
          </w:tcPr>
          <w:p>
            <w:pPr>
              <w:jc w:val="right"/>
              <w:ind w:right="58"/>
              <w:spacing w:after="0" w:line="105" w:lineRule="exact"/>
              <w:rPr>
                <w:sz w:val="20"/>
                <w:szCs w:val="20"/>
                <w:color w:val="auto"/>
              </w:rPr>
            </w:pPr>
            <w:r>
              <w:rPr>
                <w:rFonts w:ascii="Arial" w:cs="Arial" w:eastAsia="Arial" w:hAnsi="Arial"/>
                <w:sz w:val="12"/>
                <w:szCs w:val="12"/>
                <w:color w:val="auto"/>
              </w:rPr>
              <w:t>665,635</w:t>
            </w:r>
          </w:p>
        </w:tc>
        <w:tc>
          <w:tcPr>
            <w:tcW w:w="1320" w:type="dxa"/>
            <w:vAlign w:val="bottom"/>
            <w:tcBorders>
              <w:top w:val="single" w:sz="8" w:color="95B3D7"/>
            </w:tcBorders>
            <w:shd w:val="clear" w:color="auto" w:fill="DBE5F1"/>
          </w:tcPr>
          <w:p>
            <w:pPr>
              <w:jc w:val="right"/>
              <w:ind w:right="179"/>
              <w:spacing w:after="0" w:line="105" w:lineRule="exact"/>
              <w:rPr>
                <w:sz w:val="20"/>
                <w:szCs w:val="20"/>
                <w:color w:val="auto"/>
              </w:rPr>
            </w:pPr>
            <w:r>
              <w:rPr>
                <w:rFonts w:ascii="Arial" w:cs="Arial" w:eastAsia="Arial" w:hAnsi="Arial"/>
                <w:sz w:val="12"/>
                <w:szCs w:val="12"/>
                <w:color w:val="auto"/>
              </w:rPr>
              <w:t>13,515</w:t>
            </w:r>
          </w:p>
        </w:tc>
        <w:tc>
          <w:tcPr>
            <w:tcW w:w="860" w:type="dxa"/>
            <w:vAlign w:val="bottom"/>
            <w:tcBorders>
              <w:top w:val="single" w:sz="8" w:color="95B3D7"/>
            </w:tcBorders>
            <w:shd w:val="clear" w:color="auto" w:fill="DBE5F1"/>
          </w:tcPr>
          <w:p>
            <w:pPr>
              <w:jc w:val="right"/>
              <w:spacing w:after="0" w:line="105" w:lineRule="exact"/>
              <w:rPr>
                <w:sz w:val="20"/>
                <w:szCs w:val="20"/>
                <w:color w:val="auto"/>
              </w:rPr>
            </w:pPr>
            <w:r>
              <w:rPr>
                <w:rFonts w:ascii="Arial" w:cs="Arial" w:eastAsia="Arial" w:hAnsi="Arial"/>
                <w:sz w:val="12"/>
                <w:szCs w:val="12"/>
                <w:color w:val="auto"/>
              </w:rPr>
              <w:t>6,458,999</w:t>
            </w:r>
          </w:p>
        </w:tc>
        <w:tc>
          <w:tcPr>
            <w:tcW w:w="20" w:type="dxa"/>
            <w:vAlign w:val="bottom"/>
            <w:tcBorders>
              <w:top w:val="single" w:sz="8" w:color="DBE5F1"/>
            </w:tcBorders>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80" w:type="dxa"/>
            <w:vAlign w:val="bottom"/>
            <w:shd w:val="clear" w:color="auto" w:fill="DBE5F1"/>
          </w:tcPr>
          <w:p>
            <w:pPr>
              <w:spacing w:after="0"/>
              <w:rPr>
                <w:sz w:val="20"/>
                <w:szCs w:val="20"/>
                <w:color w:val="auto"/>
              </w:rPr>
            </w:pPr>
            <w:r>
              <w:rPr>
                <w:rFonts w:ascii="Arial" w:cs="Arial" w:eastAsia="Arial" w:hAnsi="Arial"/>
                <w:sz w:val="8"/>
                <w:szCs w:val="8"/>
                <w:color w:val="auto"/>
                <w:w w:val="74"/>
              </w:rPr>
              <w:t> </w:t>
            </w:r>
          </w:p>
        </w:tc>
        <w:tc>
          <w:tcPr>
            <w:tcW w:w="1360" w:type="dxa"/>
            <w:vAlign w:val="bottom"/>
            <w:shd w:val="clear" w:color="auto" w:fill="DBE5F1"/>
          </w:tcPr>
          <w:p>
            <w:pPr>
              <w:ind w:left="40"/>
              <w:spacing w:after="0" w:line="135" w:lineRule="exact"/>
              <w:rPr>
                <w:sz w:val="20"/>
                <w:szCs w:val="20"/>
                <w:color w:val="auto"/>
              </w:rPr>
            </w:pPr>
            <w:r>
              <w:rPr>
                <w:rFonts w:ascii="Arial" w:cs="Arial" w:eastAsia="Arial" w:hAnsi="Arial"/>
                <w:sz w:val="13"/>
                <w:szCs w:val="13"/>
                <w:color w:val="auto"/>
              </w:rPr>
              <w:t>  President,</w:t>
            </w:r>
          </w:p>
        </w:tc>
        <w:tc>
          <w:tcPr>
            <w:tcW w:w="560" w:type="dxa"/>
            <w:vAlign w:val="bottom"/>
            <w:shd w:val="clear" w:color="auto" w:fill="DBE5F1"/>
          </w:tcPr>
          <w:p>
            <w:pPr>
              <w:spacing w:after="0"/>
              <w:rPr>
                <w:sz w:val="11"/>
                <w:szCs w:val="11"/>
                <w:color w:val="auto"/>
              </w:rPr>
            </w:pPr>
          </w:p>
        </w:tc>
        <w:tc>
          <w:tcPr>
            <w:tcW w:w="660" w:type="dxa"/>
            <w:vAlign w:val="bottom"/>
            <w:shd w:val="clear" w:color="auto" w:fill="DBE5F1"/>
          </w:tcPr>
          <w:p>
            <w:pPr>
              <w:ind w:left="380"/>
              <w:spacing w:after="0" w:line="135" w:lineRule="exact"/>
              <w:rPr>
                <w:sz w:val="20"/>
                <w:szCs w:val="20"/>
                <w:color w:val="auto"/>
              </w:rPr>
            </w:pPr>
            <w:r>
              <w:rPr>
                <w:rFonts w:ascii="Arial" w:cs="Arial" w:eastAsia="Arial" w:hAnsi="Arial"/>
                <w:sz w:val="13"/>
                <w:szCs w:val="13"/>
                <w:color w:val="auto"/>
                <w:w w:val="89"/>
              </w:rPr>
              <w:t>2022</w:t>
            </w:r>
          </w:p>
        </w:tc>
        <w:tc>
          <w:tcPr>
            <w:tcW w:w="320" w:type="dxa"/>
            <w:vAlign w:val="bottom"/>
            <w:shd w:val="clear" w:color="auto" w:fill="DBE5F1"/>
          </w:tcPr>
          <w:p>
            <w:pPr>
              <w:spacing w:after="0"/>
              <w:rPr>
                <w:sz w:val="11"/>
                <w:szCs w:val="11"/>
                <w:color w:val="auto"/>
              </w:rPr>
            </w:pPr>
          </w:p>
        </w:tc>
        <w:tc>
          <w:tcPr>
            <w:tcW w:w="1060" w:type="dxa"/>
            <w:vAlign w:val="bottom"/>
            <w:shd w:val="clear" w:color="auto" w:fill="DBE5F1"/>
          </w:tcPr>
          <w:p>
            <w:pPr>
              <w:jc w:val="right"/>
              <w:ind w:right="397"/>
              <w:spacing w:after="0" w:line="135" w:lineRule="exact"/>
              <w:rPr>
                <w:sz w:val="20"/>
                <w:szCs w:val="20"/>
                <w:color w:val="auto"/>
              </w:rPr>
            </w:pPr>
            <w:r>
              <w:rPr>
                <w:rFonts w:ascii="Arial" w:cs="Arial" w:eastAsia="Arial" w:hAnsi="Arial"/>
                <w:sz w:val="13"/>
                <w:szCs w:val="13"/>
                <w:color w:val="auto"/>
              </w:rPr>
              <w:t>557,308</w:t>
            </w:r>
          </w:p>
        </w:tc>
        <w:tc>
          <w:tcPr>
            <w:tcW w:w="1260" w:type="dxa"/>
            <w:vAlign w:val="bottom"/>
            <w:shd w:val="clear" w:color="auto" w:fill="DBE5F1"/>
          </w:tcPr>
          <w:p>
            <w:pPr>
              <w:jc w:val="right"/>
              <w:ind w:right="117"/>
              <w:spacing w:after="0" w:line="135" w:lineRule="exact"/>
              <w:rPr>
                <w:sz w:val="20"/>
                <w:szCs w:val="20"/>
                <w:color w:val="auto"/>
              </w:rPr>
            </w:pPr>
            <w:r>
              <w:rPr>
                <w:rFonts w:ascii="Arial" w:cs="Arial" w:eastAsia="Arial" w:hAnsi="Arial"/>
                <w:sz w:val="13"/>
                <w:szCs w:val="13"/>
                <w:color w:val="auto"/>
              </w:rPr>
              <w:t>—</w:t>
            </w:r>
          </w:p>
        </w:tc>
        <w:tc>
          <w:tcPr>
            <w:tcW w:w="1200" w:type="dxa"/>
            <w:vAlign w:val="bottom"/>
            <w:shd w:val="clear" w:color="auto" w:fill="DBE5F1"/>
          </w:tcPr>
          <w:p>
            <w:pPr>
              <w:jc w:val="right"/>
              <w:ind w:right="119"/>
              <w:spacing w:after="0" w:line="135" w:lineRule="exact"/>
              <w:rPr>
                <w:sz w:val="20"/>
                <w:szCs w:val="20"/>
                <w:color w:val="auto"/>
              </w:rPr>
            </w:pPr>
            <w:r>
              <w:rPr>
                <w:rFonts w:ascii="Arial" w:cs="Arial" w:eastAsia="Arial" w:hAnsi="Arial"/>
                <w:sz w:val="13"/>
                <w:szCs w:val="13"/>
                <w:color w:val="auto"/>
              </w:rPr>
              <w:t>8,832,243</w:t>
            </w:r>
          </w:p>
        </w:tc>
        <w:tc>
          <w:tcPr>
            <w:tcW w:w="1140" w:type="dxa"/>
            <w:vAlign w:val="bottom"/>
            <w:shd w:val="clear" w:color="auto" w:fill="DBE5F1"/>
          </w:tcPr>
          <w:p>
            <w:pPr>
              <w:jc w:val="right"/>
              <w:ind w:right="59"/>
              <w:spacing w:after="0" w:line="135" w:lineRule="exact"/>
              <w:rPr>
                <w:sz w:val="20"/>
                <w:szCs w:val="20"/>
                <w:color w:val="auto"/>
              </w:rPr>
            </w:pPr>
            <w:r>
              <w:rPr>
                <w:rFonts w:ascii="Arial" w:cs="Arial" w:eastAsia="Arial" w:hAnsi="Arial"/>
                <w:sz w:val="13"/>
                <w:szCs w:val="13"/>
                <w:color w:val="auto"/>
              </w:rPr>
              <w:t>624,999</w:t>
            </w:r>
          </w:p>
        </w:tc>
        <w:tc>
          <w:tcPr>
            <w:tcW w:w="1200" w:type="dxa"/>
            <w:vAlign w:val="bottom"/>
            <w:shd w:val="clear" w:color="auto" w:fill="DBE5F1"/>
          </w:tcPr>
          <w:p>
            <w:pPr>
              <w:jc w:val="right"/>
              <w:ind w:right="58"/>
              <w:spacing w:after="0" w:line="135" w:lineRule="exact"/>
              <w:rPr>
                <w:sz w:val="20"/>
                <w:szCs w:val="20"/>
                <w:color w:val="auto"/>
              </w:rPr>
            </w:pPr>
            <w:r>
              <w:rPr>
                <w:rFonts w:ascii="Arial" w:cs="Arial" w:eastAsia="Arial" w:hAnsi="Arial"/>
                <w:sz w:val="13"/>
                <w:szCs w:val="13"/>
                <w:color w:val="auto"/>
              </w:rPr>
              <w:t>553,589</w:t>
            </w:r>
          </w:p>
        </w:tc>
        <w:tc>
          <w:tcPr>
            <w:tcW w:w="1320" w:type="dxa"/>
            <w:vAlign w:val="bottom"/>
            <w:shd w:val="clear" w:color="auto" w:fill="DBE5F1"/>
          </w:tcPr>
          <w:p>
            <w:pPr>
              <w:jc w:val="right"/>
              <w:ind w:right="179"/>
              <w:spacing w:after="0" w:line="135" w:lineRule="exact"/>
              <w:rPr>
                <w:sz w:val="20"/>
                <w:szCs w:val="20"/>
                <w:color w:val="auto"/>
              </w:rPr>
            </w:pPr>
            <w:r>
              <w:rPr>
                <w:rFonts w:ascii="Arial" w:cs="Arial" w:eastAsia="Arial" w:hAnsi="Arial"/>
                <w:sz w:val="13"/>
                <w:szCs w:val="13"/>
                <w:color w:val="auto"/>
              </w:rPr>
              <w:t>12,620</w:t>
            </w:r>
          </w:p>
        </w:tc>
        <w:tc>
          <w:tcPr>
            <w:tcW w:w="860" w:type="dxa"/>
            <w:vAlign w:val="bottom"/>
            <w:shd w:val="clear" w:color="auto" w:fill="DBE5F1"/>
          </w:tcPr>
          <w:p>
            <w:pPr>
              <w:jc w:val="right"/>
              <w:spacing w:after="0" w:line="135" w:lineRule="exact"/>
              <w:rPr>
                <w:sz w:val="20"/>
                <w:szCs w:val="20"/>
                <w:color w:val="auto"/>
              </w:rPr>
            </w:pPr>
            <w:r>
              <w:rPr>
                <w:rFonts w:ascii="Arial" w:cs="Arial" w:eastAsia="Arial" w:hAnsi="Arial"/>
                <w:sz w:val="13"/>
                <w:szCs w:val="13"/>
                <w:color w:val="auto"/>
              </w:rPr>
              <w:t>10,580,760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80" w:type="dxa"/>
            <w:vAlign w:val="bottom"/>
            <w:tcBorders>
              <w:bottom w:val="single" w:sz="8" w:color="95B3D7"/>
            </w:tcBorders>
            <w:shd w:val="clear" w:color="auto" w:fill="DBE5F1"/>
          </w:tcPr>
          <w:p>
            <w:pPr>
              <w:spacing w:after="0"/>
              <w:rPr>
                <w:sz w:val="20"/>
                <w:szCs w:val="20"/>
                <w:color w:val="auto"/>
              </w:rPr>
            </w:pPr>
            <w:r>
              <w:rPr>
                <w:rFonts w:ascii="Arial" w:cs="Arial" w:eastAsia="Arial" w:hAnsi="Arial"/>
                <w:sz w:val="8"/>
                <w:szCs w:val="8"/>
                <w:color w:val="auto"/>
                <w:w w:val="74"/>
              </w:rPr>
              <w:t> </w:t>
            </w:r>
          </w:p>
        </w:tc>
        <w:tc>
          <w:tcPr>
            <w:tcW w:w="1360" w:type="dxa"/>
            <w:vAlign w:val="bottom"/>
            <w:tcBorders>
              <w:bottom w:val="single" w:sz="8" w:color="95B3D7"/>
            </w:tcBorders>
            <w:shd w:val="clear" w:color="auto" w:fill="DBE5F1"/>
          </w:tcPr>
          <w:p>
            <w:pPr>
              <w:ind w:left="40"/>
              <w:spacing w:after="0"/>
              <w:rPr>
                <w:sz w:val="20"/>
                <w:szCs w:val="20"/>
                <w:color w:val="auto"/>
              </w:rPr>
            </w:pPr>
            <w:r>
              <w:rPr>
                <w:rFonts w:ascii="Arial" w:cs="Arial" w:eastAsia="Arial" w:hAnsi="Arial"/>
                <w:sz w:val="13"/>
                <w:szCs w:val="13"/>
                <w:color w:val="auto"/>
              </w:rPr>
              <w:t>   Markets</w:t>
            </w:r>
          </w:p>
        </w:tc>
        <w:tc>
          <w:tcPr>
            <w:tcW w:w="560" w:type="dxa"/>
            <w:vAlign w:val="bottom"/>
            <w:tcBorders>
              <w:bottom w:val="single" w:sz="8" w:color="95B3D7"/>
            </w:tcBorders>
            <w:shd w:val="clear" w:color="auto" w:fill="DBE5F1"/>
          </w:tcPr>
          <w:p>
            <w:pPr>
              <w:spacing w:after="0"/>
              <w:rPr>
                <w:sz w:val="14"/>
                <w:szCs w:val="14"/>
                <w:color w:val="auto"/>
              </w:rPr>
            </w:pPr>
          </w:p>
        </w:tc>
        <w:tc>
          <w:tcPr>
            <w:tcW w:w="660" w:type="dxa"/>
            <w:vAlign w:val="bottom"/>
            <w:tcBorders>
              <w:bottom w:val="single" w:sz="8" w:color="95B3D7"/>
            </w:tcBorders>
            <w:shd w:val="clear" w:color="auto" w:fill="DBE5F1"/>
          </w:tcPr>
          <w:p>
            <w:pPr>
              <w:ind w:left="380"/>
              <w:spacing w:after="0"/>
              <w:rPr>
                <w:sz w:val="20"/>
                <w:szCs w:val="20"/>
                <w:color w:val="auto"/>
              </w:rPr>
            </w:pPr>
            <w:r>
              <w:rPr>
                <w:rFonts w:ascii="Arial" w:cs="Arial" w:eastAsia="Arial" w:hAnsi="Arial"/>
                <w:sz w:val="13"/>
                <w:szCs w:val="13"/>
                <w:color w:val="auto"/>
                <w:w w:val="89"/>
              </w:rPr>
              <w:t>2021</w:t>
            </w:r>
          </w:p>
        </w:tc>
        <w:tc>
          <w:tcPr>
            <w:tcW w:w="320" w:type="dxa"/>
            <w:vAlign w:val="bottom"/>
            <w:tcBorders>
              <w:bottom w:val="single" w:sz="8" w:color="95B3D7"/>
            </w:tcBorders>
            <w:shd w:val="clear" w:color="auto" w:fill="DBE5F1"/>
          </w:tcPr>
          <w:p>
            <w:pPr>
              <w:spacing w:after="0"/>
              <w:rPr>
                <w:sz w:val="14"/>
                <w:szCs w:val="14"/>
                <w:color w:val="auto"/>
              </w:rPr>
            </w:pPr>
          </w:p>
        </w:tc>
        <w:tc>
          <w:tcPr>
            <w:tcW w:w="1060" w:type="dxa"/>
            <w:vAlign w:val="bottom"/>
            <w:tcBorders>
              <w:bottom w:val="single" w:sz="8" w:color="95B3D7"/>
            </w:tcBorders>
            <w:shd w:val="clear" w:color="auto" w:fill="DBE5F1"/>
          </w:tcPr>
          <w:p>
            <w:pPr>
              <w:jc w:val="right"/>
              <w:ind w:right="397"/>
              <w:spacing w:after="0"/>
              <w:rPr>
                <w:sz w:val="20"/>
                <w:szCs w:val="20"/>
                <w:color w:val="auto"/>
              </w:rPr>
            </w:pPr>
            <w:r>
              <w:rPr>
                <w:rFonts w:ascii="Arial" w:cs="Arial" w:eastAsia="Arial" w:hAnsi="Arial"/>
                <w:sz w:val="13"/>
                <w:szCs w:val="13"/>
                <w:color w:val="auto"/>
              </w:rPr>
              <w:t>536,731</w:t>
            </w:r>
          </w:p>
        </w:tc>
        <w:tc>
          <w:tcPr>
            <w:tcW w:w="1260" w:type="dxa"/>
            <w:vAlign w:val="bottom"/>
            <w:tcBorders>
              <w:bottom w:val="single" w:sz="8" w:color="95B3D7"/>
            </w:tcBorders>
            <w:shd w:val="clear" w:color="auto" w:fill="DBE5F1"/>
          </w:tcPr>
          <w:p>
            <w:pPr>
              <w:jc w:val="right"/>
              <w:ind w:right="117"/>
              <w:spacing w:after="0"/>
              <w:rPr>
                <w:sz w:val="20"/>
                <w:szCs w:val="20"/>
                <w:color w:val="auto"/>
              </w:rPr>
            </w:pPr>
            <w:r>
              <w:rPr>
                <w:rFonts w:ascii="Arial" w:cs="Arial" w:eastAsia="Arial" w:hAnsi="Arial"/>
                <w:sz w:val="13"/>
                <w:szCs w:val="13"/>
                <w:color w:val="auto"/>
              </w:rPr>
              <w:t>20,000</w:t>
            </w:r>
          </w:p>
        </w:tc>
        <w:tc>
          <w:tcPr>
            <w:tcW w:w="1200" w:type="dxa"/>
            <w:vAlign w:val="bottom"/>
            <w:tcBorders>
              <w:bottom w:val="single" w:sz="8" w:color="95B3D7"/>
            </w:tcBorders>
            <w:shd w:val="clear" w:color="auto" w:fill="DBE5F1"/>
          </w:tcPr>
          <w:p>
            <w:pPr>
              <w:jc w:val="right"/>
              <w:ind w:right="119"/>
              <w:spacing w:after="0"/>
              <w:rPr>
                <w:sz w:val="20"/>
                <w:szCs w:val="20"/>
                <w:color w:val="auto"/>
              </w:rPr>
            </w:pPr>
            <w:r>
              <w:rPr>
                <w:rFonts w:ascii="Arial" w:cs="Arial" w:eastAsia="Arial" w:hAnsi="Arial"/>
                <w:sz w:val="13"/>
                <w:szCs w:val="13"/>
                <w:color w:val="auto"/>
              </w:rPr>
              <w:t>5,146,254</w:t>
            </w:r>
          </w:p>
        </w:tc>
        <w:tc>
          <w:tcPr>
            <w:tcW w:w="1140" w:type="dxa"/>
            <w:vAlign w:val="bottom"/>
            <w:tcBorders>
              <w:bottom w:val="single" w:sz="8" w:color="95B3D7"/>
            </w:tcBorders>
            <w:shd w:val="clear" w:color="auto" w:fill="DBE5F1"/>
          </w:tcPr>
          <w:p>
            <w:pPr>
              <w:jc w:val="right"/>
              <w:ind w:right="59"/>
              <w:spacing w:after="0"/>
              <w:rPr>
                <w:sz w:val="20"/>
                <w:szCs w:val="20"/>
                <w:color w:val="auto"/>
              </w:rPr>
            </w:pPr>
            <w:r>
              <w:rPr>
                <w:rFonts w:ascii="Arial" w:cs="Arial" w:eastAsia="Arial" w:hAnsi="Arial"/>
                <w:sz w:val="13"/>
                <w:szCs w:val="13"/>
                <w:color w:val="auto"/>
              </w:rPr>
              <w:t>7,781,800</w:t>
            </w:r>
          </w:p>
        </w:tc>
        <w:tc>
          <w:tcPr>
            <w:tcW w:w="1200" w:type="dxa"/>
            <w:vAlign w:val="bottom"/>
            <w:tcBorders>
              <w:bottom w:val="single" w:sz="8" w:color="95B3D7"/>
            </w:tcBorders>
            <w:shd w:val="clear" w:color="auto" w:fill="DBE5F1"/>
          </w:tcPr>
          <w:p>
            <w:pPr>
              <w:jc w:val="right"/>
              <w:ind w:right="58"/>
              <w:spacing w:after="0"/>
              <w:rPr>
                <w:sz w:val="20"/>
                <w:szCs w:val="20"/>
                <w:color w:val="auto"/>
              </w:rPr>
            </w:pPr>
            <w:r>
              <w:rPr>
                <w:rFonts w:ascii="Arial" w:cs="Arial" w:eastAsia="Arial" w:hAnsi="Arial"/>
                <w:sz w:val="13"/>
                <w:szCs w:val="13"/>
                <w:color w:val="auto"/>
              </w:rPr>
              <w:t>468,128</w:t>
            </w:r>
          </w:p>
        </w:tc>
        <w:tc>
          <w:tcPr>
            <w:tcW w:w="1320" w:type="dxa"/>
            <w:vAlign w:val="bottom"/>
            <w:tcBorders>
              <w:bottom w:val="single" w:sz="8" w:color="95B3D7"/>
            </w:tcBorders>
            <w:shd w:val="clear" w:color="auto" w:fill="DBE5F1"/>
          </w:tcPr>
          <w:p>
            <w:pPr>
              <w:jc w:val="right"/>
              <w:ind w:right="179"/>
              <w:spacing w:after="0"/>
              <w:rPr>
                <w:sz w:val="20"/>
                <w:szCs w:val="20"/>
                <w:color w:val="auto"/>
              </w:rPr>
            </w:pPr>
            <w:r>
              <w:rPr>
                <w:rFonts w:ascii="Arial" w:cs="Arial" w:eastAsia="Arial" w:hAnsi="Arial"/>
                <w:sz w:val="13"/>
                <w:szCs w:val="13"/>
                <w:color w:val="auto"/>
              </w:rPr>
              <w:t>12,020</w:t>
            </w: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3"/>
                <w:szCs w:val="13"/>
                <w:color w:val="auto"/>
              </w:rPr>
              <w:t>13,964,932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00" w:type="dxa"/>
            <w:vAlign w:val="bottom"/>
            <w:gridSpan w:val="3"/>
          </w:tcPr>
          <w:p>
            <w:pPr>
              <w:spacing w:after="0" w:line="136" w:lineRule="exact"/>
              <w:rPr>
                <w:sz w:val="20"/>
                <w:szCs w:val="20"/>
                <w:color w:val="auto"/>
              </w:rPr>
            </w:pPr>
            <w:r>
              <w:rPr>
                <w:rFonts w:ascii="Arial" w:cs="Arial" w:eastAsia="Arial" w:hAnsi="Arial"/>
                <w:sz w:val="13"/>
                <w:szCs w:val="13"/>
                <w:b w:val="1"/>
                <w:bCs w:val="1"/>
                <w:color w:val="auto"/>
              </w:rPr>
              <w:t>  Hakan Kardes</w:t>
            </w:r>
          </w:p>
        </w:tc>
        <w:tc>
          <w:tcPr>
            <w:tcW w:w="980" w:type="dxa"/>
            <w:vAlign w:val="bottom"/>
            <w:gridSpan w:val="2"/>
          </w:tcPr>
          <w:p>
            <w:pPr>
              <w:ind w:left="380"/>
              <w:spacing w:after="0" w:line="136" w:lineRule="exact"/>
              <w:rPr>
                <w:sz w:val="20"/>
                <w:szCs w:val="20"/>
                <w:color w:val="auto"/>
              </w:rPr>
            </w:pPr>
            <w:r>
              <w:rPr>
                <w:rFonts w:ascii="Arial" w:cs="Arial" w:eastAsia="Arial" w:hAnsi="Arial"/>
                <w:sz w:val="13"/>
                <w:szCs w:val="13"/>
                <w:color w:val="auto"/>
              </w:rPr>
              <w:t>2023</w:t>
            </w:r>
          </w:p>
        </w:tc>
        <w:tc>
          <w:tcPr>
            <w:tcW w:w="1060" w:type="dxa"/>
            <w:vAlign w:val="bottom"/>
          </w:tcPr>
          <w:p>
            <w:pPr>
              <w:jc w:val="right"/>
              <w:ind w:right="417"/>
              <w:spacing w:after="0" w:line="136" w:lineRule="exact"/>
              <w:rPr>
                <w:sz w:val="20"/>
                <w:szCs w:val="20"/>
                <w:color w:val="auto"/>
              </w:rPr>
            </w:pPr>
            <w:r>
              <w:rPr>
                <w:rFonts w:ascii="Arial" w:cs="Arial" w:eastAsia="Arial" w:hAnsi="Arial"/>
                <w:sz w:val="13"/>
                <w:szCs w:val="13"/>
                <w:color w:val="auto"/>
              </w:rPr>
              <w:t>411,539</w:t>
            </w:r>
          </w:p>
        </w:tc>
        <w:tc>
          <w:tcPr>
            <w:tcW w:w="1260" w:type="dxa"/>
            <w:vAlign w:val="bottom"/>
          </w:tcPr>
          <w:p>
            <w:pPr>
              <w:jc w:val="right"/>
              <w:ind w:right="117"/>
              <w:spacing w:after="0" w:line="136" w:lineRule="exact"/>
              <w:rPr>
                <w:sz w:val="20"/>
                <w:szCs w:val="20"/>
                <w:color w:val="auto"/>
              </w:rPr>
            </w:pPr>
            <w:r>
              <w:rPr>
                <w:rFonts w:ascii="Arial" w:cs="Arial" w:eastAsia="Arial" w:hAnsi="Arial"/>
                <w:sz w:val="13"/>
                <w:szCs w:val="13"/>
                <w:color w:val="auto"/>
              </w:rPr>
              <w:t>90,000</w:t>
            </w:r>
          </w:p>
        </w:tc>
        <w:tc>
          <w:tcPr>
            <w:tcW w:w="1200" w:type="dxa"/>
            <w:vAlign w:val="bottom"/>
          </w:tcPr>
          <w:p>
            <w:pPr>
              <w:jc w:val="right"/>
              <w:ind w:right="119"/>
              <w:spacing w:after="0" w:line="136" w:lineRule="exact"/>
              <w:rPr>
                <w:sz w:val="20"/>
                <w:szCs w:val="20"/>
                <w:color w:val="auto"/>
              </w:rPr>
            </w:pPr>
            <w:r>
              <w:rPr>
                <w:rFonts w:ascii="Arial" w:cs="Arial" w:eastAsia="Arial" w:hAnsi="Arial"/>
                <w:sz w:val="13"/>
                <w:szCs w:val="13"/>
                <w:color w:val="auto"/>
              </w:rPr>
              <w:t>2,330,440</w:t>
            </w:r>
          </w:p>
        </w:tc>
        <w:tc>
          <w:tcPr>
            <w:tcW w:w="1140" w:type="dxa"/>
            <w:vAlign w:val="bottom"/>
          </w:tcPr>
          <w:p>
            <w:pPr>
              <w:jc w:val="right"/>
              <w:ind w:right="59"/>
              <w:spacing w:after="0" w:line="136" w:lineRule="exact"/>
              <w:rPr>
                <w:sz w:val="20"/>
                <w:szCs w:val="20"/>
                <w:color w:val="auto"/>
              </w:rPr>
            </w:pPr>
            <w:r>
              <w:rPr>
                <w:rFonts w:ascii="Arial" w:cs="Arial" w:eastAsia="Arial" w:hAnsi="Arial"/>
                <w:sz w:val="13"/>
                <w:szCs w:val="13"/>
                <w:color w:val="auto"/>
              </w:rPr>
              <w:t>—</w:t>
            </w:r>
          </w:p>
        </w:tc>
        <w:tc>
          <w:tcPr>
            <w:tcW w:w="1200" w:type="dxa"/>
            <w:vAlign w:val="bottom"/>
          </w:tcPr>
          <w:p>
            <w:pPr>
              <w:jc w:val="right"/>
              <w:ind w:right="58"/>
              <w:spacing w:after="0" w:line="136" w:lineRule="exact"/>
              <w:rPr>
                <w:sz w:val="20"/>
                <w:szCs w:val="20"/>
                <w:color w:val="auto"/>
              </w:rPr>
            </w:pPr>
            <w:r>
              <w:rPr>
                <w:rFonts w:ascii="Arial" w:cs="Arial" w:eastAsia="Arial" w:hAnsi="Arial"/>
                <w:sz w:val="13"/>
                <w:szCs w:val="13"/>
                <w:color w:val="auto"/>
              </w:rPr>
              <w:t>375,875</w:t>
            </w:r>
          </w:p>
        </w:tc>
        <w:tc>
          <w:tcPr>
            <w:tcW w:w="1320" w:type="dxa"/>
            <w:vAlign w:val="bottom"/>
          </w:tcPr>
          <w:p>
            <w:pPr>
              <w:jc w:val="right"/>
              <w:ind w:right="179"/>
              <w:spacing w:after="0" w:line="136" w:lineRule="exact"/>
              <w:rPr>
                <w:sz w:val="20"/>
                <w:szCs w:val="20"/>
                <w:color w:val="auto"/>
              </w:rPr>
            </w:pPr>
            <w:r>
              <w:rPr>
                <w:rFonts w:ascii="Arial" w:cs="Arial" w:eastAsia="Arial" w:hAnsi="Arial"/>
                <w:sz w:val="13"/>
                <w:szCs w:val="13"/>
                <w:color w:val="auto"/>
              </w:rPr>
              <w:t>13,620</w:t>
            </w:r>
          </w:p>
        </w:tc>
        <w:tc>
          <w:tcPr>
            <w:tcW w:w="860" w:type="dxa"/>
            <w:vAlign w:val="bottom"/>
          </w:tcPr>
          <w:p>
            <w:pPr>
              <w:jc w:val="right"/>
              <w:spacing w:after="0" w:line="136" w:lineRule="exact"/>
              <w:rPr>
                <w:sz w:val="20"/>
                <w:szCs w:val="20"/>
                <w:color w:val="auto"/>
              </w:rPr>
            </w:pPr>
            <w:r>
              <w:rPr>
                <w:rFonts w:ascii="Arial" w:cs="Arial" w:eastAsia="Arial" w:hAnsi="Arial"/>
                <w:sz w:val="13"/>
                <w:szCs w:val="13"/>
                <w:color w:val="auto"/>
              </w:rPr>
              <w:t>3,221,474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124" w:hanging="124"/>
        <w:spacing w:after="0" w:line="234" w:lineRule="auto"/>
        <w:tabs>
          <w:tab w:leader="none" w:pos="124" w:val="left"/>
        </w:tabs>
        <w:numPr>
          <w:ilvl w:val="0"/>
          <w:numId w:val="45"/>
        </w:numPr>
        <w:rPr>
          <w:rFonts w:ascii="Arial" w:cs="Arial" w:eastAsia="Arial" w:hAnsi="Arial"/>
          <w:sz w:val="12"/>
          <w:szCs w:val="12"/>
          <w:color w:val="auto"/>
        </w:rPr>
      </w:pPr>
      <w:r>
        <w:rPr>
          <w:rFonts w:ascii="Arial" w:cs="Arial" w:eastAsia="Arial" w:hAnsi="Arial"/>
          <w:sz w:val="12"/>
          <w:szCs w:val="12"/>
          <w:color w:val="auto"/>
        </w:rPr>
        <w:t>  Chief</w:t>
      </w:r>
    </w:p>
    <w:p>
      <w:pPr>
        <w:ind w:left="124" w:hanging="124"/>
        <w:spacing w:after="0" w:line="234" w:lineRule="auto"/>
        <w:tabs>
          <w:tab w:leader="none" w:pos="124" w:val="left"/>
        </w:tabs>
        <w:numPr>
          <w:ilvl w:val="0"/>
          <w:numId w:val="45"/>
        </w:numPr>
        <w:rPr>
          <w:rFonts w:ascii="Arial" w:cs="Arial" w:eastAsia="Arial" w:hAnsi="Arial"/>
          <w:sz w:val="12"/>
          <w:szCs w:val="12"/>
          <w:color w:val="auto"/>
        </w:rPr>
      </w:pPr>
      <w:r>
        <w:rPr>
          <w:rFonts w:ascii="Arial" w:cs="Arial" w:eastAsia="Arial" w:hAnsi="Arial"/>
          <w:sz w:val="12"/>
          <w:szCs w:val="12"/>
          <w:color w:val="auto"/>
        </w:rPr>
        <w:t>  Experience</w:t>
      </w:r>
    </w:p>
    <w:p>
      <w:pPr>
        <w:ind w:left="124" w:hanging="124"/>
        <w:spacing w:after="0" w:line="198" w:lineRule="auto"/>
        <w:tabs>
          <w:tab w:leader="none" w:pos="124" w:val="left"/>
        </w:tabs>
        <w:numPr>
          <w:ilvl w:val="0"/>
          <w:numId w:val="45"/>
        </w:numPr>
        <w:rPr>
          <w:rFonts w:ascii="Arial" w:cs="Arial" w:eastAsia="Arial" w:hAnsi="Arial"/>
          <w:sz w:val="12"/>
          <w:szCs w:val="12"/>
          <w:color w:val="auto"/>
        </w:rPr>
      </w:pPr>
      <w:r>
        <w:rPr>
          <w:rFonts w:ascii="Arial" w:cs="Arial" w:eastAsia="Arial" w:hAnsi="Arial"/>
          <w:sz w:val="12"/>
          <w:szCs w:val="12"/>
          <w:color w:val="auto"/>
        </w:rPr>
        <w:t>  Officer</w:t>
      </w:r>
      <w:r>
        <w:rPr>
          <w:rFonts w:ascii="Arial" w:cs="Arial" w:eastAsia="Arial" w:hAnsi="Arial"/>
          <w:sz w:val="17"/>
          <w:szCs w:val="17"/>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-3810</wp:posOffset>
            </wp:positionV>
            <wp:extent cx="6995160" cy="3600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95160" cy="360045"/>
                    </a:xfrm>
                    <a:prstGeom prst="rect">
                      <a:avLst/>
                    </a:prstGeom>
                    <a:noFill/>
                  </pic:spPr>
                </pic:pic>
              </a:graphicData>
            </a:graphic>
          </wp:anchor>
        </w:drawing>
      </w:r>
    </w:p>
    <w:p>
      <w:pPr>
        <w:ind w:left="4"/>
        <w:spacing w:after="0" w:line="236" w:lineRule="auto"/>
        <w:tabs>
          <w:tab w:leader="none" w:pos="2364" w:val="left"/>
          <w:tab w:leader="none" w:pos="3044" w:val="left"/>
          <w:tab w:leader="none" w:pos="4704" w:val="left"/>
          <w:tab w:leader="none" w:pos="5744" w:val="left"/>
          <w:tab w:leader="none" w:pos="7364" w:val="left"/>
          <w:tab w:leader="none" w:pos="8264" w:val="left"/>
          <w:tab w:leader="none" w:pos="9784" w:val="left"/>
          <w:tab w:leader="none" w:pos="10444" w:val="left"/>
        </w:tabs>
        <w:rPr>
          <w:sz w:val="20"/>
          <w:szCs w:val="20"/>
          <w:color w:val="auto"/>
        </w:rPr>
      </w:pPr>
      <w:r>
        <w:rPr>
          <w:rFonts w:ascii="Arial" w:cs="Arial" w:eastAsia="Arial" w:hAnsi="Arial"/>
          <w:sz w:val="13"/>
          <w:szCs w:val="13"/>
          <w:b w:val="1"/>
          <w:bCs w:val="1"/>
          <w:color w:val="auto"/>
        </w:rPr>
        <w:t>  Hyong (Ken)</w:t>
      </w:r>
      <w:r>
        <w:rPr>
          <w:sz w:val="20"/>
          <w:szCs w:val="20"/>
          <w:color w:val="auto"/>
        </w:rPr>
        <w:tab/>
      </w:r>
      <w:r>
        <w:rPr>
          <w:rFonts w:ascii="Arial" w:cs="Arial" w:eastAsia="Arial" w:hAnsi="Arial"/>
          <w:sz w:val="13"/>
          <w:szCs w:val="13"/>
          <w:color w:val="auto"/>
        </w:rPr>
        <w:t>2023</w:t>
      </w:r>
      <w:r>
        <w:rPr>
          <w:sz w:val="20"/>
          <w:szCs w:val="20"/>
          <w:color w:val="auto"/>
        </w:rPr>
        <w:tab/>
      </w:r>
      <w:r>
        <w:rPr>
          <w:rFonts w:ascii="Arial" w:cs="Arial" w:eastAsia="Arial" w:hAnsi="Arial"/>
          <w:sz w:val="11"/>
          <w:szCs w:val="11"/>
          <w:color w:val="auto"/>
        </w:rPr>
        <w:t>140,000</w:t>
      </w:r>
      <w:r>
        <w:rPr>
          <w:rFonts w:ascii="Arial" w:cs="Arial" w:eastAsia="Arial" w:hAnsi="Arial"/>
          <w:sz w:val="15"/>
          <w:szCs w:val="15"/>
          <w:color w:val="auto"/>
          <w:vertAlign w:val="superscript"/>
        </w:rPr>
        <w:t>(7)</w:t>
      </w:r>
      <w:r>
        <w:rPr>
          <w:sz w:val="20"/>
          <w:szCs w:val="20"/>
          <w:color w:val="auto"/>
        </w:rPr>
        <w:tab/>
      </w:r>
      <w:r>
        <w:rPr>
          <w:rFonts w:ascii="Arial" w:cs="Arial" w:eastAsia="Arial" w:hAnsi="Arial"/>
          <w:sz w:val="13"/>
          <w:szCs w:val="13"/>
          <w:color w:val="auto"/>
        </w:rPr>
        <w:t>20,000</w:t>
      </w:r>
      <w:r>
        <w:rPr>
          <w:sz w:val="20"/>
          <w:szCs w:val="20"/>
          <w:color w:val="auto"/>
        </w:rPr>
        <w:tab/>
      </w:r>
      <w:r>
        <w:rPr>
          <w:rFonts w:ascii="Arial" w:cs="Arial" w:eastAsia="Arial" w:hAnsi="Arial"/>
          <w:sz w:val="13"/>
          <w:szCs w:val="13"/>
          <w:color w:val="auto"/>
        </w:rPr>
        <w:t>2,787,000</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3"/>
          <w:szCs w:val="13"/>
          <w:color w:val="auto"/>
        </w:rPr>
        <w:t>112,277</w:t>
      </w:r>
      <w:r>
        <w:rPr>
          <w:sz w:val="20"/>
          <w:szCs w:val="20"/>
          <w:color w:val="auto"/>
        </w:rPr>
        <w:tab/>
      </w:r>
      <w:r>
        <w:rPr>
          <w:rFonts w:ascii="Arial" w:cs="Arial" w:eastAsia="Arial" w:hAnsi="Arial"/>
          <w:sz w:val="13"/>
          <w:szCs w:val="13"/>
          <w:color w:val="auto"/>
        </w:rPr>
        <w:t>—</w:t>
      </w:r>
      <w:r>
        <w:rPr>
          <w:sz w:val="20"/>
          <w:szCs w:val="20"/>
          <w:color w:val="auto"/>
        </w:rPr>
        <w:tab/>
      </w:r>
      <w:r>
        <w:rPr>
          <w:rFonts w:ascii="Arial" w:cs="Arial" w:eastAsia="Arial" w:hAnsi="Arial"/>
          <w:sz w:val="12"/>
          <w:szCs w:val="12"/>
          <w:color w:val="auto"/>
        </w:rPr>
        <w:t>3,059,277</w:t>
      </w:r>
    </w:p>
    <w:p>
      <w:pPr>
        <w:ind w:left="124" w:hanging="124"/>
        <w:spacing w:after="0" w:line="234" w:lineRule="auto"/>
        <w:tabs>
          <w:tab w:leader="none" w:pos="124" w:val="left"/>
        </w:tabs>
        <w:numPr>
          <w:ilvl w:val="0"/>
          <w:numId w:val="46"/>
        </w:numPr>
        <w:rPr>
          <w:rFonts w:ascii="Arial" w:cs="Arial" w:eastAsia="Arial" w:hAnsi="Arial"/>
          <w:sz w:val="12"/>
          <w:szCs w:val="12"/>
          <w:b w:val="1"/>
          <w:bCs w:val="1"/>
          <w:color w:val="auto"/>
        </w:rPr>
      </w:pPr>
      <w:r>
        <w:rPr>
          <w:rFonts w:ascii="Arial" w:cs="Arial" w:eastAsia="Arial" w:hAnsi="Arial"/>
          <w:sz w:val="12"/>
          <w:szCs w:val="12"/>
          <w:b w:val="1"/>
          <w:bCs w:val="1"/>
          <w:color w:val="auto"/>
        </w:rPr>
        <w:t>  Kim, M.D.</w:t>
      </w:r>
    </w:p>
    <w:p>
      <w:pPr>
        <w:ind w:left="124" w:hanging="124"/>
        <w:spacing w:after="0" w:line="234" w:lineRule="auto"/>
        <w:tabs>
          <w:tab w:leader="none" w:pos="124" w:val="left"/>
        </w:tabs>
        <w:numPr>
          <w:ilvl w:val="0"/>
          <w:numId w:val="46"/>
        </w:numPr>
        <w:rPr>
          <w:rFonts w:ascii="Arial" w:cs="Arial" w:eastAsia="Arial" w:hAnsi="Arial"/>
          <w:sz w:val="12"/>
          <w:szCs w:val="12"/>
          <w:color w:val="auto"/>
        </w:rPr>
      </w:pPr>
      <w:r>
        <w:rPr>
          <w:rFonts w:ascii="Arial" w:cs="Arial" w:eastAsia="Arial" w:hAnsi="Arial"/>
          <w:sz w:val="12"/>
          <w:szCs w:val="12"/>
          <w:color w:val="auto"/>
        </w:rPr>
        <w:t>  Chief Medical</w:t>
      </w:r>
    </w:p>
    <w:p>
      <w:pPr>
        <w:ind w:left="124" w:hanging="124"/>
        <w:spacing w:after="0"/>
        <w:tabs>
          <w:tab w:leader="none" w:pos="124" w:val="left"/>
        </w:tabs>
        <w:numPr>
          <w:ilvl w:val="0"/>
          <w:numId w:val="46"/>
        </w:numPr>
        <w:rPr>
          <w:rFonts w:ascii="Arial" w:cs="Arial" w:eastAsia="Arial" w:hAnsi="Arial"/>
          <w:sz w:val="12"/>
          <w:szCs w:val="12"/>
          <w:color w:val="auto"/>
        </w:rPr>
      </w:pPr>
      <w:r>
        <w:rPr>
          <w:rFonts w:ascii="Arial" w:cs="Arial" w:eastAsia="Arial" w:hAnsi="Arial"/>
          <w:sz w:val="12"/>
          <w:szCs w:val="12"/>
          <w:color w:val="auto"/>
        </w:rPr>
        <w:t>  Officer</w:t>
      </w:r>
      <w:r>
        <w:rPr>
          <w:rFonts w:ascii="Arial" w:cs="Arial" w:eastAsia="Arial" w:hAnsi="Arial"/>
          <w:sz w:val="17"/>
          <w:szCs w:val="17"/>
          <w:color w:val="auto"/>
          <w:vertAlign w:val="superscript"/>
        </w:rPr>
        <w:t>(7)</w:t>
      </w:r>
    </w:p>
    <w:p>
      <w:pPr>
        <w:spacing w:after="0" w:line="84" w:lineRule="exact"/>
        <w:rPr>
          <w:rFonts w:ascii="Arial" w:cs="Arial" w:eastAsia="Arial" w:hAnsi="Arial"/>
          <w:sz w:val="12"/>
          <w:szCs w:val="12"/>
          <w:color w:val="auto"/>
        </w:rPr>
      </w:pPr>
    </w:p>
    <w:p>
      <w:pPr>
        <w:ind w:left="764" w:right="100" w:hanging="332"/>
        <w:spacing w:after="0" w:line="263" w:lineRule="auto"/>
        <w:tabs>
          <w:tab w:leader="none" w:pos="764" w:val="left"/>
        </w:tabs>
        <w:numPr>
          <w:ilvl w:val="1"/>
          <w:numId w:val="46"/>
        </w:numPr>
        <w:rPr>
          <w:rFonts w:ascii="Arial" w:cs="Arial" w:eastAsia="Arial" w:hAnsi="Arial"/>
          <w:sz w:val="14"/>
          <w:szCs w:val="14"/>
          <w:color w:val="auto"/>
        </w:rPr>
      </w:pPr>
      <w:r>
        <w:rPr>
          <w:rFonts w:ascii="Arial" w:cs="Arial" w:eastAsia="Arial" w:hAnsi="Arial"/>
          <w:sz w:val="14"/>
          <w:szCs w:val="14"/>
          <w:color w:val="auto"/>
        </w:rPr>
        <w:t>For 2023, represents discretionary bonuses awarded to certain NEOs, which were payable in the form of immediately vested shares of common stock. Amounts shown reflect the grant date fair value of such stock awards, computed in accordance with the Financial Accounting Standards Board Accounting Standards Codification Topic 718, “Stock Compensation” (“FASB ASC Topic 718”).</w:t>
      </w:r>
    </w:p>
    <w:p>
      <w:pPr>
        <w:spacing w:after="0" w:line="64" w:lineRule="exact"/>
        <w:rPr>
          <w:rFonts w:ascii="Arial" w:cs="Arial" w:eastAsia="Arial" w:hAnsi="Arial"/>
          <w:sz w:val="14"/>
          <w:szCs w:val="14"/>
          <w:color w:val="auto"/>
        </w:rPr>
      </w:pPr>
    </w:p>
    <w:p>
      <w:pPr>
        <w:ind w:left="764"/>
        <w:spacing w:after="0"/>
        <w:rPr>
          <w:rFonts w:ascii="Arial" w:cs="Arial" w:eastAsia="Arial" w:hAnsi="Arial"/>
          <w:sz w:val="14"/>
          <w:szCs w:val="14"/>
          <w:color w:val="auto"/>
        </w:rPr>
      </w:pPr>
      <w:r>
        <w:rPr>
          <w:rFonts w:ascii="Arial" w:cs="Arial" w:eastAsia="Arial" w:hAnsi="Arial"/>
          <w:sz w:val="14"/>
          <w:szCs w:val="14"/>
          <w:color w:val="auto"/>
        </w:rPr>
        <w:t>For 2021, represents a one-time bonus granted in connection with our IPO.</w:t>
      </w:r>
    </w:p>
    <w:p>
      <w:pPr>
        <w:spacing w:after="0" w:line="122" w:lineRule="exact"/>
        <w:rPr>
          <w:rFonts w:ascii="Arial" w:cs="Arial" w:eastAsia="Arial" w:hAnsi="Arial"/>
          <w:sz w:val="14"/>
          <w:szCs w:val="14"/>
          <w:color w:val="auto"/>
        </w:rPr>
      </w:pPr>
    </w:p>
    <w:p>
      <w:pPr>
        <w:ind w:left="764" w:right="120" w:hanging="332"/>
        <w:spacing w:after="0" w:line="263" w:lineRule="auto"/>
        <w:tabs>
          <w:tab w:leader="none" w:pos="764" w:val="left"/>
        </w:tabs>
        <w:numPr>
          <w:ilvl w:val="1"/>
          <w:numId w:val="46"/>
        </w:numPr>
        <w:rPr>
          <w:rFonts w:ascii="Arial" w:cs="Arial" w:eastAsia="Arial" w:hAnsi="Arial"/>
          <w:sz w:val="14"/>
          <w:szCs w:val="14"/>
          <w:color w:val="auto"/>
        </w:rPr>
      </w:pPr>
      <w:r>
        <w:rPr>
          <w:rFonts w:ascii="Arial" w:cs="Arial" w:eastAsia="Arial" w:hAnsi="Arial"/>
          <w:sz w:val="14"/>
          <w:szCs w:val="14"/>
          <w:color w:val="auto"/>
        </w:rPr>
        <w:t>For 2023, represents the grant date fair values associated with the grant of performance share units (“PSUs”) of Alignment to each of the NEOs, computed in accordance with FASB ASC Topic 718. The grant date fair value of the PSU awards reflected in this column is the target payout based on the probable outcome of the performance-based conditions, determined as of the grant date. PSUs awarded in 2023 are earned based on achievement of certain performance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-972820</wp:posOffset>
            </wp:positionV>
            <wp:extent cx="699516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24"/>
          </w:cols>
          <w:pgMar w:left="436" w:top="296" w:right="439" w:bottom="1440" w:gutter="0" w:footer="0" w:header="0"/>
        </w:sectPr>
      </w:pPr>
    </w:p>
    <w:bookmarkStart w:id="63" w:name="page64"/>
    <w:bookmarkEnd w:id="63"/>
    <w:p>
      <w:pPr>
        <w:ind w:left="340" w:right="140"/>
        <w:spacing w:after="0" w:line="263" w:lineRule="auto"/>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over fiscal year 2024 and vest in two tranches in or about March 2025 and at December 31, 2025. The maximum potential payout of the PSU awards would be 150% of the target shares awarded on the grant date. These amounts reflect an accounting expense and do not correspond to the actual value that may be realized by the NEOs. See the “</w:t>
      </w:r>
      <w:r>
        <w:rPr>
          <w:rFonts w:ascii="Arial" w:cs="Arial" w:eastAsia="Arial" w:hAnsi="Arial"/>
          <w:sz w:val="14"/>
          <w:szCs w:val="14"/>
          <w:i w:val="1"/>
          <w:iCs w:val="1"/>
          <w:color w:val="auto"/>
        </w:rPr>
        <w:t>Grants of Plan-Based Awards</w:t>
      </w:r>
      <w:r>
        <w:rPr>
          <w:rFonts w:ascii="Arial" w:cs="Arial" w:eastAsia="Arial" w:hAnsi="Arial"/>
          <w:sz w:val="14"/>
          <w:szCs w:val="14"/>
          <w:color w:val="auto"/>
        </w:rPr>
        <w:t>” table for more information about the PSUs granted in 2023.</w:t>
      </w:r>
    </w:p>
    <w:p>
      <w:pPr>
        <w:spacing w:after="0" w:line="65" w:lineRule="exact"/>
        <w:rPr>
          <w:sz w:val="20"/>
          <w:szCs w:val="20"/>
          <w:color w:val="auto"/>
        </w:rPr>
      </w:pPr>
    </w:p>
    <w:p>
      <w:pPr>
        <w:ind w:left="340" w:right="100"/>
        <w:spacing w:after="0" w:line="285" w:lineRule="auto"/>
        <w:rPr>
          <w:sz w:val="20"/>
          <w:szCs w:val="20"/>
          <w:color w:val="auto"/>
        </w:rPr>
      </w:pPr>
      <w:r>
        <w:rPr>
          <w:rFonts w:ascii="Arial" w:cs="Arial" w:eastAsia="Arial" w:hAnsi="Arial"/>
          <w:sz w:val="14"/>
          <w:szCs w:val="14"/>
          <w:color w:val="auto"/>
        </w:rPr>
        <w:t>For 2023, for Dr. Kim, the amount also includes the grant date fair value of restricted stock units (“RSUs”) granted upon commencement of his employment with the Company in the amount of $2,500,000.</w:t>
      </w:r>
    </w:p>
    <w:p>
      <w:pPr>
        <w:spacing w:after="0" w:line="50" w:lineRule="exact"/>
        <w:rPr>
          <w:sz w:val="20"/>
          <w:szCs w:val="20"/>
          <w:color w:val="auto"/>
        </w:rPr>
      </w:pPr>
    </w:p>
    <w:p>
      <w:pPr>
        <w:ind w:left="340" w:right="200"/>
        <w:spacing w:after="0" w:line="285" w:lineRule="auto"/>
        <w:rPr>
          <w:sz w:val="20"/>
          <w:szCs w:val="20"/>
          <w:color w:val="auto"/>
        </w:rPr>
      </w:pPr>
      <w:r>
        <w:rPr>
          <w:rFonts w:ascii="Arial" w:cs="Arial" w:eastAsia="Arial" w:hAnsi="Arial"/>
          <w:sz w:val="14"/>
          <w:szCs w:val="14"/>
          <w:color w:val="auto"/>
        </w:rPr>
        <w:t>For 2022, represents the grant date fair values associated with the grant of RSUs of Alignment to each of the NEOs, computed in accordance with FASB ASC Topic 718.</w:t>
      </w:r>
    </w:p>
    <w:p>
      <w:pPr>
        <w:spacing w:after="0" w:line="50" w:lineRule="exact"/>
        <w:rPr>
          <w:sz w:val="20"/>
          <w:szCs w:val="20"/>
          <w:color w:val="auto"/>
        </w:rPr>
      </w:pPr>
    </w:p>
    <w:p>
      <w:pPr>
        <w:ind w:left="340"/>
        <w:spacing w:after="0" w:line="248" w:lineRule="auto"/>
        <w:rPr>
          <w:sz w:val="20"/>
          <w:szCs w:val="20"/>
          <w:color w:val="auto"/>
        </w:rPr>
      </w:pPr>
      <w:r>
        <w:rPr>
          <w:rFonts w:ascii="Arial" w:cs="Arial" w:eastAsia="Arial" w:hAnsi="Arial"/>
          <w:sz w:val="14"/>
          <w:szCs w:val="14"/>
          <w:color w:val="auto"/>
        </w:rPr>
        <w:t>For 2021, the amounts reported include the accounting costs associated with the March 25, 2021 modification in connection with the conversion of performance-based incentive units (for Mr. Kao, Mr. Freeman and Ms. Maroney) and SARs (for Mr. Freeman) as a part of the pre-IPO equity conversion discussed in further detail in “</w:t>
      </w:r>
      <w:r>
        <w:rPr>
          <w:rFonts w:ascii="Arial" w:cs="Arial" w:eastAsia="Arial" w:hAnsi="Arial"/>
          <w:sz w:val="14"/>
          <w:szCs w:val="14"/>
          <w:i w:val="1"/>
          <w:iCs w:val="1"/>
          <w:color w:val="auto"/>
        </w:rPr>
        <w:t>Compensation Discussion and Analysis - 2022 Executive Compensation Program in Detail - Long-Term Equity Incentives - Pre-Initial Public Offering</w:t>
      </w:r>
      <w:r>
        <w:rPr>
          <w:rFonts w:ascii="Arial" w:cs="Arial" w:eastAsia="Arial" w:hAnsi="Arial"/>
          <w:sz w:val="14"/>
          <w:szCs w:val="14"/>
          <w:color w:val="auto"/>
        </w:rPr>
        <w:t xml:space="preserve"> </w:t>
      </w:r>
      <w:r>
        <w:rPr>
          <w:rFonts w:ascii="Arial" w:cs="Arial" w:eastAsia="Arial" w:hAnsi="Arial"/>
          <w:sz w:val="14"/>
          <w:szCs w:val="14"/>
          <w:i w:val="1"/>
          <w:iCs w:val="1"/>
          <w:color w:val="auto"/>
        </w:rPr>
        <w:t>Awards</w:t>
      </w:r>
      <w:r>
        <w:rPr>
          <w:rFonts w:ascii="Arial" w:cs="Arial" w:eastAsia="Arial" w:hAnsi="Arial"/>
          <w:sz w:val="14"/>
          <w:szCs w:val="14"/>
          <w:color w:val="auto"/>
        </w:rPr>
        <w:t>” as follows: John Kao - $9,237,366; Thomas Freeman - $3,185,730; and Dawn Maroney - $3,672,954. Such accounting costs do not correspond to the</w:t>
      </w:r>
      <w:r>
        <w:rPr>
          <w:rFonts w:ascii="Arial" w:cs="Arial" w:eastAsia="Arial" w:hAnsi="Arial"/>
          <w:sz w:val="14"/>
          <w:szCs w:val="14"/>
          <w:i w:val="1"/>
          <w:iCs w:val="1"/>
          <w:color w:val="auto"/>
        </w:rPr>
        <w:t xml:space="preserve"> </w:t>
      </w:r>
      <w:r>
        <w:rPr>
          <w:rFonts w:ascii="Arial" w:cs="Arial" w:eastAsia="Arial" w:hAnsi="Arial"/>
          <w:sz w:val="14"/>
          <w:szCs w:val="14"/>
          <w:color w:val="auto"/>
        </w:rPr>
        <w:t>actual economic value that may be ultimately realized by the Named Executive Officers for such awards. The remainder of the amounts reported for 2021 include the grant date fair values associated with the grant of RSUs of Alignment to each of the NEOs, computed in accordance with FASB ASC Topic 718 as follows: John Kao – $5,598,540; Thomas Freeman – $1,090,242; and Dawn Maroney – $1,473,300.</w:t>
      </w:r>
    </w:p>
    <w:p>
      <w:pPr>
        <w:spacing w:after="0" w:line="77" w:lineRule="exact"/>
        <w:rPr>
          <w:sz w:val="20"/>
          <w:szCs w:val="20"/>
          <w:color w:val="auto"/>
        </w:rPr>
      </w:pPr>
    </w:p>
    <w:p>
      <w:pPr>
        <w:ind w:left="340" w:right="460"/>
        <w:spacing w:after="0" w:line="285" w:lineRule="auto"/>
        <w:rPr>
          <w:sz w:val="20"/>
          <w:szCs w:val="20"/>
          <w:color w:val="auto"/>
        </w:rPr>
      </w:pPr>
      <w:r>
        <w:rPr>
          <w:rFonts w:ascii="Arial" w:cs="Arial" w:eastAsia="Arial" w:hAnsi="Arial"/>
          <w:sz w:val="14"/>
          <w:szCs w:val="14"/>
          <w:color w:val="auto"/>
        </w:rPr>
        <w:t>Assumptions used in computing the amounts reported herein are set forth in Note 10 to the Consolidated Financial Statements included in the Company’s Annual Report on Form 10-K for the year ended December 31, 2023.</w:t>
      </w:r>
    </w:p>
    <w:p>
      <w:pPr>
        <w:spacing w:after="0" w:line="63" w:lineRule="exact"/>
        <w:rPr>
          <w:sz w:val="20"/>
          <w:szCs w:val="20"/>
          <w:color w:val="auto"/>
        </w:rPr>
      </w:pPr>
    </w:p>
    <w:p>
      <w:pPr>
        <w:jc w:val="both"/>
        <w:ind w:left="340" w:right="140" w:hanging="332"/>
        <w:spacing w:after="0" w:line="263"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the grant date fair value of non-qualified stock options granted to the individuals on (i) March 8, 2022 and (ii) March 25, 2021 in connection with the closing of our IPO, in each case calculated in accordance with FASB ASC Topic 718. Assumptions used in computing the amounts reported herein are set forth in Note 10 to the Consolidated Financial Statements included in the Company’s Annual Report on Form 10-K for the year ended December 31, 2022.</w:t>
      </w:r>
    </w:p>
    <w:p>
      <w:pPr>
        <w:spacing w:after="0" w:line="78" w:lineRule="exact"/>
        <w:rPr>
          <w:rFonts w:ascii="Arial" w:cs="Arial" w:eastAsia="Arial" w:hAnsi="Arial"/>
          <w:sz w:val="14"/>
          <w:szCs w:val="14"/>
          <w:color w:val="auto"/>
        </w:rPr>
      </w:pPr>
    </w:p>
    <w:p>
      <w:pPr>
        <w:ind w:left="340" w:right="40" w:hanging="332"/>
        <w:spacing w:after="0" w:line="250"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2023, represents 75% of the NEO’s 2023 bonus payment under the Company’s annual incentive plan, which was paid in March 2024, and the following portions of the 2022 bonus payments that were paid to each NEO in October 2023: John Kao - $214,006; Thomas Freeman - $101,904; Dawn Maroney - $127,279; Hakan Kardes - $49,690; and Hyong (Ken) Kim, M.D. - $0. Portions of the 2023 annual incentive plan awards were paid to NEOs in the form of immediately vested stock grants having the following grant date fair values: John Kao - $0; Thomas Freeman - $348,551; Dawn Maroney - $179,452; Hakan Kardes - $260,948; and Hyong (Ken) Kim, M.D. - $74,851. The remaining 25% of the 2023 bonus payment is not included and will be paid, if at all, in September or October of 2024, based on certain performance criteria (an additional payment may also be made at such time, based on performance).</w:t>
      </w:r>
    </w:p>
    <w:p>
      <w:pPr>
        <w:spacing w:after="0" w:line="73" w:lineRule="exact"/>
        <w:rPr>
          <w:rFonts w:ascii="Arial" w:cs="Arial" w:eastAsia="Arial" w:hAnsi="Arial"/>
          <w:sz w:val="14"/>
          <w:szCs w:val="14"/>
          <w:color w:val="auto"/>
        </w:rPr>
      </w:pPr>
    </w:p>
    <w:p>
      <w:pPr>
        <w:ind w:left="340" w:right="40"/>
        <w:spacing w:after="0" w:line="285" w:lineRule="auto"/>
        <w:rPr>
          <w:rFonts w:ascii="Arial" w:cs="Arial" w:eastAsia="Arial" w:hAnsi="Arial"/>
          <w:sz w:val="14"/>
          <w:szCs w:val="14"/>
          <w:color w:val="auto"/>
        </w:rPr>
      </w:pPr>
      <w:r>
        <w:rPr>
          <w:rFonts w:ascii="Arial" w:cs="Arial" w:eastAsia="Arial" w:hAnsi="Arial"/>
          <w:sz w:val="14"/>
          <w:szCs w:val="14"/>
          <w:color w:val="auto"/>
        </w:rPr>
        <w:t>For 2022, represents 80% of the NEO’s 2022 bonus payment under the Company’s annual incentive plan, which was paid in March 2023, and the following 20% 2021 bonus payments that were paid to each NEO in October 2022: John Kao - $174,305; Thomas Freeman - $61,962; and Dawn Maroney - $120,300.</w:t>
      </w:r>
    </w:p>
    <w:p>
      <w:pPr>
        <w:spacing w:after="0" w:line="49" w:lineRule="exact"/>
        <w:rPr>
          <w:rFonts w:ascii="Arial" w:cs="Arial" w:eastAsia="Arial" w:hAnsi="Arial"/>
          <w:sz w:val="14"/>
          <w:szCs w:val="14"/>
          <w:color w:val="auto"/>
        </w:rPr>
      </w:pPr>
    </w:p>
    <w:p>
      <w:pPr>
        <w:ind w:left="340" w:right="40"/>
        <w:spacing w:after="0" w:line="285" w:lineRule="auto"/>
        <w:rPr>
          <w:rFonts w:ascii="Arial" w:cs="Arial" w:eastAsia="Arial" w:hAnsi="Arial"/>
          <w:sz w:val="14"/>
          <w:szCs w:val="14"/>
          <w:color w:val="auto"/>
        </w:rPr>
      </w:pPr>
      <w:r>
        <w:rPr>
          <w:rFonts w:ascii="Arial" w:cs="Arial" w:eastAsia="Arial" w:hAnsi="Arial"/>
          <w:sz w:val="14"/>
          <w:szCs w:val="14"/>
          <w:color w:val="auto"/>
        </w:rPr>
        <w:t>For 2021, represents 80% of the NEO’s 2021 bonus payment under the Company’s annual incentive plan, which was paid in March 2022, and the following 20% 2020 bonus payments that were paid to each NEO on November 5, 2021: John Kao - $154,406; Thomas Freeman - $64,050; and Dawn Maroney - $80,063.</w:t>
      </w:r>
    </w:p>
    <w:p>
      <w:pPr>
        <w:spacing w:after="0" w:line="49" w:lineRule="exact"/>
        <w:rPr>
          <w:rFonts w:ascii="Arial" w:cs="Arial" w:eastAsia="Arial" w:hAnsi="Arial"/>
          <w:sz w:val="14"/>
          <w:szCs w:val="14"/>
          <w:color w:val="auto"/>
        </w:rPr>
      </w:pPr>
    </w:p>
    <w:p>
      <w:pPr>
        <w:ind w:left="340" w:right="160"/>
        <w:spacing w:after="0" w:line="256" w:lineRule="auto"/>
        <w:rPr>
          <w:rFonts w:ascii="Arial" w:cs="Arial" w:eastAsia="Arial" w:hAnsi="Arial"/>
          <w:sz w:val="14"/>
          <w:szCs w:val="14"/>
          <w:color w:val="auto"/>
        </w:rPr>
      </w:pPr>
      <w:r>
        <w:rPr>
          <w:rFonts w:ascii="Arial" w:cs="Arial" w:eastAsia="Arial" w:hAnsi="Arial"/>
          <w:sz w:val="14"/>
          <w:szCs w:val="14"/>
          <w:color w:val="auto"/>
        </w:rPr>
        <w:t>Certain NEOs received increases to base salaries and target and maximum bonus opportunities during applicable years. Target bonus opportunities for the full year reflect the weighted average of the target bonus opportunity percentages applicable to each NEO for each applicable period throughout the year. See “</w:t>
      </w:r>
      <w:r>
        <w:rPr>
          <w:rFonts w:ascii="Arial" w:cs="Arial" w:eastAsia="Arial" w:hAnsi="Arial"/>
          <w:sz w:val="14"/>
          <w:szCs w:val="14"/>
          <w:i w:val="1"/>
          <w:iCs w:val="1"/>
          <w:color w:val="auto"/>
        </w:rPr>
        <w:t>Compensation Discussion and Analysis—2023 Executive Compensation Program in Detail—Annual Incentives</w:t>
      </w:r>
      <w:r>
        <w:rPr>
          <w:rFonts w:ascii="Arial" w:cs="Arial" w:eastAsia="Arial" w:hAnsi="Arial"/>
          <w:sz w:val="14"/>
          <w:szCs w:val="14"/>
          <w:color w:val="auto"/>
        </w:rPr>
        <w:t>” above for further discussion of our Annual Incentive Plan.</w:t>
      </w:r>
    </w:p>
    <w:p>
      <w:pPr>
        <w:spacing w:after="0" w:line="82" w:lineRule="exact"/>
        <w:rPr>
          <w:rFonts w:ascii="Arial" w:cs="Arial" w:eastAsia="Arial" w:hAnsi="Arial"/>
          <w:sz w:val="14"/>
          <w:szCs w:val="14"/>
          <w:color w:val="auto"/>
        </w:rPr>
      </w:pPr>
    </w:p>
    <w:p>
      <w:pPr>
        <w:ind w:left="340" w:right="300" w:hanging="332"/>
        <w:spacing w:after="0" w:line="263" w:lineRule="auto"/>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For 2023, represents: for Mr. Kao – $420 internet stipend and imputed income for domestic partnership insurance of $4,789; for Mr. Freeman – $420 internet stipend and Company 401(k) matching contributions of $13,200; for Ms. Maroney – $315 internet stipend and Company 401(k) matching contributions of $13,200; and for Mr. Kardes – $420 internet stipend and Company 401(k) matching contributions of $13,200.</w:t>
      </w:r>
    </w:p>
    <w:p>
      <w:pPr>
        <w:spacing w:after="0" w:line="64" w:lineRule="exact"/>
        <w:rPr>
          <w:rFonts w:ascii="Arial" w:cs="Arial" w:eastAsia="Arial" w:hAnsi="Arial"/>
          <w:sz w:val="14"/>
          <w:szCs w:val="14"/>
          <w:color w:val="auto"/>
        </w:rPr>
      </w:pPr>
    </w:p>
    <w:p>
      <w:pPr>
        <w:ind w:left="340" w:right="20"/>
        <w:spacing w:after="0" w:line="285" w:lineRule="auto"/>
        <w:rPr>
          <w:rFonts w:ascii="Arial" w:cs="Arial" w:eastAsia="Arial" w:hAnsi="Arial"/>
          <w:sz w:val="14"/>
          <w:szCs w:val="14"/>
          <w:color w:val="auto"/>
        </w:rPr>
      </w:pPr>
      <w:r>
        <w:rPr>
          <w:rFonts w:ascii="Arial" w:cs="Arial" w:eastAsia="Arial" w:hAnsi="Arial"/>
          <w:sz w:val="14"/>
          <w:szCs w:val="14"/>
          <w:color w:val="auto"/>
        </w:rPr>
        <w:t>For 2022, represents: for Mr. Kao – $420 internet stipend; for Mr. Freeman – $420 internet stipend, imputed income for domestic partnership insurance of $1,083 and Company 401(k) matching contributions of $12,200; and for Ms. Maroney – $420 internet stipend and Company 401(k) matching contributions of $12,200.</w:t>
      </w:r>
    </w:p>
    <w:p>
      <w:pPr>
        <w:spacing w:after="0" w:line="49" w:lineRule="exact"/>
        <w:rPr>
          <w:rFonts w:ascii="Arial" w:cs="Arial" w:eastAsia="Arial" w:hAnsi="Arial"/>
          <w:sz w:val="14"/>
          <w:szCs w:val="14"/>
          <w:color w:val="auto"/>
        </w:rPr>
      </w:pPr>
    </w:p>
    <w:p>
      <w:pPr>
        <w:ind w:left="340" w:right="20"/>
        <w:spacing w:after="0" w:line="285" w:lineRule="auto"/>
        <w:rPr>
          <w:rFonts w:ascii="Arial" w:cs="Arial" w:eastAsia="Arial" w:hAnsi="Arial"/>
          <w:sz w:val="14"/>
          <w:szCs w:val="14"/>
          <w:color w:val="auto"/>
        </w:rPr>
      </w:pPr>
      <w:r>
        <w:rPr>
          <w:rFonts w:ascii="Arial" w:cs="Arial" w:eastAsia="Arial" w:hAnsi="Arial"/>
          <w:sz w:val="14"/>
          <w:szCs w:val="14"/>
          <w:color w:val="auto"/>
        </w:rPr>
        <w:t>For 2021, represents: for Mr. Kao – $420 internet stipend; for Mr. Freeman – $420 internet stipend, imputed income for domestic partnership insurance of $3,247 and Company 401(k) matching contributions of $11,600; and for Ms. Maroney – $420 internet stipend and Company 401(k) matching contributions of $11,600.</w:t>
      </w:r>
    </w:p>
    <w:p>
      <w:pPr>
        <w:spacing w:after="0" w:line="63"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Dr. Kim and Mr. Kardes were not Named Executive Officers for 2021 or 2022.</w:t>
      </w:r>
    </w:p>
    <w:p>
      <w:pPr>
        <w:spacing w:after="0" w:line="122" w:lineRule="exact"/>
        <w:rPr>
          <w:rFonts w:ascii="Arial" w:cs="Arial" w:eastAsia="Arial" w:hAnsi="Arial"/>
          <w:sz w:val="14"/>
          <w:szCs w:val="14"/>
          <w:color w:val="auto"/>
        </w:rPr>
      </w:pPr>
    </w:p>
    <w:p>
      <w:pPr>
        <w:ind w:left="340" w:hanging="332"/>
        <w:spacing w:after="0"/>
        <w:tabs>
          <w:tab w:leader="none" w:pos="34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Represents base annual salary earned for the portion of the 2023 after Dr. Kim joined the Company.</w:t>
      </w:r>
    </w:p>
    <w:p>
      <w:pPr>
        <w:spacing w:after="0" w:line="140"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580"/>
          </w:cols>
          <w:pgMar w:left="860" w:top="306" w:right="45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Grants of Plan-Based Awards for Fiscal Year 2023</w:t>
      </w:r>
    </w:p>
    <w:p>
      <w:pPr>
        <w:spacing w:after="0" w:line="21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the plan-based awards granted to the Named Executive Officers in 2023.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40" w:type="dxa"/>
            <w:vAlign w:val="bottom"/>
            <w:gridSpan w:val="8"/>
          </w:tcPr>
          <w:p>
            <w:pPr>
              <w:jc w:val="center"/>
              <w:ind w:right="60"/>
              <w:spacing w:after="0"/>
              <w:rPr>
                <w:sz w:val="20"/>
                <w:szCs w:val="20"/>
                <w:color w:val="auto"/>
              </w:rPr>
            </w:pPr>
            <w:r>
              <w:rPr>
                <w:rFonts w:ascii="Arial" w:cs="Arial" w:eastAsia="Arial" w:hAnsi="Arial"/>
                <w:sz w:val="11"/>
                <w:szCs w:val="11"/>
                <w:b w:val="1"/>
                <w:bCs w:val="1"/>
                <w:color w:val="auto"/>
                <w:w w:val="97"/>
              </w:rPr>
              <w:t>Estimated Future Payouts</w:t>
            </w: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rPr>
              <w:t>Under</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All</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8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Name</w:t>
            </w:r>
          </w:p>
        </w:tc>
        <w:tc>
          <w:tcPr>
            <w:tcW w:w="80" w:type="dxa"/>
            <w:vAlign w:val="bottom"/>
          </w:tcPr>
          <w:p>
            <w:pPr>
              <w:spacing w:after="0"/>
              <w:rPr>
                <w:sz w:val="10"/>
                <w:szCs w:val="10"/>
                <w:color w:val="auto"/>
              </w:rPr>
            </w:pPr>
          </w:p>
        </w:tc>
        <w:tc>
          <w:tcPr>
            <w:tcW w:w="66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Grant</w:t>
            </w:r>
          </w:p>
        </w:tc>
        <w:tc>
          <w:tcPr>
            <w:tcW w:w="1960" w:type="dxa"/>
            <w:vAlign w:val="bottom"/>
            <w:gridSpan w:val="9"/>
          </w:tcPr>
          <w:p>
            <w:pPr>
              <w:jc w:val="center"/>
              <w:ind w:right="120"/>
              <w:spacing w:after="0" w:line="122" w:lineRule="exact"/>
              <w:rPr>
                <w:sz w:val="20"/>
                <w:szCs w:val="20"/>
                <w:color w:val="auto"/>
              </w:rPr>
            </w:pPr>
            <w:r>
              <w:rPr>
                <w:rFonts w:ascii="Arial" w:cs="Arial" w:eastAsia="Arial" w:hAnsi="Arial"/>
                <w:sz w:val="11"/>
                <w:szCs w:val="11"/>
                <w:b w:val="1"/>
                <w:bCs w:val="1"/>
                <w:color w:val="auto"/>
                <w:w w:val="98"/>
              </w:rPr>
              <w:t>Estimated Future Payouts Under</w:t>
            </w:r>
          </w:p>
        </w:tc>
        <w:tc>
          <w:tcPr>
            <w:tcW w:w="1940" w:type="dxa"/>
            <w:vAlign w:val="bottom"/>
            <w:gridSpan w:val="8"/>
          </w:tcPr>
          <w:p>
            <w:pPr>
              <w:jc w:val="center"/>
              <w:ind w:right="60"/>
              <w:spacing w:after="0" w:line="122" w:lineRule="exact"/>
              <w:rPr>
                <w:sz w:val="20"/>
                <w:szCs w:val="20"/>
                <w:color w:val="auto"/>
              </w:rPr>
            </w:pPr>
            <w:r>
              <w:rPr>
                <w:rFonts w:ascii="Arial" w:cs="Arial" w:eastAsia="Arial" w:hAnsi="Arial"/>
                <w:sz w:val="11"/>
                <w:szCs w:val="11"/>
                <w:b w:val="1"/>
                <w:bCs w:val="1"/>
                <w:color w:val="auto"/>
                <w:w w:val="97"/>
              </w:rPr>
              <w:t>Equity Incentive Plan</w:t>
            </w:r>
          </w:p>
        </w:tc>
        <w:tc>
          <w:tcPr>
            <w:tcW w:w="6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5"/>
              </w:rPr>
              <w:t>Other</w:t>
            </w: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5"/>
        </w:trPr>
        <w:tc>
          <w:tcPr>
            <w:tcW w:w="3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rPr>
              <w:t>Date</w:t>
            </w:r>
          </w:p>
        </w:tc>
        <w:tc>
          <w:tcPr>
            <w:tcW w:w="1960" w:type="dxa"/>
            <w:vAlign w:val="bottom"/>
            <w:gridSpan w:val="9"/>
          </w:tcPr>
          <w:p>
            <w:pPr>
              <w:jc w:val="center"/>
              <w:ind w:right="120"/>
              <w:spacing w:after="0"/>
              <w:rPr>
                <w:sz w:val="20"/>
                <w:szCs w:val="20"/>
                <w:color w:val="auto"/>
              </w:rPr>
            </w:pPr>
            <w:r>
              <w:rPr>
                <w:rFonts w:ascii="Arial" w:cs="Arial" w:eastAsia="Arial" w:hAnsi="Arial"/>
                <w:sz w:val="11"/>
                <w:szCs w:val="11"/>
                <w:b w:val="1"/>
                <w:bCs w:val="1"/>
                <w:color w:val="auto"/>
                <w:w w:val="98"/>
              </w:rPr>
              <w:t>Non-Equity Incentive Plan Awards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gridSpan w:val="3"/>
          </w:tcPr>
          <w:p>
            <w:pPr>
              <w:jc w:val="center"/>
              <w:ind w:right="140"/>
              <w:spacing w:after="0"/>
              <w:rPr>
                <w:sz w:val="20"/>
                <w:szCs w:val="20"/>
                <w:color w:val="auto"/>
              </w:rPr>
            </w:pPr>
            <w:r>
              <w:rPr>
                <w:rFonts w:ascii="Arial" w:cs="Arial" w:eastAsia="Arial" w:hAnsi="Arial"/>
                <w:sz w:val="11"/>
                <w:szCs w:val="11"/>
                <w:b w:val="1"/>
                <w:bCs w:val="1"/>
                <w:color w:val="auto"/>
              </w:rPr>
              <w:t>Awards</w:t>
            </w: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9"/>
              </w:rPr>
              <w:t>Stock</w:t>
            </w: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200" w:type="dxa"/>
            <w:vAlign w:val="bottom"/>
            <w:tcBorders>
              <w:top w:val="single" w:sz="8" w:color="95B3D7"/>
              <w:bottom w:val="single" w:sz="8" w:color="95B3D7"/>
            </w:tcBorders>
          </w:tcPr>
          <w:p>
            <w:pPr>
              <w:spacing w:after="0"/>
              <w:rPr>
                <w:sz w:val="5"/>
                <w:szCs w:val="5"/>
                <w:color w:val="auto"/>
              </w:rPr>
            </w:pPr>
          </w:p>
        </w:tc>
        <w:tc>
          <w:tcPr>
            <w:tcW w:w="3620" w:type="dxa"/>
            <w:vAlign w:val="bottom"/>
            <w:tcBorders>
              <w:top w:val="single" w:sz="8" w:color="95B3D7"/>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520" w:type="dxa"/>
            <w:vAlign w:val="bottom"/>
            <w:tcBorders>
              <w:top w:val="single" w:sz="8" w:color="95B3D7"/>
              <w:bottom w:val="single" w:sz="8" w:color="95B3D7"/>
            </w:tcBorders>
          </w:tcPr>
          <w:p>
            <w:pPr>
              <w:spacing w:after="0"/>
              <w:rPr>
                <w:sz w:val="5"/>
                <w:szCs w:val="5"/>
                <w:color w:val="auto"/>
              </w:rPr>
            </w:pPr>
          </w:p>
        </w:tc>
        <w:tc>
          <w:tcPr>
            <w:tcW w:w="60" w:type="dxa"/>
            <w:vAlign w:val="bottom"/>
            <w:tcBorders>
              <w:bottom w:val="single" w:sz="8" w:color="95B3D7"/>
            </w:tcBorders>
          </w:tcPr>
          <w:p>
            <w:pPr>
              <w:spacing w:after="0"/>
              <w:rPr>
                <w:sz w:val="5"/>
                <w:szCs w:val="5"/>
                <w:color w:val="auto"/>
              </w:rPr>
            </w:pPr>
          </w:p>
        </w:tc>
        <w:tc>
          <w:tcPr>
            <w:tcW w:w="80" w:type="dxa"/>
            <w:vAlign w:val="bottom"/>
            <w:tcBorders>
              <w:bottom w:val="single" w:sz="8" w:color="95B3D7"/>
            </w:tcBorders>
          </w:tcPr>
          <w:p>
            <w:pPr>
              <w:spacing w:after="0"/>
              <w:rPr>
                <w:sz w:val="5"/>
                <w:szCs w:val="5"/>
                <w:color w:val="auto"/>
              </w:rPr>
            </w:pPr>
          </w:p>
        </w:tc>
        <w:tc>
          <w:tcPr>
            <w:tcW w:w="540" w:type="dxa"/>
            <w:vAlign w:val="bottom"/>
            <w:tcBorders>
              <w:top w:val="single" w:sz="8" w:color="95B3D7"/>
              <w:bottom w:val="single" w:sz="8" w:color="95B3D7"/>
            </w:tcBorders>
          </w:tcPr>
          <w:p>
            <w:pPr>
              <w:spacing w:after="0"/>
              <w:rPr>
                <w:sz w:val="5"/>
                <w:szCs w:val="5"/>
                <w:color w:val="auto"/>
              </w:rPr>
            </w:pPr>
          </w:p>
        </w:tc>
        <w:tc>
          <w:tcPr>
            <w:tcW w:w="60" w:type="dxa"/>
            <w:vAlign w:val="bottom"/>
            <w:tcBorders>
              <w:top w:val="single" w:sz="8" w:color="95B3D7"/>
              <w:bottom w:val="single" w:sz="8" w:color="95B3D7"/>
            </w:tcBorders>
          </w:tcPr>
          <w:p>
            <w:pPr>
              <w:spacing w:after="0"/>
              <w:rPr>
                <w:sz w:val="5"/>
                <w:szCs w:val="5"/>
                <w:color w:val="auto"/>
              </w:rPr>
            </w:pPr>
          </w:p>
        </w:tc>
        <w:tc>
          <w:tcPr>
            <w:tcW w:w="80" w:type="dxa"/>
            <w:vAlign w:val="bottom"/>
            <w:tcBorders>
              <w:top w:val="single" w:sz="8" w:color="95B3D7"/>
              <w:bottom w:val="single" w:sz="8" w:color="95B3D7"/>
            </w:tcBorders>
          </w:tcPr>
          <w:p>
            <w:pPr>
              <w:spacing w:after="0"/>
              <w:rPr>
                <w:sz w:val="5"/>
                <w:szCs w:val="5"/>
                <w:color w:val="auto"/>
              </w:rPr>
            </w:pPr>
          </w:p>
        </w:tc>
        <w:tc>
          <w:tcPr>
            <w:tcW w:w="440" w:type="dxa"/>
            <w:vAlign w:val="bottom"/>
            <w:tcBorders>
              <w:top w:val="single" w:sz="8" w:color="95B3D7"/>
              <w:bottom w:val="single" w:sz="8" w:color="95B3D7"/>
            </w:tcBorders>
          </w:tcPr>
          <w:p>
            <w:pPr>
              <w:spacing w:after="0"/>
              <w:rPr>
                <w:sz w:val="5"/>
                <w:szCs w:val="5"/>
                <w:color w:val="auto"/>
              </w:rPr>
            </w:pPr>
          </w:p>
        </w:tc>
        <w:tc>
          <w:tcPr>
            <w:tcW w:w="60" w:type="dxa"/>
            <w:vAlign w:val="bottom"/>
            <w:tcBorders>
              <w:top w:val="single" w:sz="8" w:color="95B3D7"/>
              <w:bottom w:val="single" w:sz="8" w:color="95B3D7"/>
            </w:tcBorders>
          </w:tcPr>
          <w:p>
            <w:pPr>
              <w:spacing w:after="0"/>
              <w:rPr>
                <w:sz w:val="5"/>
                <w:szCs w:val="5"/>
                <w:color w:val="auto"/>
              </w:rPr>
            </w:pPr>
          </w:p>
        </w:tc>
        <w:tc>
          <w:tcPr>
            <w:tcW w:w="80" w:type="dxa"/>
            <w:vAlign w:val="bottom"/>
            <w:tcBorders>
              <w:top w:val="single" w:sz="8" w:color="95B3D7"/>
              <w:bottom w:val="single" w:sz="8" w:color="95B3D7"/>
            </w:tcBorders>
          </w:tcPr>
          <w:p>
            <w:pPr>
              <w:spacing w:after="0"/>
              <w:rPr>
                <w:sz w:val="5"/>
                <w:szCs w:val="5"/>
                <w:color w:val="auto"/>
              </w:rPr>
            </w:pPr>
          </w:p>
        </w:tc>
        <w:tc>
          <w:tcPr>
            <w:tcW w:w="580" w:type="dxa"/>
            <w:vAlign w:val="bottom"/>
            <w:tcBorders>
              <w:top w:val="single" w:sz="8" w:color="95B3D7"/>
              <w:bottom w:val="single" w:sz="8" w:color="95B3D7"/>
            </w:tcBorders>
          </w:tcPr>
          <w:p>
            <w:pPr>
              <w:spacing w:after="0"/>
              <w:rPr>
                <w:sz w:val="5"/>
                <w:szCs w:val="5"/>
                <w:color w:val="auto"/>
              </w:rPr>
            </w:pPr>
          </w:p>
        </w:tc>
        <w:tc>
          <w:tcPr>
            <w:tcW w:w="60" w:type="dxa"/>
            <w:vAlign w:val="bottom"/>
            <w:tcBorders>
              <w:bottom w:val="single" w:sz="8" w:color="95B3D7"/>
            </w:tcBorders>
          </w:tcPr>
          <w:p>
            <w:pPr>
              <w:spacing w:after="0"/>
              <w:rPr>
                <w:sz w:val="5"/>
                <w:szCs w:val="5"/>
                <w:color w:val="auto"/>
              </w:rPr>
            </w:pPr>
          </w:p>
        </w:tc>
        <w:tc>
          <w:tcPr>
            <w:tcW w:w="60" w:type="dxa"/>
            <w:vAlign w:val="bottom"/>
            <w:tcBorders>
              <w:bottom w:val="single" w:sz="8" w:color="95B3D7"/>
            </w:tcBorders>
          </w:tcPr>
          <w:p>
            <w:pPr>
              <w:spacing w:after="0"/>
              <w:rPr>
                <w:sz w:val="5"/>
                <w:szCs w:val="5"/>
                <w:color w:val="auto"/>
              </w:rPr>
            </w:pPr>
          </w:p>
        </w:tc>
        <w:tc>
          <w:tcPr>
            <w:tcW w:w="540" w:type="dxa"/>
            <w:vAlign w:val="bottom"/>
            <w:tcBorders>
              <w:top w:val="single" w:sz="8" w:color="95B3D7"/>
              <w:bottom w:val="single" w:sz="8" w:color="95B3D7"/>
            </w:tcBorders>
          </w:tcPr>
          <w:p>
            <w:pPr>
              <w:spacing w:after="0"/>
              <w:rPr>
                <w:sz w:val="5"/>
                <w:szCs w:val="5"/>
                <w:color w:val="auto"/>
              </w:rPr>
            </w:pPr>
          </w:p>
        </w:tc>
        <w:tc>
          <w:tcPr>
            <w:tcW w:w="60" w:type="dxa"/>
            <w:vAlign w:val="bottom"/>
            <w:tcBorders>
              <w:top w:val="single" w:sz="8" w:color="95B3D7"/>
              <w:bottom w:val="single" w:sz="8" w:color="95B3D7"/>
            </w:tcBorders>
          </w:tcPr>
          <w:p>
            <w:pPr>
              <w:spacing w:after="0"/>
              <w:rPr>
                <w:sz w:val="5"/>
                <w:szCs w:val="5"/>
                <w:color w:val="auto"/>
              </w:rPr>
            </w:pPr>
          </w:p>
        </w:tc>
        <w:tc>
          <w:tcPr>
            <w:tcW w:w="80" w:type="dxa"/>
            <w:vAlign w:val="bottom"/>
            <w:tcBorders>
              <w:top w:val="single" w:sz="8" w:color="95B3D7"/>
              <w:bottom w:val="single" w:sz="8" w:color="95B3D7"/>
            </w:tcBorders>
          </w:tcPr>
          <w:p>
            <w:pPr>
              <w:spacing w:after="0"/>
              <w:rPr>
                <w:sz w:val="5"/>
                <w:szCs w:val="5"/>
                <w:color w:val="auto"/>
              </w:rPr>
            </w:pPr>
          </w:p>
        </w:tc>
        <w:tc>
          <w:tcPr>
            <w:tcW w:w="520" w:type="dxa"/>
            <w:vAlign w:val="bottom"/>
            <w:tcBorders>
              <w:top w:val="single" w:sz="8" w:color="95B3D7"/>
              <w:bottom w:val="single" w:sz="8" w:color="95B3D7"/>
            </w:tcBorders>
          </w:tcPr>
          <w:p>
            <w:pPr>
              <w:spacing w:after="0"/>
              <w:rPr>
                <w:sz w:val="5"/>
                <w:szCs w:val="5"/>
                <w:color w:val="auto"/>
              </w:rPr>
            </w:pPr>
          </w:p>
        </w:tc>
        <w:tc>
          <w:tcPr>
            <w:tcW w:w="60" w:type="dxa"/>
            <w:vAlign w:val="bottom"/>
            <w:tcBorders>
              <w:top w:val="single" w:sz="8" w:color="95B3D7"/>
              <w:bottom w:val="single" w:sz="8" w:color="95B3D7"/>
            </w:tcBorders>
          </w:tcPr>
          <w:p>
            <w:pPr>
              <w:spacing w:after="0"/>
              <w:rPr>
                <w:sz w:val="5"/>
                <w:szCs w:val="5"/>
                <w:color w:val="auto"/>
              </w:rPr>
            </w:pPr>
          </w:p>
        </w:tc>
        <w:tc>
          <w:tcPr>
            <w:tcW w:w="80" w:type="dxa"/>
            <w:vAlign w:val="bottom"/>
            <w:tcBorders>
              <w:top w:val="single" w:sz="8" w:color="95B3D7"/>
              <w:bottom w:val="single" w:sz="8" w:color="95B3D7"/>
            </w:tcBorders>
          </w:tcPr>
          <w:p>
            <w:pPr>
              <w:spacing w:after="0"/>
              <w:rPr>
                <w:sz w:val="5"/>
                <w:szCs w:val="5"/>
                <w:color w:val="auto"/>
              </w:rPr>
            </w:pPr>
          </w:p>
        </w:tc>
        <w:tc>
          <w:tcPr>
            <w:tcW w:w="540" w:type="dxa"/>
            <w:vAlign w:val="bottom"/>
            <w:tcBorders>
              <w:top w:val="single" w:sz="8" w:color="95B3D7"/>
              <w:bottom w:val="single" w:sz="8" w:color="95B3D7"/>
            </w:tcBorders>
          </w:tcPr>
          <w:p>
            <w:pPr>
              <w:spacing w:after="0"/>
              <w:rPr>
                <w:sz w:val="5"/>
                <w:szCs w:val="5"/>
                <w:color w:val="auto"/>
              </w:rPr>
            </w:pPr>
          </w:p>
        </w:tc>
        <w:tc>
          <w:tcPr>
            <w:tcW w:w="60" w:type="dxa"/>
            <w:vAlign w:val="bottom"/>
            <w:tcBorders>
              <w:bottom w:val="single" w:sz="8" w:color="95B3D7"/>
            </w:tcBorders>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gridSpan w:val="2"/>
          </w:tcPr>
          <w:p>
            <w:pPr>
              <w:jc w:val="center"/>
              <w:ind w:right="120"/>
              <w:spacing w:after="0" w:line="62" w:lineRule="exact"/>
              <w:rPr>
                <w:sz w:val="20"/>
                <w:szCs w:val="20"/>
                <w:color w:val="auto"/>
              </w:rPr>
            </w:pPr>
            <w:r>
              <w:rPr>
                <w:rFonts w:ascii="Arial" w:cs="Arial" w:eastAsia="Arial" w:hAnsi="Arial"/>
                <w:sz w:val="6"/>
                <w:szCs w:val="6"/>
                <w:b w:val="1"/>
                <w:bCs w:val="1"/>
                <w:color w:val="auto"/>
              </w:rPr>
              <w:t>Awards:</w:t>
            </w:r>
          </w:p>
        </w:tc>
        <w:tc>
          <w:tcPr>
            <w:tcW w:w="700" w:type="dxa"/>
            <w:vAlign w:val="bottom"/>
            <w:gridSpan w:val="2"/>
          </w:tcPr>
          <w:p>
            <w:pPr>
              <w:jc w:val="center"/>
              <w:ind w:right="140"/>
              <w:spacing w:after="0" w:line="62" w:lineRule="exact"/>
              <w:rPr>
                <w:sz w:val="20"/>
                <w:szCs w:val="20"/>
                <w:color w:val="auto"/>
              </w:rPr>
            </w:pPr>
            <w:r>
              <w:rPr>
                <w:rFonts w:ascii="Arial" w:cs="Arial" w:eastAsia="Arial" w:hAnsi="Arial"/>
                <w:sz w:val="6"/>
                <w:szCs w:val="6"/>
                <w:b w:val="1"/>
                <w:bCs w:val="1"/>
                <w:color w:val="auto"/>
              </w:rPr>
              <w:t>All Other</w:t>
            </w:r>
          </w:p>
        </w:tc>
        <w:tc>
          <w:tcPr>
            <w:tcW w:w="4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Number</w:t>
            </w: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rPr>
              <w:t>Option</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of</w:t>
            </w: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rPr>
              <w:t>Awards:</w:t>
            </w:r>
          </w:p>
        </w:tc>
        <w:tc>
          <w:tcPr>
            <w:tcW w:w="4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5"/>
              </w:rPr>
              <w:t>Grant</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7"/>
              </w:rPr>
              <w:t>Shares</w:t>
            </w: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Number</w:t>
            </w: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b w:val="1"/>
                <w:bCs w:val="1"/>
                <w:color w:val="auto"/>
                <w:w w:val="92"/>
              </w:rPr>
              <w:t>Exercise</w:t>
            </w: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7"/>
              </w:rPr>
              <w:t>Date Fair</w:t>
            </w: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362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5"/>
              </w:rPr>
              <w:t>of</w:t>
            </w:r>
          </w:p>
        </w:tc>
        <w:tc>
          <w:tcPr>
            <w:tcW w:w="70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5"/>
              </w:rPr>
              <w:t>of</w:t>
            </w: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9"/>
              </w:rPr>
              <w:t>or Base</w:t>
            </w:r>
          </w:p>
        </w:tc>
        <w:tc>
          <w:tcPr>
            <w:tcW w:w="640" w:type="dxa"/>
            <w:vAlign w:val="bottom"/>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8"/>
              </w:rPr>
              <w:t>Value of</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20"/>
              <w:spacing w:after="0" w:line="122" w:lineRule="exact"/>
              <w:rPr>
                <w:sz w:val="20"/>
                <w:szCs w:val="20"/>
                <w:color w:val="auto"/>
              </w:rPr>
            </w:pPr>
            <w:r>
              <w:rPr>
                <w:rFonts w:ascii="Arial" w:cs="Arial" w:eastAsia="Arial" w:hAnsi="Arial"/>
                <w:sz w:val="11"/>
                <w:szCs w:val="11"/>
                <w:b w:val="1"/>
                <w:bCs w:val="1"/>
                <w:color w:val="auto"/>
                <w:w w:val="99"/>
              </w:rPr>
              <w:t>Stock</w:t>
            </w: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8"/>
              </w:rPr>
              <w:t>Securities</w:t>
            </w: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9"/>
              </w:rPr>
              <w:t>Price of</w:t>
            </w:r>
          </w:p>
        </w:tc>
        <w:tc>
          <w:tcPr>
            <w:tcW w:w="640" w:type="dxa"/>
            <w:vAlign w:val="bottom"/>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8"/>
              </w:rPr>
              <w:t>Stock and</w:t>
            </w:r>
          </w:p>
        </w:tc>
        <w:tc>
          <w:tcPr>
            <w:tcW w:w="0" w:type="dxa"/>
            <w:vAlign w:val="bottom"/>
          </w:tcPr>
          <w:p>
            <w:pPr>
              <w:spacing w:after="0"/>
              <w:rPr>
                <w:sz w:val="1"/>
                <w:szCs w:val="1"/>
                <w:color w:val="auto"/>
              </w:rPr>
            </w:pPr>
          </w:p>
        </w:tc>
      </w:tr>
      <w:tr>
        <w:trPr>
          <w:trHeight w:val="121"/>
        </w:trPr>
        <w:tc>
          <w:tcPr>
            <w:tcW w:w="200" w:type="dxa"/>
            <w:vAlign w:val="bottom"/>
          </w:tcPr>
          <w:p>
            <w:pPr>
              <w:spacing w:after="0"/>
              <w:rPr>
                <w:sz w:val="10"/>
                <w:szCs w:val="10"/>
                <w:color w:val="auto"/>
              </w:rPr>
            </w:pPr>
          </w:p>
        </w:tc>
        <w:tc>
          <w:tcPr>
            <w:tcW w:w="362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gridSpan w:val="2"/>
          </w:tcPr>
          <w:p>
            <w:pPr>
              <w:jc w:val="center"/>
              <w:ind w:right="120"/>
              <w:spacing w:after="0" w:line="121" w:lineRule="exact"/>
              <w:rPr>
                <w:sz w:val="20"/>
                <w:szCs w:val="20"/>
                <w:color w:val="auto"/>
              </w:rPr>
            </w:pPr>
            <w:r>
              <w:rPr>
                <w:rFonts w:ascii="Arial" w:cs="Arial" w:eastAsia="Arial" w:hAnsi="Arial"/>
                <w:sz w:val="11"/>
                <w:szCs w:val="11"/>
                <w:b w:val="1"/>
                <w:bCs w:val="1"/>
                <w:color w:val="auto"/>
                <w:w w:val="90"/>
              </w:rPr>
              <w:t>or</w:t>
            </w:r>
          </w:p>
        </w:tc>
        <w:tc>
          <w:tcPr>
            <w:tcW w:w="700" w:type="dxa"/>
            <w:vAlign w:val="bottom"/>
            <w:gridSpan w:val="2"/>
          </w:tcPr>
          <w:p>
            <w:pPr>
              <w:jc w:val="right"/>
              <w:ind w:right="140"/>
              <w:spacing w:after="0" w:line="121" w:lineRule="exact"/>
              <w:rPr>
                <w:sz w:val="20"/>
                <w:szCs w:val="20"/>
                <w:color w:val="auto"/>
              </w:rPr>
            </w:pPr>
            <w:r>
              <w:rPr>
                <w:rFonts w:ascii="Arial" w:cs="Arial" w:eastAsia="Arial" w:hAnsi="Arial"/>
                <w:sz w:val="11"/>
                <w:szCs w:val="11"/>
                <w:b w:val="1"/>
                <w:bCs w:val="1"/>
                <w:color w:val="auto"/>
                <w:w w:val="93"/>
              </w:rPr>
              <w:t>Underlying</w:t>
            </w:r>
          </w:p>
        </w:tc>
        <w:tc>
          <w:tcPr>
            <w:tcW w:w="580" w:type="dxa"/>
            <w:vAlign w:val="bottom"/>
            <w:gridSpan w:val="2"/>
          </w:tcPr>
          <w:p>
            <w:pPr>
              <w:jc w:val="center"/>
              <w:ind w:right="140"/>
              <w:spacing w:after="0" w:line="121" w:lineRule="exact"/>
              <w:rPr>
                <w:sz w:val="20"/>
                <w:szCs w:val="20"/>
                <w:color w:val="auto"/>
              </w:rPr>
            </w:pPr>
            <w:r>
              <w:rPr>
                <w:rFonts w:ascii="Arial" w:cs="Arial" w:eastAsia="Arial" w:hAnsi="Arial"/>
                <w:sz w:val="11"/>
                <w:szCs w:val="11"/>
                <w:b w:val="1"/>
                <w:bCs w:val="1"/>
                <w:color w:val="auto"/>
              </w:rPr>
              <w:t>Option</w:t>
            </w:r>
          </w:p>
        </w:tc>
        <w:tc>
          <w:tcPr>
            <w:tcW w:w="640" w:type="dxa"/>
            <w:vAlign w:val="bottom"/>
            <w:gridSpan w:val="2"/>
          </w:tcPr>
          <w:p>
            <w:pPr>
              <w:jc w:val="center"/>
              <w:ind w:right="60"/>
              <w:spacing w:after="0" w:line="121" w:lineRule="exact"/>
              <w:rPr>
                <w:sz w:val="20"/>
                <w:szCs w:val="20"/>
                <w:color w:val="auto"/>
              </w:rPr>
            </w:pPr>
            <w:r>
              <w:rPr>
                <w:rFonts w:ascii="Arial" w:cs="Arial" w:eastAsia="Arial" w:hAnsi="Arial"/>
                <w:sz w:val="11"/>
                <w:szCs w:val="11"/>
                <w:b w:val="1"/>
                <w:bCs w:val="1"/>
                <w:color w:val="auto"/>
                <w:w w:val="95"/>
              </w:rPr>
              <w:t>Option</w:t>
            </w:r>
          </w:p>
        </w:tc>
        <w:tc>
          <w:tcPr>
            <w:tcW w:w="0" w:type="dxa"/>
            <w:vAlign w:val="bottom"/>
          </w:tcPr>
          <w:p>
            <w:pPr>
              <w:spacing w:after="0"/>
              <w:rPr>
                <w:sz w:val="1"/>
                <w:szCs w:val="1"/>
                <w:color w:val="auto"/>
              </w:rPr>
            </w:pPr>
          </w:p>
        </w:tc>
      </w:tr>
      <w:tr>
        <w:trPr>
          <w:trHeight w:val="122"/>
        </w:trPr>
        <w:tc>
          <w:tcPr>
            <w:tcW w:w="200" w:type="dxa"/>
            <w:vAlign w:val="bottom"/>
          </w:tcPr>
          <w:p>
            <w:pPr>
              <w:spacing w:after="0"/>
              <w:rPr>
                <w:sz w:val="10"/>
                <w:szCs w:val="10"/>
                <w:color w:val="auto"/>
              </w:rPr>
            </w:pPr>
          </w:p>
        </w:tc>
        <w:tc>
          <w:tcPr>
            <w:tcW w:w="362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right w:val="single" w:sz="8" w:color="95B3D7"/>
            </w:tcBorders>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rPr>
              <w:t>Threshold</w:t>
            </w:r>
          </w:p>
        </w:tc>
        <w:tc>
          <w:tcPr>
            <w:tcW w:w="80" w:type="dxa"/>
            <w:vAlign w:val="bottom"/>
          </w:tcPr>
          <w:p>
            <w:pPr>
              <w:spacing w:after="0"/>
              <w:rPr>
                <w:sz w:val="10"/>
                <w:szCs w:val="10"/>
                <w:color w:val="auto"/>
              </w:rPr>
            </w:pPr>
          </w:p>
        </w:tc>
        <w:tc>
          <w:tcPr>
            <w:tcW w:w="500" w:type="dxa"/>
            <w:vAlign w:val="bottom"/>
            <w:tcBorders>
              <w:right w:val="single" w:sz="8" w:color="95B3D7"/>
            </w:tcBorders>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5"/>
              </w:rPr>
              <w:t>Target</w:t>
            </w:r>
          </w:p>
        </w:tc>
        <w:tc>
          <w:tcPr>
            <w:tcW w:w="80" w:type="dxa"/>
            <w:vAlign w:val="bottom"/>
          </w:tcPr>
          <w:p>
            <w:pPr>
              <w:spacing w:after="0"/>
              <w:rPr>
                <w:sz w:val="10"/>
                <w:szCs w:val="10"/>
                <w:color w:val="auto"/>
              </w:rPr>
            </w:pPr>
          </w:p>
        </w:tc>
        <w:tc>
          <w:tcPr>
            <w:tcW w:w="640" w:type="dxa"/>
            <w:vAlign w:val="bottom"/>
            <w:tcBorders>
              <w:right w:val="single" w:sz="8" w:color="95B3D7"/>
            </w:tcBorders>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8"/>
              </w:rPr>
              <w:t>Maximum</w:t>
            </w:r>
          </w:p>
        </w:tc>
        <w:tc>
          <w:tcPr>
            <w:tcW w:w="60" w:type="dxa"/>
            <w:vAlign w:val="bottom"/>
          </w:tcPr>
          <w:p>
            <w:pPr>
              <w:spacing w:after="0"/>
              <w:rPr>
                <w:sz w:val="10"/>
                <w:szCs w:val="10"/>
                <w:color w:val="auto"/>
              </w:rPr>
            </w:pPr>
          </w:p>
        </w:tc>
        <w:tc>
          <w:tcPr>
            <w:tcW w:w="600" w:type="dxa"/>
            <w:vAlign w:val="bottom"/>
            <w:tcBorders>
              <w:right w:val="single" w:sz="8" w:color="95B3D7"/>
            </w:tcBorders>
            <w:gridSpan w:val="2"/>
          </w:tcPr>
          <w:p>
            <w:pPr>
              <w:jc w:val="center"/>
              <w:ind w:right="40"/>
              <w:spacing w:after="0" w:line="122" w:lineRule="exact"/>
              <w:rPr>
                <w:sz w:val="20"/>
                <w:szCs w:val="20"/>
                <w:color w:val="auto"/>
              </w:rPr>
            </w:pPr>
            <w:r>
              <w:rPr>
                <w:rFonts w:ascii="Arial" w:cs="Arial" w:eastAsia="Arial" w:hAnsi="Arial"/>
                <w:sz w:val="11"/>
                <w:szCs w:val="11"/>
                <w:b w:val="1"/>
                <w:bCs w:val="1"/>
                <w:color w:val="auto"/>
                <w:w w:val="97"/>
              </w:rPr>
              <w:t>Threshold</w:t>
            </w:r>
          </w:p>
        </w:tc>
        <w:tc>
          <w:tcPr>
            <w:tcW w:w="80" w:type="dxa"/>
            <w:vAlign w:val="bottom"/>
          </w:tcPr>
          <w:p>
            <w:pPr>
              <w:spacing w:after="0"/>
              <w:rPr>
                <w:sz w:val="10"/>
                <w:szCs w:val="10"/>
                <w:color w:val="auto"/>
              </w:rPr>
            </w:pPr>
          </w:p>
        </w:tc>
        <w:tc>
          <w:tcPr>
            <w:tcW w:w="580" w:type="dxa"/>
            <w:vAlign w:val="bottom"/>
            <w:tcBorders>
              <w:right w:val="single" w:sz="8" w:color="95B3D7"/>
            </w:tcBorders>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5"/>
              </w:rPr>
              <w:t>Target</w:t>
            </w:r>
          </w:p>
        </w:tc>
        <w:tc>
          <w:tcPr>
            <w:tcW w:w="80" w:type="dxa"/>
            <w:vAlign w:val="bottom"/>
          </w:tcPr>
          <w:p>
            <w:pPr>
              <w:spacing w:after="0"/>
              <w:rPr>
                <w:sz w:val="10"/>
                <w:szCs w:val="10"/>
                <w:color w:val="auto"/>
              </w:rPr>
            </w:pPr>
          </w:p>
        </w:tc>
        <w:tc>
          <w:tcPr>
            <w:tcW w:w="600" w:type="dxa"/>
            <w:vAlign w:val="bottom"/>
            <w:tcBorders>
              <w:right w:val="single" w:sz="8" w:color="95B3D7"/>
            </w:tcBorders>
            <w:gridSpan w:val="2"/>
          </w:tcPr>
          <w:p>
            <w:pPr>
              <w:jc w:val="center"/>
              <w:ind w:right="60"/>
              <w:spacing w:after="0" w:line="122" w:lineRule="exact"/>
              <w:rPr>
                <w:sz w:val="20"/>
                <w:szCs w:val="20"/>
                <w:color w:val="auto"/>
              </w:rPr>
            </w:pPr>
            <w:r>
              <w:rPr>
                <w:rFonts w:ascii="Arial" w:cs="Arial" w:eastAsia="Arial" w:hAnsi="Arial"/>
                <w:sz w:val="11"/>
                <w:szCs w:val="11"/>
                <w:b w:val="1"/>
                <w:bCs w:val="1"/>
                <w:color w:val="auto"/>
                <w:w w:val="98"/>
              </w:rPr>
              <w:t>Maximum</w:t>
            </w:r>
          </w:p>
        </w:tc>
        <w:tc>
          <w:tcPr>
            <w:tcW w:w="60" w:type="dxa"/>
            <w:vAlign w:val="bottom"/>
          </w:tcPr>
          <w:p>
            <w:pPr>
              <w:spacing w:after="0"/>
              <w:rPr>
                <w:sz w:val="10"/>
                <w:szCs w:val="10"/>
                <w:color w:val="auto"/>
              </w:rPr>
            </w:pP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rPr>
              <w:t>Units</w:t>
            </w:r>
          </w:p>
        </w:tc>
        <w:tc>
          <w:tcPr>
            <w:tcW w:w="70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w w:val="96"/>
              </w:rPr>
              <w:t>Options</w:t>
            </w:r>
          </w:p>
        </w:tc>
        <w:tc>
          <w:tcPr>
            <w:tcW w:w="580" w:type="dxa"/>
            <w:vAlign w:val="bottom"/>
            <w:gridSpan w:val="2"/>
          </w:tcPr>
          <w:p>
            <w:pPr>
              <w:jc w:val="center"/>
              <w:ind w:right="140"/>
              <w:spacing w:after="0" w:line="122" w:lineRule="exact"/>
              <w:rPr>
                <w:sz w:val="20"/>
                <w:szCs w:val="20"/>
                <w:color w:val="auto"/>
              </w:rPr>
            </w:pPr>
            <w:r>
              <w:rPr>
                <w:rFonts w:ascii="Arial" w:cs="Arial" w:eastAsia="Arial" w:hAnsi="Arial"/>
                <w:sz w:val="11"/>
                <w:szCs w:val="11"/>
                <w:b w:val="1"/>
                <w:bCs w:val="1"/>
                <w:color w:val="auto"/>
              </w:rPr>
              <w:t>Awards</w:t>
            </w:r>
          </w:p>
        </w:tc>
        <w:tc>
          <w:tcPr>
            <w:tcW w:w="640" w:type="dxa"/>
            <w:vAlign w:val="bottom"/>
            <w:gridSpan w:val="2"/>
          </w:tcPr>
          <w:p>
            <w:pPr>
              <w:jc w:val="center"/>
              <w:ind w:right="40"/>
              <w:spacing w:after="0" w:line="122" w:lineRule="exact"/>
              <w:rPr>
                <w:sz w:val="20"/>
                <w:szCs w:val="20"/>
                <w:color w:val="auto"/>
              </w:rPr>
            </w:pPr>
            <w:r>
              <w:rPr>
                <w:rFonts w:ascii="Arial" w:cs="Arial" w:eastAsia="Arial" w:hAnsi="Arial"/>
                <w:sz w:val="10"/>
                <w:szCs w:val="10"/>
                <w:b w:val="1"/>
                <w:bCs w:val="1"/>
                <w:color w:val="auto"/>
              </w:rPr>
              <w:t>Awards</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122"/>
        </w:trPr>
        <w:tc>
          <w:tcPr>
            <w:tcW w:w="200" w:type="dxa"/>
            <w:vAlign w:val="bottom"/>
            <w:vMerge w:val="restart"/>
          </w:tcPr>
          <w:p>
            <w:pPr>
              <w:ind w:left="140"/>
              <w:spacing w:after="0"/>
              <w:rPr>
                <w:sz w:val="20"/>
                <w:szCs w:val="20"/>
                <w:color w:val="auto"/>
              </w:rPr>
            </w:pPr>
            <w:r>
              <w:rPr>
                <w:rFonts w:ascii="Arial" w:cs="Arial" w:eastAsia="Arial" w:hAnsi="Arial"/>
                <w:sz w:val="5"/>
                <w:szCs w:val="5"/>
                <w:b w:val="1"/>
                <w:bCs w:val="1"/>
                <w:color w:val="auto"/>
                <w:w w:val="79"/>
              </w:rPr>
              <w:t> </w:t>
            </w:r>
          </w:p>
        </w:tc>
        <w:tc>
          <w:tcPr>
            <w:tcW w:w="3620" w:type="dxa"/>
            <w:vAlign w:val="bottom"/>
            <w:tcBorders>
              <w:right w:val="single" w:sz="8" w:color="95B3D7"/>
            </w:tcBorders>
            <w:vMerge w:val="restart"/>
          </w:tcPr>
          <w:p>
            <w:pPr>
              <w:ind w:left="40"/>
              <w:spacing w:after="0"/>
              <w:rPr>
                <w:sz w:val="20"/>
                <w:szCs w:val="20"/>
                <w:color w:val="auto"/>
              </w:rPr>
            </w:pPr>
            <w:r>
              <w:rPr>
                <w:rFonts w:ascii="Arial" w:cs="Arial" w:eastAsia="Arial" w:hAnsi="Arial"/>
                <w:sz w:val="11"/>
                <w:szCs w:val="11"/>
                <w:b w:val="1"/>
                <w:bCs w:val="1"/>
                <w:color w:val="auto"/>
              </w:rPr>
              <w:t>(a)</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w:t>
            </w: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tcBorders>
              <w:right w:val="single" w:sz="8" w:color="95B3D7"/>
            </w:tcBorders>
          </w:tcPr>
          <w:p>
            <w:pPr>
              <w:spacing w:after="0"/>
              <w:rPr>
                <w:sz w:val="10"/>
                <w:szCs w:val="10"/>
                <w:color w:val="auto"/>
              </w:rPr>
            </w:pPr>
          </w:p>
        </w:tc>
        <w:tc>
          <w:tcPr>
            <w:tcW w:w="6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tcBorders>
              <w:right w:val="single" w:sz="8" w:color="95B3D7"/>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60" w:type="dxa"/>
            <w:vAlign w:val="bottom"/>
            <w:tcBorders>
              <w:right w:val="single" w:sz="8" w:color="95B3D7"/>
            </w:tcBorders>
          </w:tcPr>
          <w:p>
            <w:pPr>
              <w:spacing w:after="0"/>
              <w:rPr>
                <w:sz w:val="10"/>
                <w:szCs w:val="10"/>
                <w:color w:val="auto"/>
              </w:rPr>
            </w:pPr>
          </w:p>
        </w:tc>
        <w:tc>
          <w:tcPr>
            <w:tcW w:w="500" w:type="dxa"/>
            <w:vAlign w:val="bottom"/>
            <w:gridSpan w:val="2"/>
          </w:tcPr>
          <w:p>
            <w:pPr>
              <w:jc w:val="center"/>
              <w:ind w:left="26"/>
              <w:spacing w:after="0" w:line="122" w:lineRule="exact"/>
              <w:rPr>
                <w:sz w:val="20"/>
                <w:szCs w:val="20"/>
                <w:color w:val="auto"/>
              </w:rPr>
            </w:pPr>
            <w:r>
              <w:rPr>
                <w:rFonts w:ascii="Arial" w:cs="Arial" w:eastAsia="Arial" w:hAnsi="Arial"/>
                <w:sz w:val="11"/>
                <w:szCs w:val="11"/>
                <w:b w:val="1"/>
                <w:bCs w:val="1"/>
                <w:color w:val="auto"/>
              </w:rPr>
              <w:t>(#)</w:t>
            </w:r>
          </w:p>
        </w:tc>
        <w:tc>
          <w:tcPr>
            <w:tcW w:w="14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w w:val="88"/>
              </w:rPr>
              <w:t>(#)</w:t>
            </w:r>
          </w:p>
        </w:tc>
        <w:tc>
          <w:tcPr>
            <w:tcW w:w="140" w:type="dxa"/>
            <w:vAlign w:val="bottom"/>
          </w:tcPr>
          <w:p>
            <w:pPr>
              <w:spacing w:after="0"/>
              <w:rPr>
                <w:sz w:val="10"/>
                <w:szCs w:val="10"/>
                <w:color w:val="auto"/>
              </w:rPr>
            </w:pPr>
          </w:p>
        </w:tc>
        <w:tc>
          <w:tcPr>
            <w:tcW w:w="580" w:type="dxa"/>
            <w:vAlign w:val="bottom"/>
            <w:gridSpan w:val="2"/>
          </w:tcPr>
          <w:p>
            <w:pPr>
              <w:jc w:val="center"/>
              <w:ind w:right="160"/>
              <w:spacing w:after="0" w:line="122" w:lineRule="exact"/>
              <w:rPr>
                <w:sz w:val="20"/>
                <w:szCs w:val="20"/>
                <w:color w:val="auto"/>
              </w:rPr>
            </w:pPr>
            <w:r>
              <w:rPr>
                <w:rFonts w:ascii="Arial" w:cs="Arial" w:eastAsia="Arial" w:hAnsi="Arial"/>
                <w:sz w:val="11"/>
                <w:szCs w:val="11"/>
                <w:b w:val="1"/>
                <w:bCs w:val="1"/>
                <w:color w:val="auto"/>
                <w:w w:val="98"/>
              </w:rPr>
              <w:t>($/Sh)</w:t>
            </w:r>
          </w:p>
        </w:tc>
        <w:tc>
          <w:tcPr>
            <w:tcW w:w="600" w:type="dxa"/>
            <w:vAlign w:val="bottom"/>
          </w:tcPr>
          <w:p>
            <w:pPr>
              <w:jc w:val="center"/>
              <w:spacing w:after="0" w:line="122"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0" w:type="dxa"/>
            <w:vAlign w:val="bottom"/>
            <w:vMerge w:val="continue"/>
          </w:tcPr>
          <w:p>
            <w:pPr>
              <w:spacing w:after="0"/>
              <w:rPr>
                <w:sz w:val="11"/>
                <w:szCs w:val="11"/>
                <w:color w:val="auto"/>
              </w:rPr>
            </w:pPr>
          </w:p>
        </w:tc>
        <w:tc>
          <w:tcPr>
            <w:tcW w:w="3620" w:type="dxa"/>
            <w:vAlign w:val="bottom"/>
            <w:tcBorders>
              <w:right w:val="single" w:sz="8" w:color="95B3D7"/>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Borders>
              <w:right w:val="single" w:sz="8" w:color="95B3D7"/>
            </w:tcBorders>
            <w:gridSpan w:val="2"/>
          </w:tcPr>
          <w:p>
            <w:pPr>
              <w:jc w:val="center"/>
              <w:ind w:right="60"/>
              <w:spacing w:after="0"/>
              <w:rPr>
                <w:sz w:val="20"/>
                <w:szCs w:val="20"/>
                <w:color w:val="auto"/>
              </w:rPr>
            </w:pPr>
            <w:r>
              <w:rPr>
                <w:rFonts w:ascii="Arial" w:cs="Arial" w:eastAsia="Arial" w:hAnsi="Arial"/>
                <w:sz w:val="11"/>
                <w:szCs w:val="11"/>
                <w:b w:val="1"/>
                <w:bCs w:val="1"/>
                <w:color w:val="auto"/>
                <w:w w:val="85"/>
              </w:rPr>
              <w:t>(b)</w:t>
            </w:r>
          </w:p>
        </w:tc>
        <w:tc>
          <w:tcPr>
            <w:tcW w:w="80" w:type="dxa"/>
            <w:vAlign w:val="bottom"/>
          </w:tcPr>
          <w:p>
            <w:pPr>
              <w:spacing w:after="0"/>
              <w:rPr>
                <w:sz w:val="11"/>
                <w:szCs w:val="11"/>
                <w:color w:val="auto"/>
              </w:rPr>
            </w:pPr>
          </w:p>
        </w:tc>
        <w:tc>
          <w:tcPr>
            <w:tcW w:w="600" w:type="dxa"/>
            <w:vAlign w:val="bottom"/>
            <w:tcBorders>
              <w:right w:val="single" w:sz="8" w:color="95B3D7"/>
            </w:tcBorders>
            <w:gridSpan w:val="2"/>
          </w:tcPr>
          <w:p>
            <w:pPr>
              <w:jc w:val="center"/>
              <w:ind w:right="60"/>
              <w:spacing w:after="0"/>
              <w:rPr>
                <w:sz w:val="20"/>
                <w:szCs w:val="20"/>
                <w:color w:val="auto"/>
              </w:rPr>
            </w:pPr>
            <w:r>
              <w:rPr>
                <w:rFonts w:ascii="Arial" w:cs="Arial" w:eastAsia="Arial" w:hAnsi="Arial"/>
                <w:sz w:val="11"/>
                <w:szCs w:val="11"/>
                <w:b w:val="1"/>
                <w:bCs w:val="1"/>
                <w:color w:val="auto"/>
              </w:rPr>
              <w:t>(c)</w:t>
            </w:r>
          </w:p>
        </w:tc>
        <w:tc>
          <w:tcPr>
            <w:tcW w:w="80" w:type="dxa"/>
            <w:vAlign w:val="bottom"/>
          </w:tcPr>
          <w:p>
            <w:pPr>
              <w:spacing w:after="0"/>
              <w:rPr>
                <w:sz w:val="11"/>
                <w:szCs w:val="11"/>
                <w:color w:val="auto"/>
              </w:rPr>
            </w:pPr>
          </w:p>
        </w:tc>
        <w:tc>
          <w:tcPr>
            <w:tcW w:w="500" w:type="dxa"/>
            <w:vAlign w:val="bottom"/>
            <w:tcBorders>
              <w:right w:val="single" w:sz="8" w:color="95B3D7"/>
            </w:tcBorders>
            <w:gridSpan w:val="2"/>
          </w:tcPr>
          <w:p>
            <w:pPr>
              <w:jc w:val="center"/>
              <w:ind w:right="80"/>
              <w:spacing w:after="0"/>
              <w:rPr>
                <w:sz w:val="20"/>
                <w:szCs w:val="20"/>
                <w:color w:val="auto"/>
              </w:rPr>
            </w:pPr>
            <w:r>
              <w:rPr>
                <w:rFonts w:ascii="Arial" w:cs="Arial" w:eastAsia="Arial" w:hAnsi="Arial"/>
                <w:sz w:val="11"/>
                <w:szCs w:val="11"/>
                <w:b w:val="1"/>
                <w:bCs w:val="1"/>
                <w:color w:val="auto"/>
                <w:w w:val="99"/>
              </w:rPr>
              <w:t>(d)</w:t>
            </w:r>
          </w:p>
        </w:tc>
        <w:tc>
          <w:tcPr>
            <w:tcW w:w="80" w:type="dxa"/>
            <w:vAlign w:val="bottom"/>
          </w:tcPr>
          <w:p>
            <w:pPr>
              <w:spacing w:after="0"/>
              <w:rPr>
                <w:sz w:val="11"/>
                <w:szCs w:val="11"/>
                <w:color w:val="auto"/>
              </w:rPr>
            </w:pPr>
          </w:p>
        </w:tc>
        <w:tc>
          <w:tcPr>
            <w:tcW w:w="640" w:type="dxa"/>
            <w:vAlign w:val="bottom"/>
            <w:tcBorders>
              <w:right w:val="single" w:sz="8" w:color="95B3D7"/>
            </w:tcBorders>
            <w:gridSpan w:val="2"/>
          </w:tcPr>
          <w:p>
            <w:pPr>
              <w:jc w:val="center"/>
              <w:ind w:right="60"/>
              <w:spacing w:after="0"/>
              <w:rPr>
                <w:sz w:val="20"/>
                <w:szCs w:val="20"/>
                <w:color w:val="auto"/>
              </w:rPr>
            </w:pPr>
            <w:r>
              <w:rPr>
                <w:rFonts w:ascii="Arial" w:cs="Arial" w:eastAsia="Arial" w:hAnsi="Arial"/>
                <w:sz w:val="11"/>
                <w:szCs w:val="11"/>
                <w:b w:val="1"/>
                <w:bCs w:val="1"/>
                <w:color w:val="auto"/>
              </w:rPr>
              <w:t>(e)</w:t>
            </w:r>
          </w:p>
        </w:tc>
        <w:tc>
          <w:tcPr>
            <w:tcW w:w="60" w:type="dxa"/>
            <w:vAlign w:val="bottom"/>
          </w:tcPr>
          <w:p>
            <w:pPr>
              <w:spacing w:after="0"/>
              <w:rPr>
                <w:sz w:val="11"/>
                <w:szCs w:val="11"/>
                <w:color w:val="auto"/>
              </w:rPr>
            </w:pPr>
          </w:p>
        </w:tc>
        <w:tc>
          <w:tcPr>
            <w:tcW w:w="600" w:type="dxa"/>
            <w:vAlign w:val="bottom"/>
            <w:tcBorders>
              <w:right w:val="single" w:sz="8" w:color="95B3D7"/>
            </w:tcBorders>
            <w:gridSpan w:val="2"/>
          </w:tcPr>
          <w:p>
            <w:pPr>
              <w:jc w:val="center"/>
              <w:ind w:right="60"/>
              <w:spacing w:after="0"/>
              <w:rPr>
                <w:sz w:val="20"/>
                <w:szCs w:val="20"/>
                <w:color w:val="auto"/>
              </w:rPr>
            </w:pPr>
            <w:r>
              <w:rPr>
                <w:rFonts w:ascii="Arial" w:cs="Arial" w:eastAsia="Arial" w:hAnsi="Arial"/>
                <w:sz w:val="11"/>
                <w:szCs w:val="11"/>
                <w:b w:val="1"/>
                <w:bCs w:val="1"/>
                <w:color w:val="auto"/>
                <w:w w:val="90"/>
              </w:rPr>
              <w:t>(f)</w:t>
            </w:r>
          </w:p>
        </w:tc>
        <w:tc>
          <w:tcPr>
            <w:tcW w:w="80" w:type="dxa"/>
            <w:vAlign w:val="bottom"/>
          </w:tcPr>
          <w:p>
            <w:pPr>
              <w:spacing w:after="0"/>
              <w:rPr>
                <w:sz w:val="11"/>
                <w:szCs w:val="11"/>
                <w:color w:val="auto"/>
              </w:rPr>
            </w:pPr>
          </w:p>
        </w:tc>
        <w:tc>
          <w:tcPr>
            <w:tcW w:w="580" w:type="dxa"/>
            <w:vAlign w:val="bottom"/>
            <w:tcBorders>
              <w:right w:val="single" w:sz="8" w:color="95B3D7"/>
            </w:tcBorders>
            <w:gridSpan w:val="2"/>
          </w:tcPr>
          <w:p>
            <w:pPr>
              <w:jc w:val="center"/>
              <w:ind w:right="80"/>
              <w:spacing w:after="0"/>
              <w:rPr>
                <w:sz w:val="20"/>
                <w:szCs w:val="20"/>
                <w:color w:val="auto"/>
              </w:rPr>
            </w:pPr>
            <w:r>
              <w:rPr>
                <w:rFonts w:ascii="Arial" w:cs="Arial" w:eastAsia="Arial" w:hAnsi="Arial"/>
                <w:sz w:val="11"/>
                <w:szCs w:val="11"/>
                <w:b w:val="1"/>
                <w:bCs w:val="1"/>
                <w:color w:val="auto"/>
                <w:w w:val="99"/>
              </w:rPr>
              <w:t>(g)</w:t>
            </w:r>
          </w:p>
        </w:tc>
        <w:tc>
          <w:tcPr>
            <w:tcW w:w="80" w:type="dxa"/>
            <w:vAlign w:val="bottom"/>
          </w:tcPr>
          <w:p>
            <w:pPr>
              <w:spacing w:after="0"/>
              <w:rPr>
                <w:sz w:val="11"/>
                <w:szCs w:val="11"/>
                <w:color w:val="auto"/>
              </w:rPr>
            </w:pPr>
          </w:p>
        </w:tc>
        <w:tc>
          <w:tcPr>
            <w:tcW w:w="600" w:type="dxa"/>
            <w:vAlign w:val="bottom"/>
            <w:tcBorders>
              <w:right w:val="single" w:sz="8" w:color="95B3D7"/>
            </w:tcBorders>
            <w:gridSpan w:val="2"/>
          </w:tcPr>
          <w:p>
            <w:pPr>
              <w:jc w:val="center"/>
              <w:ind w:right="60"/>
              <w:spacing w:after="0"/>
              <w:rPr>
                <w:sz w:val="20"/>
                <w:szCs w:val="20"/>
                <w:color w:val="auto"/>
              </w:rPr>
            </w:pPr>
            <w:r>
              <w:rPr>
                <w:rFonts w:ascii="Arial" w:cs="Arial" w:eastAsia="Arial" w:hAnsi="Arial"/>
                <w:sz w:val="11"/>
                <w:szCs w:val="11"/>
                <w:b w:val="1"/>
                <w:bCs w:val="1"/>
                <w:color w:val="auto"/>
                <w:w w:val="99"/>
              </w:rPr>
              <w:t>(h)</w:t>
            </w:r>
          </w:p>
        </w:tc>
        <w:tc>
          <w:tcPr>
            <w:tcW w:w="60" w:type="dxa"/>
            <w:vAlign w:val="bottom"/>
          </w:tcPr>
          <w:p>
            <w:pPr>
              <w:spacing w:after="0"/>
              <w:rPr>
                <w:sz w:val="11"/>
                <w:szCs w:val="11"/>
                <w:color w:val="auto"/>
              </w:rPr>
            </w:pPr>
          </w:p>
        </w:tc>
        <w:tc>
          <w:tcPr>
            <w:tcW w:w="58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95"/>
              </w:rPr>
              <w:t>(i)</w:t>
            </w:r>
          </w:p>
        </w:tc>
        <w:tc>
          <w:tcPr>
            <w:tcW w:w="70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(j)</w:t>
            </w:r>
          </w:p>
        </w:tc>
        <w:tc>
          <w:tcPr>
            <w:tcW w:w="580" w:type="dxa"/>
            <w:vAlign w:val="bottom"/>
            <w:gridSpan w:val="2"/>
          </w:tcPr>
          <w:p>
            <w:pPr>
              <w:jc w:val="center"/>
              <w:ind w:right="140"/>
              <w:spacing w:after="0"/>
              <w:rPr>
                <w:sz w:val="20"/>
                <w:szCs w:val="20"/>
                <w:color w:val="auto"/>
              </w:rPr>
            </w:pPr>
            <w:r>
              <w:rPr>
                <w:rFonts w:ascii="Arial" w:cs="Arial" w:eastAsia="Arial" w:hAnsi="Arial"/>
                <w:sz w:val="11"/>
                <w:szCs w:val="11"/>
                <w:b w:val="1"/>
                <w:bCs w:val="1"/>
                <w:color w:val="auto"/>
                <w:w w:val="88"/>
              </w:rPr>
              <w:t>(k)</w:t>
            </w:r>
          </w:p>
        </w:tc>
        <w:tc>
          <w:tcPr>
            <w:tcW w:w="640" w:type="dxa"/>
            <w:vAlign w:val="bottom"/>
            <w:gridSpan w:val="2"/>
          </w:tcPr>
          <w:p>
            <w:pPr>
              <w:jc w:val="center"/>
              <w:ind w:right="60"/>
              <w:spacing w:after="0"/>
              <w:rPr>
                <w:sz w:val="20"/>
                <w:szCs w:val="20"/>
                <w:color w:val="auto"/>
              </w:rPr>
            </w:pPr>
            <w:r>
              <w:rPr>
                <w:rFonts w:ascii="Arial" w:cs="Arial" w:eastAsia="Arial" w:hAnsi="Arial"/>
                <w:sz w:val="11"/>
                <w:szCs w:val="11"/>
                <w:b w:val="1"/>
                <w:bCs w:val="1"/>
                <w:color w:val="auto"/>
                <w:w w:val="95"/>
              </w:rPr>
              <w:t>(l)</w:t>
            </w:r>
          </w:p>
        </w:tc>
        <w:tc>
          <w:tcPr>
            <w:tcW w:w="0" w:type="dxa"/>
            <w:vAlign w:val="bottom"/>
          </w:tcPr>
          <w:p>
            <w:pPr>
              <w:spacing w:after="0"/>
              <w:rPr>
                <w:sz w:val="1"/>
                <w:szCs w:val="1"/>
                <w:color w:val="auto"/>
              </w:rPr>
            </w:pPr>
          </w:p>
        </w:tc>
      </w:tr>
      <w:tr>
        <w:trPr>
          <w:trHeight w:val="101"/>
        </w:trPr>
        <w:tc>
          <w:tcPr>
            <w:tcW w:w="3820" w:type="dxa"/>
            <w:vAlign w:val="bottom"/>
            <w:tcBorders>
              <w:top w:val="single" w:sz="8" w:color="95B3D7"/>
              <w:right w:val="single" w:sz="8" w:color="DBE5F1"/>
            </w:tcBorders>
            <w:gridSpan w:val="2"/>
            <w:shd w:val="clear" w:color="auto" w:fill="DBE5F1"/>
          </w:tcPr>
          <w:p>
            <w:pPr>
              <w:ind w:left="140"/>
              <w:spacing w:after="0" w:line="102" w:lineRule="exact"/>
              <w:rPr>
                <w:sz w:val="20"/>
                <w:szCs w:val="20"/>
                <w:color w:val="auto"/>
              </w:rPr>
            </w:pPr>
            <w:r>
              <w:rPr>
                <w:rFonts w:ascii="Arial" w:cs="Arial" w:eastAsia="Arial" w:hAnsi="Arial"/>
                <w:sz w:val="11"/>
                <w:szCs w:val="11"/>
                <w:b w:val="1"/>
                <w:bCs w:val="1"/>
                <w:color w:val="auto"/>
              </w:rPr>
              <w:t>John Kao</w:t>
            </w:r>
          </w:p>
        </w:tc>
        <w:tc>
          <w:tcPr>
            <w:tcW w:w="80" w:type="dxa"/>
            <w:vAlign w:val="bottom"/>
            <w:tcBorders>
              <w:top w:val="single" w:sz="8" w:color="DBE5F1"/>
            </w:tcBorders>
            <w:shd w:val="clear" w:color="auto" w:fill="DBE5F1"/>
          </w:tcPr>
          <w:p>
            <w:pPr>
              <w:spacing w:after="0"/>
              <w:rPr>
                <w:sz w:val="8"/>
                <w:szCs w:val="8"/>
                <w:color w:val="auto"/>
              </w:rPr>
            </w:pPr>
          </w:p>
        </w:tc>
        <w:tc>
          <w:tcPr>
            <w:tcW w:w="520" w:type="dxa"/>
            <w:vAlign w:val="bottom"/>
            <w:tcBorders>
              <w:top w:val="single" w:sz="8" w:color="95B3D7"/>
            </w:tcBorders>
            <w:shd w:val="clear" w:color="auto" w:fill="DBE5F1"/>
          </w:tcPr>
          <w:p>
            <w:pPr>
              <w:spacing w:after="0"/>
              <w:rPr>
                <w:sz w:val="8"/>
                <w:szCs w:val="8"/>
                <w:color w:val="auto"/>
              </w:rPr>
            </w:pPr>
          </w:p>
        </w:tc>
        <w:tc>
          <w:tcPr>
            <w:tcW w:w="60" w:type="dxa"/>
            <w:vAlign w:val="bottom"/>
            <w:tcBorders>
              <w:top w:val="single" w:sz="8" w:color="DBE5F1"/>
              <w:right w:val="single" w:sz="8" w:color="DBE5F1"/>
            </w:tcBorders>
            <w:shd w:val="clear" w:color="auto" w:fill="DBE5F1"/>
          </w:tcPr>
          <w:p>
            <w:pPr>
              <w:spacing w:after="0"/>
              <w:rPr>
                <w:sz w:val="8"/>
                <w:szCs w:val="8"/>
                <w:color w:val="auto"/>
              </w:rPr>
            </w:pPr>
          </w:p>
        </w:tc>
        <w:tc>
          <w:tcPr>
            <w:tcW w:w="80" w:type="dxa"/>
            <w:vAlign w:val="bottom"/>
            <w:tcBorders>
              <w:top w:val="single" w:sz="8" w:color="DBE5F1"/>
            </w:tcBorders>
            <w:shd w:val="clear" w:color="auto" w:fill="DBE5F1"/>
          </w:tcPr>
          <w:p>
            <w:pPr>
              <w:spacing w:after="0"/>
              <w:rPr>
                <w:sz w:val="8"/>
                <w:szCs w:val="8"/>
                <w:color w:val="auto"/>
              </w:rPr>
            </w:pPr>
          </w:p>
        </w:tc>
        <w:tc>
          <w:tcPr>
            <w:tcW w:w="540" w:type="dxa"/>
            <w:vAlign w:val="bottom"/>
            <w:tcBorders>
              <w:top w:val="single" w:sz="8" w:color="95B3D7"/>
            </w:tcBorders>
            <w:shd w:val="clear" w:color="auto" w:fill="DBE5F1"/>
          </w:tcPr>
          <w:p>
            <w:pPr>
              <w:spacing w:after="0"/>
              <w:rPr>
                <w:sz w:val="8"/>
                <w:szCs w:val="8"/>
                <w:color w:val="auto"/>
              </w:rPr>
            </w:pPr>
          </w:p>
        </w:tc>
        <w:tc>
          <w:tcPr>
            <w:tcW w:w="60" w:type="dxa"/>
            <w:vAlign w:val="bottom"/>
            <w:tcBorders>
              <w:top w:val="single" w:sz="8" w:color="DBE5F1"/>
              <w:right w:val="single" w:sz="8" w:color="DBE5F1"/>
            </w:tcBorders>
            <w:shd w:val="clear" w:color="auto" w:fill="DBE5F1"/>
          </w:tcPr>
          <w:p>
            <w:pPr>
              <w:spacing w:after="0"/>
              <w:rPr>
                <w:sz w:val="8"/>
                <w:szCs w:val="8"/>
                <w:color w:val="auto"/>
              </w:rPr>
            </w:pPr>
          </w:p>
        </w:tc>
        <w:tc>
          <w:tcPr>
            <w:tcW w:w="80" w:type="dxa"/>
            <w:vAlign w:val="bottom"/>
            <w:tcBorders>
              <w:top w:val="single" w:sz="8" w:color="DBE5F1"/>
            </w:tcBorders>
            <w:shd w:val="clear" w:color="auto" w:fill="DBE5F1"/>
          </w:tcPr>
          <w:p>
            <w:pPr>
              <w:spacing w:after="0"/>
              <w:rPr>
                <w:sz w:val="8"/>
                <w:szCs w:val="8"/>
                <w:color w:val="auto"/>
              </w:rPr>
            </w:pPr>
          </w:p>
        </w:tc>
        <w:tc>
          <w:tcPr>
            <w:tcW w:w="440" w:type="dxa"/>
            <w:vAlign w:val="bottom"/>
            <w:tcBorders>
              <w:top w:val="single" w:sz="8" w:color="95B3D7"/>
            </w:tcBorders>
            <w:shd w:val="clear" w:color="auto" w:fill="DBE5F1"/>
          </w:tcPr>
          <w:p>
            <w:pPr>
              <w:spacing w:after="0"/>
              <w:rPr>
                <w:sz w:val="8"/>
                <w:szCs w:val="8"/>
                <w:color w:val="auto"/>
              </w:rPr>
            </w:pPr>
          </w:p>
        </w:tc>
        <w:tc>
          <w:tcPr>
            <w:tcW w:w="60" w:type="dxa"/>
            <w:vAlign w:val="bottom"/>
            <w:tcBorders>
              <w:top w:val="single" w:sz="8" w:color="DBE5F1"/>
              <w:right w:val="single" w:sz="8" w:color="DBE5F1"/>
            </w:tcBorders>
            <w:shd w:val="clear" w:color="auto" w:fill="DBE5F1"/>
          </w:tcPr>
          <w:p>
            <w:pPr>
              <w:spacing w:after="0"/>
              <w:rPr>
                <w:sz w:val="8"/>
                <w:szCs w:val="8"/>
                <w:color w:val="auto"/>
              </w:rPr>
            </w:pPr>
          </w:p>
        </w:tc>
        <w:tc>
          <w:tcPr>
            <w:tcW w:w="80" w:type="dxa"/>
            <w:vAlign w:val="bottom"/>
            <w:tcBorders>
              <w:top w:val="single" w:sz="8" w:color="DBE5F1"/>
            </w:tcBorders>
            <w:shd w:val="clear" w:color="auto" w:fill="DBE5F1"/>
          </w:tcPr>
          <w:p>
            <w:pPr>
              <w:spacing w:after="0"/>
              <w:rPr>
                <w:sz w:val="8"/>
                <w:szCs w:val="8"/>
                <w:color w:val="auto"/>
              </w:rPr>
            </w:pPr>
          </w:p>
        </w:tc>
        <w:tc>
          <w:tcPr>
            <w:tcW w:w="580" w:type="dxa"/>
            <w:vAlign w:val="bottom"/>
            <w:tcBorders>
              <w:top w:val="single" w:sz="8" w:color="95B3D7"/>
            </w:tcBorders>
            <w:shd w:val="clear" w:color="auto" w:fill="DBE5F1"/>
          </w:tcPr>
          <w:p>
            <w:pPr>
              <w:spacing w:after="0"/>
              <w:rPr>
                <w:sz w:val="8"/>
                <w:szCs w:val="8"/>
                <w:color w:val="auto"/>
              </w:rPr>
            </w:pPr>
          </w:p>
        </w:tc>
        <w:tc>
          <w:tcPr>
            <w:tcW w:w="60" w:type="dxa"/>
            <w:vAlign w:val="bottom"/>
            <w:tcBorders>
              <w:top w:val="single" w:sz="8" w:color="DBE5F1"/>
              <w:right w:val="single" w:sz="8" w:color="DBE5F1"/>
            </w:tcBorders>
            <w:shd w:val="clear" w:color="auto" w:fill="DBE5F1"/>
          </w:tcPr>
          <w:p>
            <w:pPr>
              <w:spacing w:after="0"/>
              <w:rPr>
                <w:sz w:val="8"/>
                <w:szCs w:val="8"/>
                <w:color w:val="auto"/>
              </w:rPr>
            </w:pPr>
          </w:p>
        </w:tc>
        <w:tc>
          <w:tcPr>
            <w:tcW w:w="60" w:type="dxa"/>
            <w:vAlign w:val="bottom"/>
            <w:tcBorders>
              <w:top w:val="single" w:sz="8" w:color="DBE5F1"/>
            </w:tcBorders>
            <w:shd w:val="clear" w:color="auto" w:fill="DBE5F1"/>
          </w:tcPr>
          <w:p>
            <w:pPr>
              <w:spacing w:after="0"/>
              <w:rPr>
                <w:sz w:val="8"/>
                <w:szCs w:val="8"/>
                <w:color w:val="auto"/>
              </w:rPr>
            </w:pPr>
          </w:p>
        </w:tc>
        <w:tc>
          <w:tcPr>
            <w:tcW w:w="540" w:type="dxa"/>
            <w:vAlign w:val="bottom"/>
            <w:tcBorders>
              <w:top w:val="single" w:sz="8" w:color="95B3D7"/>
            </w:tcBorders>
            <w:shd w:val="clear" w:color="auto" w:fill="DBE5F1"/>
          </w:tcPr>
          <w:p>
            <w:pPr>
              <w:spacing w:after="0"/>
              <w:rPr>
                <w:sz w:val="8"/>
                <w:szCs w:val="8"/>
                <w:color w:val="auto"/>
              </w:rPr>
            </w:pPr>
          </w:p>
        </w:tc>
        <w:tc>
          <w:tcPr>
            <w:tcW w:w="60" w:type="dxa"/>
            <w:vAlign w:val="bottom"/>
            <w:tcBorders>
              <w:top w:val="single" w:sz="8" w:color="DBE5F1"/>
              <w:right w:val="single" w:sz="8" w:color="DBE5F1"/>
            </w:tcBorders>
            <w:shd w:val="clear" w:color="auto" w:fill="DBE5F1"/>
          </w:tcPr>
          <w:p>
            <w:pPr>
              <w:spacing w:after="0"/>
              <w:rPr>
                <w:sz w:val="8"/>
                <w:szCs w:val="8"/>
                <w:color w:val="auto"/>
              </w:rPr>
            </w:pPr>
          </w:p>
        </w:tc>
        <w:tc>
          <w:tcPr>
            <w:tcW w:w="80" w:type="dxa"/>
            <w:vAlign w:val="bottom"/>
            <w:tcBorders>
              <w:top w:val="single" w:sz="8" w:color="DBE5F1"/>
            </w:tcBorders>
            <w:shd w:val="clear" w:color="auto" w:fill="DBE5F1"/>
          </w:tcPr>
          <w:p>
            <w:pPr>
              <w:spacing w:after="0"/>
              <w:rPr>
                <w:sz w:val="8"/>
                <w:szCs w:val="8"/>
                <w:color w:val="auto"/>
              </w:rPr>
            </w:pPr>
          </w:p>
        </w:tc>
        <w:tc>
          <w:tcPr>
            <w:tcW w:w="520" w:type="dxa"/>
            <w:vAlign w:val="bottom"/>
            <w:tcBorders>
              <w:top w:val="single" w:sz="8" w:color="95B3D7"/>
            </w:tcBorders>
            <w:shd w:val="clear" w:color="auto" w:fill="DBE5F1"/>
          </w:tcPr>
          <w:p>
            <w:pPr>
              <w:spacing w:after="0"/>
              <w:rPr>
                <w:sz w:val="8"/>
                <w:szCs w:val="8"/>
                <w:color w:val="auto"/>
              </w:rPr>
            </w:pPr>
          </w:p>
        </w:tc>
        <w:tc>
          <w:tcPr>
            <w:tcW w:w="60" w:type="dxa"/>
            <w:vAlign w:val="bottom"/>
            <w:tcBorders>
              <w:top w:val="single" w:sz="8" w:color="DBE5F1"/>
              <w:right w:val="single" w:sz="8" w:color="DBE5F1"/>
            </w:tcBorders>
            <w:shd w:val="clear" w:color="auto" w:fill="DBE5F1"/>
          </w:tcPr>
          <w:p>
            <w:pPr>
              <w:spacing w:after="0"/>
              <w:rPr>
                <w:sz w:val="8"/>
                <w:szCs w:val="8"/>
                <w:color w:val="auto"/>
              </w:rPr>
            </w:pPr>
          </w:p>
        </w:tc>
        <w:tc>
          <w:tcPr>
            <w:tcW w:w="80" w:type="dxa"/>
            <w:vAlign w:val="bottom"/>
            <w:tcBorders>
              <w:top w:val="single" w:sz="8" w:color="DBE5F1"/>
            </w:tcBorders>
            <w:shd w:val="clear" w:color="auto" w:fill="DBE5F1"/>
          </w:tcPr>
          <w:p>
            <w:pPr>
              <w:spacing w:after="0"/>
              <w:rPr>
                <w:sz w:val="8"/>
                <w:szCs w:val="8"/>
                <w:color w:val="auto"/>
              </w:rPr>
            </w:pPr>
          </w:p>
        </w:tc>
        <w:tc>
          <w:tcPr>
            <w:tcW w:w="540" w:type="dxa"/>
            <w:vAlign w:val="bottom"/>
            <w:tcBorders>
              <w:top w:val="single" w:sz="8" w:color="95B3D7"/>
            </w:tcBorders>
            <w:shd w:val="clear" w:color="auto" w:fill="DBE5F1"/>
          </w:tcPr>
          <w:p>
            <w:pPr>
              <w:spacing w:after="0"/>
              <w:rPr>
                <w:sz w:val="8"/>
                <w:szCs w:val="8"/>
                <w:color w:val="auto"/>
              </w:rPr>
            </w:pPr>
          </w:p>
        </w:tc>
        <w:tc>
          <w:tcPr>
            <w:tcW w:w="60" w:type="dxa"/>
            <w:vAlign w:val="bottom"/>
            <w:tcBorders>
              <w:top w:val="single" w:sz="8" w:color="DBE5F1"/>
              <w:right w:val="single" w:sz="8" w:color="DBE5F1"/>
            </w:tcBorders>
            <w:shd w:val="clear" w:color="auto" w:fill="DBE5F1"/>
          </w:tcPr>
          <w:p>
            <w:pPr>
              <w:spacing w:after="0"/>
              <w:rPr>
                <w:sz w:val="8"/>
                <w:szCs w:val="8"/>
                <w:color w:val="auto"/>
              </w:rPr>
            </w:pPr>
          </w:p>
        </w:tc>
        <w:tc>
          <w:tcPr>
            <w:tcW w:w="60" w:type="dxa"/>
            <w:vAlign w:val="bottom"/>
            <w:tcBorders>
              <w:top w:val="single" w:sz="8" w:color="DBE5F1"/>
            </w:tcBorders>
            <w:shd w:val="clear" w:color="auto" w:fill="DBE5F1"/>
          </w:tcPr>
          <w:p>
            <w:pPr>
              <w:spacing w:after="0"/>
              <w:rPr>
                <w:sz w:val="8"/>
                <w:szCs w:val="8"/>
                <w:color w:val="auto"/>
              </w:rPr>
            </w:pPr>
          </w:p>
        </w:tc>
        <w:tc>
          <w:tcPr>
            <w:tcW w:w="440" w:type="dxa"/>
            <w:vAlign w:val="bottom"/>
            <w:tcBorders>
              <w:top w:val="single" w:sz="8" w:color="95B3D7"/>
            </w:tcBorders>
            <w:shd w:val="clear" w:color="auto" w:fill="DBE5F1"/>
          </w:tcPr>
          <w:p>
            <w:pPr>
              <w:spacing w:after="0"/>
              <w:rPr>
                <w:sz w:val="8"/>
                <w:szCs w:val="8"/>
                <w:color w:val="auto"/>
              </w:rPr>
            </w:pPr>
          </w:p>
        </w:tc>
        <w:tc>
          <w:tcPr>
            <w:tcW w:w="140" w:type="dxa"/>
            <w:vAlign w:val="bottom"/>
            <w:tcBorders>
              <w:top w:val="single" w:sz="8" w:color="DBE5F1"/>
            </w:tcBorders>
            <w:shd w:val="clear" w:color="auto" w:fill="DBE5F1"/>
          </w:tcPr>
          <w:p>
            <w:pPr>
              <w:spacing w:after="0"/>
              <w:rPr>
                <w:sz w:val="8"/>
                <w:szCs w:val="8"/>
                <w:color w:val="auto"/>
              </w:rPr>
            </w:pPr>
          </w:p>
        </w:tc>
        <w:tc>
          <w:tcPr>
            <w:tcW w:w="560" w:type="dxa"/>
            <w:vAlign w:val="bottom"/>
            <w:tcBorders>
              <w:top w:val="single" w:sz="8" w:color="95B3D7"/>
            </w:tcBorders>
            <w:shd w:val="clear" w:color="auto" w:fill="DBE5F1"/>
          </w:tcPr>
          <w:p>
            <w:pPr>
              <w:spacing w:after="0"/>
              <w:rPr>
                <w:sz w:val="8"/>
                <w:szCs w:val="8"/>
                <w:color w:val="auto"/>
              </w:rPr>
            </w:pPr>
          </w:p>
        </w:tc>
        <w:tc>
          <w:tcPr>
            <w:tcW w:w="140" w:type="dxa"/>
            <w:vAlign w:val="bottom"/>
            <w:tcBorders>
              <w:top w:val="single" w:sz="8" w:color="DBE5F1"/>
            </w:tcBorders>
            <w:shd w:val="clear" w:color="auto" w:fill="DBE5F1"/>
          </w:tcPr>
          <w:p>
            <w:pPr>
              <w:spacing w:after="0"/>
              <w:rPr>
                <w:sz w:val="8"/>
                <w:szCs w:val="8"/>
                <w:color w:val="auto"/>
              </w:rPr>
            </w:pPr>
          </w:p>
        </w:tc>
        <w:tc>
          <w:tcPr>
            <w:tcW w:w="440" w:type="dxa"/>
            <w:vAlign w:val="bottom"/>
            <w:tcBorders>
              <w:top w:val="single" w:sz="8" w:color="95B3D7"/>
            </w:tcBorders>
            <w:shd w:val="clear" w:color="auto" w:fill="DBE5F1"/>
          </w:tcPr>
          <w:p>
            <w:pPr>
              <w:spacing w:after="0"/>
              <w:rPr>
                <w:sz w:val="8"/>
                <w:szCs w:val="8"/>
                <w:color w:val="auto"/>
              </w:rPr>
            </w:pPr>
          </w:p>
        </w:tc>
        <w:tc>
          <w:tcPr>
            <w:tcW w:w="140" w:type="dxa"/>
            <w:vAlign w:val="bottom"/>
            <w:tcBorders>
              <w:top w:val="single" w:sz="8" w:color="DBE5F1"/>
            </w:tcBorders>
            <w:shd w:val="clear" w:color="auto" w:fill="DBE5F1"/>
          </w:tcPr>
          <w:p>
            <w:pPr>
              <w:spacing w:after="0"/>
              <w:rPr>
                <w:sz w:val="8"/>
                <w:szCs w:val="8"/>
                <w:color w:val="auto"/>
              </w:rPr>
            </w:pPr>
          </w:p>
        </w:tc>
        <w:tc>
          <w:tcPr>
            <w:tcW w:w="600" w:type="dxa"/>
            <w:vAlign w:val="bottom"/>
            <w:tcBorders>
              <w:top w:val="single" w:sz="8" w:color="95B3D7"/>
            </w:tcBorders>
            <w:shd w:val="clear" w:color="auto" w:fill="DBE5F1"/>
          </w:tcPr>
          <w:p>
            <w:pPr>
              <w:spacing w:after="0"/>
              <w:rPr>
                <w:sz w:val="8"/>
                <w:szCs w:val="8"/>
                <w:color w:val="auto"/>
              </w:rPr>
            </w:pPr>
          </w:p>
        </w:tc>
        <w:tc>
          <w:tcPr>
            <w:tcW w:w="40" w:type="dxa"/>
            <w:vAlign w:val="bottom"/>
            <w:tcBorders>
              <w:top w:val="single" w:sz="8" w:color="DBE5F1"/>
            </w:tcBorders>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20" w:type="dxa"/>
            <w:vAlign w:val="bottom"/>
            <w:tcBorders>
              <w:right w:val="single" w:sz="8" w:color="DBE5F1"/>
            </w:tcBorders>
            <w:gridSpan w:val="2"/>
            <w:shd w:val="clear" w:color="auto" w:fill="DBE5F1"/>
          </w:tcPr>
          <w:p>
            <w:pPr>
              <w:ind w:left="140"/>
              <w:spacing w:after="0" w:line="122" w:lineRule="exact"/>
              <w:rPr>
                <w:sz w:val="20"/>
                <w:szCs w:val="20"/>
                <w:color w:val="auto"/>
              </w:rPr>
            </w:pPr>
            <w:r>
              <w:rPr>
                <w:rFonts w:ascii="Arial" w:cs="Arial" w:eastAsia="Arial" w:hAnsi="Arial"/>
                <w:sz w:val="10"/>
                <w:szCs w:val="10"/>
                <w:color w:val="auto"/>
              </w:rPr>
              <w:t>  AIP</w:t>
            </w:r>
            <w:r>
              <w:rPr>
                <w:rFonts w:ascii="Arial" w:cs="Arial" w:eastAsia="Arial" w:hAnsi="Arial"/>
                <w:sz w:val="14"/>
                <w:szCs w:val="14"/>
                <w:color w:val="auto"/>
                <w:vertAlign w:val="superscript"/>
              </w:rPr>
              <w:t>(1)</w:t>
            </w:r>
          </w:p>
        </w:tc>
        <w:tc>
          <w:tcPr>
            <w:tcW w:w="80" w:type="dxa"/>
            <w:vAlign w:val="bottom"/>
            <w:shd w:val="clear" w:color="auto" w:fill="DBE5F1"/>
          </w:tcPr>
          <w:p>
            <w:pPr>
              <w:spacing w:after="0"/>
              <w:rPr>
                <w:sz w:val="10"/>
                <w:szCs w:val="10"/>
                <w:color w:val="auto"/>
              </w:rPr>
            </w:pPr>
          </w:p>
        </w:tc>
        <w:tc>
          <w:tcPr>
            <w:tcW w:w="660" w:type="dxa"/>
            <w:vAlign w:val="bottom"/>
            <w:gridSpan w:val="3"/>
            <w:shd w:val="clear" w:color="auto" w:fill="DBE5F1"/>
          </w:tcPr>
          <w:p>
            <w:pPr>
              <w:jc w:val="center"/>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393,269</w:t>
            </w:r>
          </w:p>
        </w:tc>
        <w:tc>
          <w:tcPr>
            <w:tcW w:w="80" w:type="dxa"/>
            <w:vAlign w:val="bottom"/>
            <w:shd w:val="clear" w:color="auto" w:fill="DBE5F1"/>
          </w:tcPr>
          <w:p>
            <w:pPr>
              <w:spacing w:after="0"/>
              <w:rPr>
                <w:sz w:val="10"/>
                <w:szCs w:val="10"/>
                <w:color w:val="auto"/>
              </w:rPr>
            </w:pPr>
          </w:p>
        </w:tc>
        <w:tc>
          <w:tcPr>
            <w:tcW w:w="5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786,539</w:t>
            </w:r>
          </w:p>
        </w:tc>
        <w:tc>
          <w:tcPr>
            <w:tcW w:w="80" w:type="dxa"/>
            <w:vAlign w:val="bottom"/>
            <w:shd w:val="clear" w:color="auto" w:fill="DBE5F1"/>
          </w:tcPr>
          <w:p>
            <w:pPr>
              <w:spacing w:after="0"/>
              <w:rPr>
                <w:sz w:val="10"/>
                <w:szCs w:val="10"/>
                <w:color w:val="auto"/>
              </w:rPr>
            </w:pPr>
          </w:p>
        </w:tc>
        <w:tc>
          <w:tcPr>
            <w:tcW w:w="64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1,573,077</w:t>
            </w:r>
          </w:p>
        </w:tc>
        <w:tc>
          <w:tcPr>
            <w:tcW w:w="60" w:type="dxa"/>
            <w:vAlign w:val="bottom"/>
            <w:shd w:val="clear" w:color="auto" w:fill="DBE5F1"/>
          </w:tcPr>
          <w:p>
            <w:pPr>
              <w:spacing w:after="0"/>
              <w:rPr>
                <w:sz w:val="10"/>
                <w:szCs w:val="10"/>
                <w:color w:val="auto"/>
              </w:rPr>
            </w:pPr>
          </w:p>
        </w:tc>
        <w:tc>
          <w:tcPr>
            <w:tcW w:w="680" w:type="dxa"/>
            <w:vAlign w:val="bottom"/>
            <w:gridSpan w:val="3"/>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DBE5F1"/>
          </w:tcPr>
          <w:p>
            <w:pPr>
              <w:spacing w:after="0"/>
              <w:rPr>
                <w:sz w:val="10"/>
                <w:szCs w:val="10"/>
                <w:color w:val="auto"/>
              </w:rPr>
            </w:pPr>
          </w:p>
        </w:tc>
        <w:tc>
          <w:tcPr>
            <w:tcW w:w="58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 w:type="dxa"/>
            <w:vAlign w:val="bottom"/>
            <w:tcBorders>
              <w:bottom w:val="single" w:sz="8" w:color="95B3D7"/>
            </w:tcBorders>
            <w:shd w:val="clear" w:color="auto" w:fill="DBE5F1"/>
          </w:tcPr>
          <w:p>
            <w:pPr>
              <w:ind w:left="140"/>
              <w:spacing w:after="0"/>
              <w:rPr>
                <w:sz w:val="20"/>
                <w:szCs w:val="20"/>
                <w:color w:val="auto"/>
              </w:rPr>
            </w:pPr>
            <w:r>
              <w:rPr>
                <w:rFonts w:ascii="Arial" w:cs="Arial" w:eastAsia="Arial" w:hAnsi="Arial"/>
                <w:sz w:val="5"/>
                <w:szCs w:val="5"/>
                <w:color w:val="auto"/>
                <w:w w:val="79"/>
              </w:rPr>
              <w:t> </w:t>
            </w:r>
          </w:p>
        </w:tc>
        <w:tc>
          <w:tcPr>
            <w:tcW w:w="3620" w:type="dxa"/>
            <w:vAlign w:val="bottom"/>
            <w:tcBorders>
              <w:bottom w:val="single" w:sz="8" w:color="95B3D7"/>
              <w:right w:val="single" w:sz="8" w:color="DBE5F1"/>
            </w:tcBorders>
            <w:shd w:val="clear" w:color="auto" w:fill="DBE5F1"/>
          </w:tcPr>
          <w:p>
            <w:pPr>
              <w:ind w:left="40"/>
              <w:spacing w:after="0" w:line="136" w:lineRule="exact"/>
              <w:rPr>
                <w:sz w:val="20"/>
                <w:szCs w:val="20"/>
                <w:color w:val="auto"/>
              </w:rPr>
            </w:pPr>
            <w:r>
              <w:rPr>
                <w:rFonts w:ascii="Arial" w:cs="Arial" w:eastAsia="Arial" w:hAnsi="Arial"/>
                <w:sz w:val="10"/>
                <w:szCs w:val="10"/>
                <w:color w:val="auto"/>
              </w:rPr>
              <w:t>PSU Award</w:t>
            </w:r>
            <w:r>
              <w:rPr>
                <w:rFonts w:ascii="Arial" w:cs="Arial" w:eastAsia="Arial" w:hAnsi="Arial"/>
                <w:sz w:val="15"/>
                <w:szCs w:val="15"/>
                <w:color w:val="auto"/>
                <w:vertAlign w:val="superscript"/>
              </w:rPr>
              <w:t>(2)</w:t>
            </w:r>
          </w:p>
        </w:tc>
        <w:tc>
          <w:tcPr>
            <w:tcW w:w="80" w:type="dxa"/>
            <w:vAlign w:val="bottom"/>
            <w:tcBorders>
              <w:bottom w:val="single" w:sz="8" w:color="95B3D7"/>
            </w:tcBorders>
            <w:shd w:val="clear" w:color="auto" w:fill="DBE5F1"/>
          </w:tcPr>
          <w:p>
            <w:pPr>
              <w:spacing w:after="0"/>
              <w:rPr>
                <w:sz w:val="11"/>
                <w:szCs w:val="11"/>
                <w:color w:val="auto"/>
              </w:rPr>
            </w:pPr>
          </w:p>
        </w:tc>
        <w:tc>
          <w:tcPr>
            <w:tcW w:w="580" w:type="dxa"/>
            <w:vAlign w:val="bottom"/>
            <w:tcBorders>
              <w:bottom w:val="single" w:sz="8" w:color="95B3D7"/>
              <w:right w:val="single" w:sz="8" w:color="DBE5F1"/>
            </w:tcBorders>
            <w:gridSpan w:val="2"/>
            <w:shd w:val="clear" w:color="auto" w:fill="DBE5F1"/>
          </w:tcPr>
          <w:p>
            <w:pPr>
              <w:jc w:val="center"/>
              <w:ind w:right="20"/>
              <w:spacing w:after="0"/>
              <w:rPr>
                <w:sz w:val="20"/>
                <w:szCs w:val="20"/>
                <w:color w:val="auto"/>
              </w:rPr>
            </w:pPr>
            <w:r>
              <w:rPr>
                <w:rFonts w:ascii="Arial" w:cs="Arial" w:eastAsia="Arial" w:hAnsi="Arial"/>
                <w:sz w:val="11"/>
                <w:szCs w:val="11"/>
                <w:color w:val="auto"/>
                <w:w w:val="97"/>
              </w:rPr>
              <w:t>9/14/2023</w:t>
            </w:r>
          </w:p>
        </w:tc>
        <w:tc>
          <w:tcPr>
            <w:tcW w:w="80" w:type="dxa"/>
            <w:vAlign w:val="bottom"/>
            <w:tcBorders>
              <w:bottom w:val="single" w:sz="8" w:color="95B3D7"/>
            </w:tcBorders>
            <w:shd w:val="clear" w:color="auto" w:fill="DBE5F1"/>
          </w:tcPr>
          <w:p>
            <w:pPr>
              <w:spacing w:after="0"/>
              <w:rPr>
                <w:sz w:val="11"/>
                <w:szCs w:val="11"/>
                <w:color w:val="auto"/>
              </w:rPr>
            </w:pPr>
          </w:p>
        </w:tc>
        <w:tc>
          <w:tcPr>
            <w:tcW w:w="68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95B3D7"/>
            </w:tcBorders>
            <w:gridSpan w:val="3"/>
            <w:shd w:val="clear" w:color="auto" w:fill="DBE5F1"/>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1,088,667</w:t>
            </w:r>
          </w:p>
        </w:tc>
        <w:tc>
          <w:tcPr>
            <w:tcW w:w="80" w:type="dxa"/>
            <w:vAlign w:val="bottom"/>
            <w:tcBorders>
              <w:bottom w:val="single" w:sz="8" w:color="95B3D7"/>
            </w:tcBorders>
            <w:shd w:val="clear" w:color="auto" w:fill="DBE5F1"/>
          </w:tcPr>
          <w:p>
            <w:pPr>
              <w:spacing w:after="0"/>
              <w:rPr>
                <w:sz w:val="11"/>
                <w:szCs w:val="11"/>
                <w:color w:val="auto"/>
              </w:rPr>
            </w:pPr>
          </w:p>
        </w:tc>
        <w:tc>
          <w:tcPr>
            <w:tcW w:w="58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2,177,333</w:t>
            </w:r>
          </w:p>
        </w:tc>
        <w:tc>
          <w:tcPr>
            <w:tcW w:w="80" w:type="dxa"/>
            <w:vAlign w:val="bottom"/>
            <w:tcBorders>
              <w:bottom w:val="single" w:sz="8" w:color="95B3D7"/>
            </w:tcBorders>
            <w:shd w:val="clear" w:color="auto" w:fill="DBE5F1"/>
          </w:tcPr>
          <w:p>
            <w:pPr>
              <w:spacing w:after="0"/>
              <w:rPr>
                <w:sz w:val="11"/>
                <w:szCs w:val="11"/>
                <w:color w:val="auto"/>
              </w:rPr>
            </w:pPr>
          </w:p>
        </w:tc>
        <w:tc>
          <w:tcPr>
            <w:tcW w:w="60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3,266,000</w:t>
            </w:r>
          </w:p>
        </w:tc>
        <w:tc>
          <w:tcPr>
            <w:tcW w:w="60" w:type="dxa"/>
            <w:vAlign w:val="bottom"/>
            <w:tcBorders>
              <w:bottom w:val="single" w:sz="8" w:color="95B3D7"/>
            </w:tcBorders>
            <w:shd w:val="clear" w:color="auto" w:fill="DBE5F1"/>
          </w:tcPr>
          <w:p>
            <w:pPr>
              <w:spacing w:after="0"/>
              <w:rPr>
                <w:sz w:val="11"/>
                <w:szCs w:val="11"/>
                <w:color w:val="auto"/>
              </w:rPr>
            </w:pPr>
          </w:p>
        </w:tc>
        <w:tc>
          <w:tcPr>
            <w:tcW w:w="580" w:type="dxa"/>
            <w:vAlign w:val="bottom"/>
            <w:tcBorders>
              <w:bottom w:val="single" w:sz="8" w:color="95B3D7"/>
            </w:tcBorders>
            <w:gridSpan w:val="2"/>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95B3D7"/>
            </w:tcBorders>
            <w:gridSpan w:val="2"/>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2"/>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95B3D7"/>
            </w:tcBorders>
            <w:gridSpan w:val="2"/>
            <w:shd w:val="clear" w:color="auto" w:fill="DBE5F1"/>
          </w:tcPr>
          <w:p>
            <w:pPr>
              <w:jc w:val="right"/>
              <w:ind w:right="40"/>
              <w:spacing w:after="0"/>
              <w:rPr>
                <w:sz w:val="20"/>
                <w:szCs w:val="20"/>
                <w:color w:val="auto"/>
              </w:rPr>
            </w:pPr>
            <w:r>
              <w:rPr>
                <w:rFonts w:ascii="Arial" w:cs="Arial" w:eastAsia="Arial" w:hAnsi="Arial"/>
                <w:sz w:val="11"/>
                <w:szCs w:val="11"/>
                <w:color w:val="auto"/>
              </w:rPr>
              <w:t>12,497,891</w:t>
            </w:r>
          </w:p>
        </w:tc>
        <w:tc>
          <w:tcPr>
            <w:tcW w:w="0" w:type="dxa"/>
            <w:vAlign w:val="bottom"/>
          </w:tcPr>
          <w:p>
            <w:pPr>
              <w:spacing w:after="0"/>
              <w:rPr>
                <w:sz w:val="1"/>
                <w:szCs w:val="1"/>
                <w:color w:val="auto"/>
              </w:rPr>
            </w:pPr>
          </w:p>
        </w:tc>
      </w:tr>
      <w:tr>
        <w:trPr>
          <w:trHeight w:val="101"/>
        </w:trPr>
        <w:tc>
          <w:tcPr>
            <w:tcW w:w="3820" w:type="dxa"/>
            <w:vAlign w:val="bottom"/>
            <w:tcBorders>
              <w:right w:val="single" w:sz="8" w:color="95B3D7"/>
            </w:tcBorders>
            <w:gridSpan w:val="2"/>
          </w:tcPr>
          <w:p>
            <w:pPr>
              <w:ind w:left="140"/>
              <w:spacing w:after="0" w:line="102" w:lineRule="exact"/>
              <w:rPr>
                <w:sz w:val="20"/>
                <w:szCs w:val="20"/>
                <w:color w:val="auto"/>
              </w:rPr>
            </w:pPr>
            <w:r>
              <w:rPr>
                <w:rFonts w:ascii="Arial" w:cs="Arial" w:eastAsia="Arial" w:hAnsi="Arial"/>
                <w:sz w:val="11"/>
                <w:szCs w:val="11"/>
                <w:b w:val="1"/>
                <w:bCs w:val="1"/>
                <w:color w:val="auto"/>
              </w:rPr>
              <w:t>Thomas Freeman</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820" w:type="dxa"/>
            <w:vAlign w:val="bottom"/>
            <w:tcBorders>
              <w:right w:val="single" w:sz="8" w:color="95B3D7"/>
            </w:tcBorders>
            <w:gridSpan w:val="2"/>
          </w:tcPr>
          <w:p>
            <w:pPr>
              <w:ind w:left="140"/>
              <w:spacing w:after="0" w:line="122" w:lineRule="exact"/>
              <w:rPr>
                <w:sz w:val="20"/>
                <w:szCs w:val="20"/>
                <w:color w:val="auto"/>
              </w:rPr>
            </w:pPr>
            <w:r>
              <w:rPr>
                <w:rFonts w:ascii="Arial" w:cs="Arial" w:eastAsia="Arial" w:hAnsi="Arial"/>
                <w:sz w:val="10"/>
                <w:szCs w:val="10"/>
                <w:color w:val="auto"/>
              </w:rPr>
              <w:t>  AIP</w:t>
            </w:r>
            <w:r>
              <w:rPr>
                <w:rFonts w:ascii="Arial" w:cs="Arial" w:eastAsia="Arial" w:hAnsi="Arial"/>
                <w:sz w:val="14"/>
                <w:szCs w:val="14"/>
                <w:color w:val="auto"/>
                <w:vertAlign w:val="superscript"/>
              </w:rPr>
              <w:t>(1)</w:t>
            </w:r>
          </w:p>
        </w:tc>
        <w:tc>
          <w:tcPr>
            <w:tcW w:w="80" w:type="dxa"/>
            <w:vAlign w:val="bottom"/>
          </w:tcPr>
          <w:p>
            <w:pPr>
              <w:spacing w:after="0"/>
              <w:rPr>
                <w:sz w:val="10"/>
                <w:szCs w:val="10"/>
                <w:color w:val="auto"/>
              </w:rPr>
            </w:pPr>
          </w:p>
        </w:tc>
        <w:tc>
          <w:tcPr>
            <w:tcW w:w="660" w:type="dxa"/>
            <w:vAlign w:val="bottom"/>
            <w:gridSpan w:val="3"/>
          </w:tcPr>
          <w:p>
            <w:pPr>
              <w:jc w:val="center"/>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231,135</w:t>
            </w: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462,269</w:t>
            </w: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924,539</w:t>
            </w:r>
          </w:p>
        </w:tc>
        <w:tc>
          <w:tcPr>
            <w:tcW w:w="60" w:type="dxa"/>
            <w:vAlign w:val="bottom"/>
          </w:tcPr>
          <w:p>
            <w:pPr>
              <w:spacing w:after="0"/>
              <w:rPr>
                <w:sz w:val="10"/>
                <w:szCs w:val="10"/>
                <w:color w:val="auto"/>
              </w:rPr>
            </w:pPr>
          </w:p>
        </w:tc>
        <w:tc>
          <w:tcPr>
            <w:tcW w:w="68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 w:type="dxa"/>
            <w:vAlign w:val="bottom"/>
            <w:tcBorders>
              <w:bottom w:val="single" w:sz="8" w:color="95B3D7"/>
            </w:tcBorders>
          </w:tcPr>
          <w:p>
            <w:pPr>
              <w:ind w:left="140"/>
              <w:spacing w:after="0"/>
              <w:rPr>
                <w:sz w:val="20"/>
                <w:szCs w:val="20"/>
                <w:color w:val="auto"/>
              </w:rPr>
            </w:pPr>
            <w:r>
              <w:rPr>
                <w:rFonts w:ascii="Arial" w:cs="Arial" w:eastAsia="Arial" w:hAnsi="Arial"/>
                <w:sz w:val="5"/>
                <w:szCs w:val="5"/>
                <w:color w:val="auto"/>
                <w:w w:val="79"/>
              </w:rPr>
              <w:t> </w:t>
            </w:r>
          </w:p>
        </w:tc>
        <w:tc>
          <w:tcPr>
            <w:tcW w:w="3620" w:type="dxa"/>
            <w:vAlign w:val="bottom"/>
            <w:tcBorders>
              <w:bottom w:val="single" w:sz="8" w:color="95B3D7"/>
              <w:right w:val="single" w:sz="8" w:color="95B3D7"/>
            </w:tcBorders>
          </w:tcPr>
          <w:p>
            <w:pPr>
              <w:ind w:left="40"/>
              <w:spacing w:after="0" w:line="136" w:lineRule="exact"/>
              <w:rPr>
                <w:sz w:val="20"/>
                <w:szCs w:val="20"/>
                <w:color w:val="auto"/>
              </w:rPr>
            </w:pPr>
            <w:r>
              <w:rPr>
                <w:rFonts w:ascii="Arial" w:cs="Arial" w:eastAsia="Arial" w:hAnsi="Arial"/>
                <w:sz w:val="10"/>
                <w:szCs w:val="10"/>
                <w:color w:val="auto"/>
              </w:rPr>
              <w:t>PSU Award</w:t>
            </w:r>
            <w:r>
              <w:rPr>
                <w:rFonts w:ascii="Arial" w:cs="Arial" w:eastAsia="Arial" w:hAnsi="Arial"/>
                <w:sz w:val="15"/>
                <w:szCs w:val="15"/>
                <w:color w:val="auto"/>
                <w:vertAlign w:val="superscript"/>
              </w:rPr>
              <w:t>(2)</w:t>
            </w:r>
          </w:p>
        </w:tc>
        <w:tc>
          <w:tcPr>
            <w:tcW w:w="660" w:type="dxa"/>
            <w:vAlign w:val="bottom"/>
            <w:tcBorders>
              <w:bottom w:val="single" w:sz="8" w:color="95B3D7"/>
            </w:tcBorders>
            <w:gridSpan w:val="3"/>
          </w:tcPr>
          <w:p>
            <w:pPr>
              <w:jc w:val="center"/>
              <w:ind w:left="6"/>
              <w:spacing w:after="0"/>
              <w:rPr>
                <w:sz w:val="20"/>
                <w:szCs w:val="20"/>
                <w:color w:val="auto"/>
              </w:rPr>
            </w:pPr>
            <w:r>
              <w:rPr>
                <w:rFonts w:ascii="Arial" w:cs="Arial" w:eastAsia="Arial" w:hAnsi="Arial"/>
                <w:sz w:val="11"/>
                <w:szCs w:val="11"/>
                <w:color w:val="auto"/>
                <w:w w:val="97"/>
              </w:rPr>
              <w:t>9/14/2023</w:t>
            </w:r>
          </w:p>
        </w:tc>
        <w:tc>
          <w:tcPr>
            <w:tcW w:w="80" w:type="dxa"/>
            <w:vAlign w:val="bottom"/>
            <w:tcBorders>
              <w:bottom w:val="single" w:sz="8" w:color="95B3D7"/>
            </w:tcBorders>
          </w:tcPr>
          <w:p>
            <w:pPr>
              <w:spacing w:after="0"/>
              <w:rPr>
                <w:sz w:val="11"/>
                <w:szCs w:val="11"/>
                <w:color w:val="auto"/>
              </w:rPr>
            </w:pPr>
          </w:p>
        </w:tc>
        <w:tc>
          <w:tcPr>
            <w:tcW w:w="680" w:type="dxa"/>
            <w:vAlign w:val="bottom"/>
            <w:tcBorders>
              <w:bottom w:val="single" w:sz="8" w:color="95B3D7"/>
            </w:tcBorders>
            <w:gridSpan w:val="3"/>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3"/>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95B3D7"/>
            </w:tcBorders>
            <w:gridSpan w:val="3"/>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95B3D7"/>
            </w:tcBorders>
            <w:gridSpan w:val="2"/>
          </w:tcPr>
          <w:p>
            <w:pPr>
              <w:jc w:val="right"/>
              <w:ind w:right="60"/>
              <w:spacing w:after="0"/>
              <w:rPr>
                <w:sz w:val="20"/>
                <w:szCs w:val="20"/>
                <w:color w:val="auto"/>
              </w:rPr>
            </w:pPr>
            <w:r>
              <w:rPr>
                <w:rFonts w:ascii="Arial" w:cs="Arial" w:eastAsia="Arial" w:hAnsi="Arial"/>
                <w:sz w:val="11"/>
                <w:szCs w:val="11"/>
                <w:color w:val="auto"/>
              </w:rPr>
              <w:t>436,833</w:t>
            </w:r>
          </w:p>
        </w:tc>
        <w:tc>
          <w:tcPr>
            <w:tcW w:w="80" w:type="dxa"/>
            <w:vAlign w:val="bottom"/>
            <w:tcBorders>
              <w:bottom w:val="single" w:sz="8" w:color="95B3D7"/>
            </w:tcBorders>
          </w:tcPr>
          <w:p>
            <w:pPr>
              <w:spacing w:after="0"/>
              <w:rPr>
                <w:sz w:val="11"/>
                <w:szCs w:val="11"/>
                <w:color w:val="auto"/>
              </w:rPr>
            </w:pPr>
          </w:p>
        </w:tc>
        <w:tc>
          <w:tcPr>
            <w:tcW w:w="580" w:type="dxa"/>
            <w:vAlign w:val="bottom"/>
            <w:tcBorders>
              <w:bottom w:val="single" w:sz="8" w:color="95B3D7"/>
            </w:tcBorders>
            <w:gridSpan w:val="2"/>
          </w:tcPr>
          <w:p>
            <w:pPr>
              <w:jc w:val="right"/>
              <w:ind w:right="60"/>
              <w:spacing w:after="0"/>
              <w:rPr>
                <w:sz w:val="20"/>
                <w:szCs w:val="20"/>
                <w:color w:val="auto"/>
              </w:rPr>
            </w:pPr>
            <w:r>
              <w:rPr>
                <w:rFonts w:ascii="Arial" w:cs="Arial" w:eastAsia="Arial" w:hAnsi="Arial"/>
                <w:sz w:val="11"/>
                <w:szCs w:val="11"/>
                <w:color w:val="auto"/>
              </w:rPr>
              <w:t>873,667</w:t>
            </w:r>
          </w:p>
        </w:tc>
        <w:tc>
          <w:tcPr>
            <w:tcW w:w="80" w:type="dxa"/>
            <w:vAlign w:val="bottom"/>
            <w:tcBorders>
              <w:bottom w:val="single" w:sz="8" w:color="95B3D7"/>
            </w:tcBorders>
          </w:tcPr>
          <w:p>
            <w:pPr>
              <w:spacing w:after="0"/>
              <w:rPr>
                <w:sz w:val="11"/>
                <w:szCs w:val="11"/>
                <w:color w:val="auto"/>
              </w:rPr>
            </w:pPr>
          </w:p>
        </w:tc>
        <w:tc>
          <w:tcPr>
            <w:tcW w:w="600" w:type="dxa"/>
            <w:vAlign w:val="bottom"/>
            <w:tcBorders>
              <w:bottom w:val="single" w:sz="8" w:color="95B3D7"/>
            </w:tcBorders>
            <w:gridSpan w:val="2"/>
          </w:tcPr>
          <w:p>
            <w:pPr>
              <w:jc w:val="right"/>
              <w:ind w:right="60"/>
              <w:spacing w:after="0"/>
              <w:rPr>
                <w:sz w:val="20"/>
                <w:szCs w:val="20"/>
                <w:color w:val="auto"/>
              </w:rPr>
            </w:pPr>
            <w:r>
              <w:rPr>
                <w:rFonts w:ascii="Arial" w:cs="Arial" w:eastAsia="Arial" w:hAnsi="Arial"/>
                <w:sz w:val="11"/>
                <w:szCs w:val="11"/>
                <w:color w:val="auto"/>
              </w:rPr>
              <w:t>1,310,500</w:t>
            </w:r>
          </w:p>
        </w:tc>
        <w:tc>
          <w:tcPr>
            <w:tcW w:w="60" w:type="dxa"/>
            <w:vAlign w:val="bottom"/>
            <w:tcBorders>
              <w:bottom w:val="single" w:sz="8" w:color="95B3D7"/>
            </w:tcBorders>
          </w:tcPr>
          <w:p>
            <w:pPr>
              <w:spacing w:after="0"/>
              <w:rPr>
                <w:sz w:val="11"/>
                <w:szCs w:val="11"/>
                <w:color w:val="auto"/>
              </w:rPr>
            </w:pPr>
          </w:p>
        </w:tc>
        <w:tc>
          <w:tcPr>
            <w:tcW w:w="440" w:type="dxa"/>
            <w:vAlign w:val="bottom"/>
            <w:tcBorders>
              <w:bottom w:val="single" w:sz="8" w:color="95B3D7"/>
            </w:tcBorders>
          </w:tcPr>
          <w:p>
            <w:pPr>
              <w:spacing w:after="0"/>
              <w:rPr>
                <w:sz w:val="11"/>
                <w:szCs w:val="11"/>
                <w:color w:val="auto"/>
              </w:rPr>
            </w:pPr>
          </w:p>
        </w:tc>
        <w:tc>
          <w:tcPr>
            <w:tcW w:w="140" w:type="dxa"/>
            <w:vAlign w:val="bottom"/>
            <w:tcBorders>
              <w:bottom w:val="single" w:sz="8" w:color="95B3D7"/>
            </w:tcBorders>
          </w:tcPr>
          <w:p>
            <w:pPr>
              <w:spacing w:after="0"/>
              <w:rPr>
                <w:sz w:val="11"/>
                <w:szCs w:val="11"/>
                <w:color w:val="auto"/>
              </w:rPr>
            </w:pPr>
          </w:p>
        </w:tc>
        <w:tc>
          <w:tcPr>
            <w:tcW w:w="700" w:type="dxa"/>
            <w:vAlign w:val="bottom"/>
            <w:tcBorders>
              <w:bottom w:val="single" w:sz="8" w:color="95B3D7"/>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95B3D7"/>
            </w:tcBorders>
            <w:gridSpan w:val="2"/>
          </w:tcPr>
          <w:p>
            <w:pPr>
              <w:jc w:val="right"/>
              <w:ind w:right="40"/>
              <w:spacing w:after="0"/>
              <w:rPr>
                <w:sz w:val="20"/>
                <w:szCs w:val="20"/>
                <w:color w:val="auto"/>
              </w:rPr>
            </w:pPr>
            <w:r>
              <w:rPr>
                <w:rFonts w:ascii="Arial" w:cs="Arial" w:eastAsia="Arial" w:hAnsi="Arial"/>
                <w:sz w:val="11"/>
                <w:szCs w:val="11"/>
                <w:color w:val="auto"/>
              </w:rPr>
              <w:t>5,014,849</w:t>
            </w:r>
          </w:p>
        </w:tc>
        <w:tc>
          <w:tcPr>
            <w:tcW w:w="0" w:type="dxa"/>
            <w:vAlign w:val="bottom"/>
          </w:tcPr>
          <w:p>
            <w:pPr>
              <w:spacing w:after="0"/>
              <w:rPr>
                <w:sz w:val="1"/>
                <w:szCs w:val="1"/>
                <w:color w:val="auto"/>
              </w:rPr>
            </w:pPr>
          </w:p>
        </w:tc>
      </w:tr>
      <w:tr>
        <w:trPr>
          <w:trHeight w:val="101"/>
        </w:trPr>
        <w:tc>
          <w:tcPr>
            <w:tcW w:w="3820" w:type="dxa"/>
            <w:vAlign w:val="bottom"/>
            <w:tcBorders>
              <w:right w:val="single" w:sz="8" w:color="DBE5F1"/>
            </w:tcBorders>
            <w:gridSpan w:val="2"/>
            <w:shd w:val="clear" w:color="auto" w:fill="DBE5F1"/>
          </w:tcPr>
          <w:p>
            <w:pPr>
              <w:ind w:left="140"/>
              <w:spacing w:after="0" w:line="102" w:lineRule="exact"/>
              <w:rPr>
                <w:sz w:val="20"/>
                <w:szCs w:val="20"/>
                <w:color w:val="auto"/>
              </w:rPr>
            </w:pPr>
            <w:r>
              <w:rPr>
                <w:rFonts w:ascii="Arial" w:cs="Arial" w:eastAsia="Arial" w:hAnsi="Arial"/>
                <w:sz w:val="11"/>
                <w:szCs w:val="11"/>
                <w:b w:val="1"/>
                <w:bCs w:val="1"/>
                <w:color w:val="auto"/>
              </w:rPr>
              <w:t>Dawn Maroney</w:t>
            </w:r>
          </w:p>
        </w:tc>
        <w:tc>
          <w:tcPr>
            <w:tcW w:w="80" w:type="dxa"/>
            <w:vAlign w:val="bottom"/>
            <w:shd w:val="clear" w:color="auto" w:fill="DBE5F1"/>
          </w:tcPr>
          <w:p>
            <w:pPr>
              <w:spacing w:after="0"/>
              <w:rPr>
                <w:sz w:val="8"/>
                <w:szCs w:val="8"/>
                <w:color w:val="auto"/>
              </w:rPr>
            </w:pPr>
          </w:p>
        </w:tc>
        <w:tc>
          <w:tcPr>
            <w:tcW w:w="52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4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8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60" w:type="dxa"/>
            <w:vAlign w:val="bottom"/>
            <w:shd w:val="clear" w:color="auto" w:fill="DBE5F1"/>
          </w:tcPr>
          <w:p>
            <w:pPr>
              <w:spacing w:after="0"/>
              <w:rPr>
                <w:sz w:val="8"/>
                <w:szCs w:val="8"/>
                <w:color w:val="auto"/>
              </w:rPr>
            </w:pPr>
          </w:p>
        </w:tc>
        <w:tc>
          <w:tcPr>
            <w:tcW w:w="5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2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60" w:type="dxa"/>
            <w:vAlign w:val="bottom"/>
            <w:shd w:val="clear" w:color="auto" w:fill="DBE5F1"/>
          </w:tcPr>
          <w:p>
            <w:pPr>
              <w:spacing w:after="0"/>
              <w:rPr>
                <w:sz w:val="8"/>
                <w:szCs w:val="8"/>
                <w:color w:val="auto"/>
              </w:rPr>
            </w:pPr>
          </w:p>
        </w:tc>
        <w:tc>
          <w:tcPr>
            <w:tcW w:w="440" w:type="dxa"/>
            <w:vAlign w:val="bottom"/>
            <w:shd w:val="clear" w:color="auto" w:fill="DBE5F1"/>
          </w:tcPr>
          <w:p>
            <w:pPr>
              <w:spacing w:after="0"/>
              <w:rPr>
                <w:sz w:val="8"/>
                <w:szCs w:val="8"/>
                <w:color w:val="auto"/>
              </w:rPr>
            </w:pPr>
          </w:p>
        </w:tc>
        <w:tc>
          <w:tcPr>
            <w:tcW w:w="140" w:type="dxa"/>
            <w:vAlign w:val="bottom"/>
            <w:shd w:val="clear" w:color="auto" w:fill="DBE5F1"/>
          </w:tcPr>
          <w:p>
            <w:pPr>
              <w:spacing w:after="0"/>
              <w:rPr>
                <w:sz w:val="8"/>
                <w:szCs w:val="8"/>
                <w:color w:val="auto"/>
              </w:rPr>
            </w:pPr>
          </w:p>
        </w:tc>
        <w:tc>
          <w:tcPr>
            <w:tcW w:w="560" w:type="dxa"/>
            <w:vAlign w:val="bottom"/>
            <w:shd w:val="clear" w:color="auto" w:fill="DBE5F1"/>
          </w:tcPr>
          <w:p>
            <w:pPr>
              <w:spacing w:after="0"/>
              <w:rPr>
                <w:sz w:val="8"/>
                <w:szCs w:val="8"/>
                <w:color w:val="auto"/>
              </w:rPr>
            </w:pPr>
          </w:p>
        </w:tc>
        <w:tc>
          <w:tcPr>
            <w:tcW w:w="140" w:type="dxa"/>
            <w:vAlign w:val="bottom"/>
            <w:shd w:val="clear" w:color="auto" w:fill="DBE5F1"/>
          </w:tcPr>
          <w:p>
            <w:pPr>
              <w:spacing w:after="0"/>
              <w:rPr>
                <w:sz w:val="8"/>
                <w:szCs w:val="8"/>
                <w:color w:val="auto"/>
              </w:rPr>
            </w:pPr>
          </w:p>
        </w:tc>
        <w:tc>
          <w:tcPr>
            <w:tcW w:w="440" w:type="dxa"/>
            <w:vAlign w:val="bottom"/>
            <w:shd w:val="clear" w:color="auto" w:fill="DBE5F1"/>
          </w:tcPr>
          <w:p>
            <w:pPr>
              <w:spacing w:after="0"/>
              <w:rPr>
                <w:sz w:val="8"/>
                <w:szCs w:val="8"/>
                <w:color w:val="auto"/>
              </w:rPr>
            </w:pPr>
          </w:p>
        </w:tc>
        <w:tc>
          <w:tcPr>
            <w:tcW w:w="140" w:type="dxa"/>
            <w:vAlign w:val="bottom"/>
            <w:shd w:val="clear" w:color="auto" w:fill="DBE5F1"/>
          </w:tcPr>
          <w:p>
            <w:pPr>
              <w:spacing w:after="0"/>
              <w:rPr>
                <w:sz w:val="8"/>
                <w:szCs w:val="8"/>
                <w:color w:val="auto"/>
              </w:rPr>
            </w:pPr>
          </w:p>
        </w:tc>
        <w:tc>
          <w:tcPr>
            <w:tcW w:w="600" w:type="dxa"/>
            <w:vAlign w:val="bottom"/>
            <w:shd w:val="clear" w:color="auto" w:fill="DBE5F1"/>
          </w:tcPr>
          <w:p>
            <w:pPr>
              <w:spacing w:after="0"/>
              <w:rPr>
                <w:sz w:val="8"/>
                <w:szCs w:val="8"/>
                <w:color w:val="auto"/>
              </w:rPr>
            </w:pPr>
          </w:p>
        </w:tc>
        <w:tc>
          <w:tcPr>
            <w:tcW w:w="4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20" w:type="dxa"/>
            <w:vAlign w:val="bottom"/>
            <w:tcBorders>
              <w:right w:val="single" w:sz="8" w:color="DBE5F1"/>
            </w:tcBorders>
            <w:gridSpan w:val="2"/>
            <w:shd w:val="clear" w:color="auto" w:fill="DBE5F1"/>
          </w:tcPr>
          <w:p>
            <w:pPr>
              <w:ind w:left="140"/>
              <w:spacing w:after="0" w:line="122" w:lineRule="exact"/>
              <w:rPr>
                <w:sz w:val="20"/>
                <w:szCs w:val="20"/>
                <w:color w:val="auto"/>
              </w:rPr>
            </w:pPr>
            <w:r>
              <w:rPr>
                <w:rFonts w:ascii="Arial" w:cs="Arial" w:eastAsia="Arial" w:hAnsi="Arial"/>
                <w:sz w:val="10"/>
                <w:szCs w:val="10"/>
                <w:color w:val="auto"/>
              </w:rPr>
              <w:t>  AIP</w:t>
            </w:r>
            <w:r>
              <w:rPr>
                <w:rFonts w:ascii="Arial" w:cs="Arial" w:eastAsia="Arial" w:hAnsi="Arial"/>
                <w:sz w:val="14"/>
                <w:szCs w:val="14"/>
                <w:color w:val="auto"/>
                <w:vertAlign w:val="superscript"/>
              </w:rPr>
              <w:t>(1)</w:t>
            </w:r>
          </w:p>
        </w:tc>
        <w:tc>
          <w:tcPr>
            <w:tcW w:w="80" w:type="dxa"/>
            <w:vAlign w:val="bottom"/>
            <w:shd w:val="clear" w:color="auto" w:fill="DBE5F1"/>
          </w:tcPr>
          <w:p>
            <w:pPr>
              <w:spacing w:after="0"/>
              <w:rPr>
                <w:sz w:val="10"/>
                <w:szCs w:val="10"/>
                <w:color w:val="auto"/>
              </w:rPr>
            </w:pPr>
          </w:p>
        </w:tc>
        <w:tc>
          <w:tcPr>
            <w:tcW w:w="660" w:type="dxa"/>
            <w:vAlign w:val="bottom"/>
            <w:gridSpan w:val="3"/>
            <w:shd w:val="clear" w:color="auto" w:fill="DBE5F1"/>
          </w:tcPr>
          <w:p>
            <w:pPr>
              <w:jc w:val="center"/>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238,000</w:t>
            </w:r>
          </w:p>
        </w:tc>
        <w:tc>
          <w:tcPr>
            <w:tcW w:w="80" w:type="dxa"/>
            <w:vAlign w:val="bottom"/>
            <w:shd w:val="clear" w:color="auto" w:fill="DBE5F1"/>
          </w:tcPr>
          <w:p>
            <w:pPr>
              <w:spacing w:after="0"/>
              <w:rPr>
                <w:sz w:val="10"/>
                <w:szCs w:val="10"/>
                <w:color w:val="auto"/>
              </w:rPr>
            </w:pPr>
          </w:p>
        </w:tc>
        <w:tc>
          <w:tcPr>
            <w:tcW w:w="5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476,000</w:t>
            </w:r>
          </w:p>
        </w:tc>
        <w:tc>
          <w:tcPr>
            <w:tcW w:w="80" w:type="dxa"/>
            <w:vAlign w:val="bottom"/>
            <w:shd w:val="clear" w:color="auto" w:fill="DBE5F1"/>
          </w:tcPr>
          <w:p>
            <w:pPr>
              <w:spacing w:after="0"/>
              <w:rPr>
                <w:sz w:val="10"/>
                <w:szCs w:val="10"/>
                <w:color w:val="auto"/>
              </w:rPr>
            </w:pPr>
          </w:p>
        </w:tc>
        <w:tc>
          <w:tcPr>
            <w:tcW w:w="64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952,001</w:t>
            </w:r>
          </w:p>
        </w:tc>
        <w:tc>
          <w:tcPr>
            <w:tcW w:w="60" w:type="dxa"/>
            <w:vAlign w:val="bottom"/>
            <w:shd w:val="clear" w:color="auto" w:fill="DBE5F1"/>
          </w:tcPr>
          <w:p>
            <w:pPr>
              <w:spacing w:after="0"/>
              <w:rPr>
                <w:sz w:val="10"/>
                <w:szCs w:val="10"/>
                <w:color w:val="auto"/>
              </w:rPr>
            </w:pPr>
          </w:p>
        </w:tc>
        <w:tc>
          <w:tcPr>
            <w:tcW w:w="680" w:type="dxa"/>
            <w:vAlign w:val="bottom"/>
            <w:gridSpan w:val="3"/>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DBE5F1"/>
          </w:tcPr>
          <w:p>
            <w:pPr>
              <w:spacing w:after="0"/>
              <w:rPr>
                <w:sz w:val="10"/>
                <w:szCs w:val="10"/>
                <w:color w:val="auto"/>
              </w:rPr>
            </w:pPr>
          </w:p>
        </w:tc>
        <w:tc>
          <w:tcPr>
            <w:tcW w:w="58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 w:type="dxa"/>
            <w:vAlign w:val="bottom"/>
            <w:tcBorders>
              <w:bottom w:val="single" w:sz="8" w:color="95B3D7"/>
            </w:tcBorders>
            <w:shd w:val="clear" w:color="auto" w:fill="DBE5F1"/>
          </w:tcPr>
          <w:p>
            <w:pPr>
              <w:ind w:left="140"/>
              <w:spacing w:after="0"/>
              <w:rPr>
                <w:sz w:val="20"/>
                <w:szCs w:val="20"/>
                <w:color w:val="auto"/>
              </w:rPr>
            </w:pPr>
            <w:r>
              <w:rPr>
                <w:rFonts w:ascii="Arial" w:cs="Arial" w:eastAsia="Arial" w:hAnsi="Arial"/>
                <w:sz w:val="5"/>
                <w:szCs w:val="5"/>
                <w:color w:val="auto"/>
                <w:w w:val="79"/>
              </w:rPr>
              <w:t> </w:t>
            </w:r>
          </w:p>
        </w:tc>
        <w:tc>
          <w:tcPr>
            <w:tcW w:w="3620" w:type="dxa"/>
            <w:vAlign w:val="bottom"/>
            <w:tcBorders>
              <w:bottom w:val="single" w:sz="8" w:color="95B3D7"/>
              <w:right w:val="single" w:sz="8" w:color="DBE5F1"/>
            </w:tcBorders>
            <w:shd w:val="clear" w:color="auto" w:fill="DBE5F1"/>
          </w:tcPr>
          <w:p>
            <w:pPr>
              <w:ind w:left="40"/>
              <w:spacing w:after="0" w:line="136" w:lineRule="exact"/>
              <w:rPr>
                <w:sz w:val="20"/>
                <w:szCs w:val="20"/>
                <w:color w:val="auto"/>
              </w:rPr>
            </w:pPr>
            <w:r>
              <w:rPr>
                <w:rFonts w:ascii="Arial" w:cs="Arial" w:eastAsia="Arial" w:hAnsi="Arial"/>
                <w:sz w:val="10"/>
                <w:szCs w:val="10"/>
                <w:color w:val="auto"/>
              </w:rPr>
              <w:t>PSU Award</w:t>
            </w:r>
            <w:r>
              <w:rPr>
                <w:rFonts w:ascii="Arial" w:cs="Arial" w:eastAsia="Arial" w:hAnsi="Arial"/>
                <w:sz w:val="15"/>
                <w:szCs w:val="15"/>
                <w:color w:val="auto"/>
                <w:vertAlign w:val="superscript"/>
              </w:rPr>
              <w:t>(2)</w:t>
            </w:r>
          </w:p>
        </w:tc>
        <w:tc>
          <w:tcPr>
            <w:tcW w:w="80" w:type="dxa"/>
            <w:vAlign w:val="bottom"/>
            <w:tcBorders>
              <w:bottom w:val="single" w:sz="8" w:color="95B3D7"/>
            </w:tcBorders>
            <w:shd w:val="clear" w:color="auto" w:fill="DBE5F1"/>
          </w:tcPr>
          <w:p>
            <w:pPr>
              <w:spacing w:after="0"/>
              <w:rPr>
                <w:sz w:val="11"/>
                <w:szCs w:val="11"/>
                <w:color w:val="auto"/>
              </w:rPr>
            </w:pPr>
          </w:p>
        </w:tc>
        <w:tc>
          <w:tcPr>
            <w:tcW w:w="580" w:type="dxa"/>
            <w:vAlign w:val="bottom"/>
            <w:tcBorders>
              <w:bottom w:val="single" w:sz="8" w:color="95B3D7"/>
              <w:right w:val="single" w:sz="8" w:color="DBE5F1"/>
            </w:tcBorders>
            <w:gridSpan w:val="2"/>
            <w:shd w:val="clear" w:color="auto" w:fill="DBE5F1"/>
          </w:tcPr>
          <w:p>
            <w:pPr>
              <w:jc w:val="center"/>
              <w:ind w:right="20"/>
              <w:spacing w:after="0"/>
              <w:rPr>
                <w:sz w:val="20"/>
                <w:szCs w:val="20"/>
                <w:color w:val="auto"/>
              </w:rPr>
            </w:pPr>
            <w:r>
              <w:rPr>
                <w:rFonts w:ascii="Arial" w:cs="Arial" w:eastAsia="Arial" w:hAnsi="Arial"/>
                <w:sz w:val="11"/>
                <w:szCs w:val="11"/>
                <w:color w:val="auto"/>
                <w:w w:val="97"/>
              </w:rPr>
              <w:t>9/14/2023</w:t>
            </w:r>
          </w:p>
        </w:tc>
        <w:tc>
          <w:tcPr>
            <w:tcW w:w="80" w:type="dxa"/>
            <w:vAlign w:val="bottom"/>
            <w:tcBorders>
              <w:bottom w:val="single" w:sz="8" w:color="95B3D7"/>
            </w:tcBorders>
            <w:shd w:val="clear" w:color="auto" w:fill="DBE5F1"/>
          </w:tcPr>
          <w:p>
            <w:pPr>
              <w:spacing w:after="0"/>
              <w:rPr>
                <w:sz w:val="11"/>
                <w:szCs w:val="11"/>
                <w:color w:val="auto"/>
              </w:rPr>
            </w:pPr>
          </w:p>
        </w:tc>
        <w:tc>
          <w:tcPr>
            <w:tcW w:w="68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95B3D7"/>
            </w:tcBorders>
            <w:gridSpan w:val="3"/>
            <w:shd w:val="clear" w:color="auto" w:fill="DBE5F1"/>
          </w:tcPr>
          <w:p>
            <w:pPr>
              <w:jc w:val="right"/>
              <w:ind w:right="12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436,833</w:t>
            </w:r>
          </w:p>
        </w:tc>
        <w:tc>
          <w:tcPr>
            <w:tcW w:w="80" w:type="dxa"/>
            <w:vAlign w:val="bottom"/>
            <w:tcBorders>
              <w:bottom w:val="single" w:sz="8" w:color="95B3D7"/>
            </w:tcBorders>
            <w:shd w:val="clear" w:color="auto" w:fill="DBE5F1"/>
          </w:tcPr>
          <w:p>
            <w:pPr>
              <w:spacing w:after="0"/>
              <w:rPr>
                <w:sz w:val="11"/>
                <w:szCs w:val="11"/>
                <w:color w:val="auto"/>
              </w:rPr>
            </w:pPr>
          </w:p>
        </w:tc>
        <w:tc>
          <w:tcPr>
            <w:tcW w:w="58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873,667</w:t>
            </w:r>
          </w:p>
        </w:tc>
        <w:tc>
          <w:tcPr>
            <w:tcW w:w="80" w:type="dxa"/>
            <w:vAlign w:val="bottom"/>
            <w:tcBorders>
              <w:bottom w:val="single" w:sz="8" w:color="95B3D7"/>
            </w:tcBorders>
            <w:shd w:val="clear" w:color="auto" w:fill="DBE5F1"/>
          </w:tcPr>
          <w:p>
            <w:pPr>
              <w:spacing w:after="0"/>
              <w:rPr>
                <w:sz w:val="11"/>
                <w:szCs w:val="11"/>
                <w:color w:val="auto"/>
              </w:rPr>
            </w:pPr>
          </w:p>
        </w:tc>
        <w:tc>
          <w:tcPr>
            <w:tcW w:w="60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1,310,500</w:t>
            </w:r>
          </w:p>
        </w:tc>
        <w:tc>
          <w:tcPr>
            <w:tcW w:w="60" w:type="dxa"/>
            <w:vAlign w:val="bottom"/>
            <w:tcBorders>
              <w:bottom w:val="single" w:sz="8" w:color="95B3D7"/>
            </w:tcBorders>
            <w:shd w:val="clear" w:color="auto" w:fill="DBE5F1"/>
          </w:tcPr>
          <w:p>
            <w:pPr>
              <w:spacing w:after="0"/>
              <w:rPr>
                <w:sz w:val="11"/>
                <w:szCs w:val="11"/>
                <w:color w:val="auto"/>
              </w:rPr>
            </w:pPr>
          </w:p>
        </w:tc>
        <w:tc>
          <w:tcPr>
            <w:tcW w:w="440" w:type="dxa"/>
            <w:vAlign w:val="bottom"/>
            <w:tcBorders>
              <w:bottom w:val="single" w:sz="8" w:color="95B3D7"/>
            </w:tcBorders>
            <w:shd w:val="clear" w:color="auto" w:fill="DBE5F1"/>
          </w:tcPr>
          <w:p>
            <w:pPr>
              <w:spacing w:after="0"/>
              <w:rPr>
                <w:sz w:val="11"/>
                <w:szCs w:val="11"/>
                <w:color w:val="auto"/>
              </w:rPr>
            </w:pPr>
          </w:p>
        </w:tc>
        <w:tc>
          <w:tcPr>
            <w:tcW w:w="140" w:type="dxa"/>
            <w:vAlign w:val="bottom"/>
            <w:tcBorders>
              <w:bottom w:val="single" w:sz="8" w:color="95B3D7"/>
            </w:tcBorders>
            <w:shd w:val="clear" w:color="auto" w:fill="DBE5F1"/>
          </w:tcPr>
          <w:p>
            <w:pPr>
              <w:spacing w:after="0"/>
              <w:rPr>
                <w:sz w:val="11"/>
                <w:szCs w:val="11"/>
                <w:color w:val="auto"/>
              </w:rPr>
            </w:pPr>
          </w:p>
        </w:tc>
        <w:tc>
          <w:tcPr>
            <w:tcW w:w="700" w:type="dxa"/>
            <w:vAlign w:val="bottom"/>
            <w:tcBorders>
              <w:bottom w:val="single" w:sz="8" w:color="95B3D7"/>
            </w:tcBorders>
            <w:gridSpan w:val="2"/>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2"/>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95B3D7"/>
            </w:tcBorders>
            <w:gridSpan w:val="2"/>
            <w:shd w:val="clear" w:color="auto" w:fill="DBE5F1"/>
          </w:tcPr>
          <w:p>
            <w:pPr>
              <w:jc w:val="right"/>
              <w:ind w:right="40"/>
              <w:spacing w:after="0"/>
              <w:rPr>
                <w:sz w:val="20"/>
                <w:szCs w:val="20"/>
                <w:color w:val="auto"/>
              </w:rPr>
            </w:pPr>
            <w:r>
              <w:rPr>
                <w:rFonts w:ascii="Arial" w:cs="Arial" w:eastAsia="Arial" w:hAnsi="Arial"/>
                <w:sz w:val="11"/>
                <w:szCs w:val="11"/>
                <w:color w:val="auto"/>
              </w:rPr>
              <w:t>5,014,849</w:t>
            </w:r>
          </w:p>
        </w:tc>
        <w:tc>
          <w:tcPr>
            <w:tcW w:w="0" w:type="dxa"/>
            <w:vAlign w:val="bottom"/>
          </w:tcPr>
          <w:p>
            <w:pPr>
              <w:spacing w:after="0"/>
              <w:rPr>
                <w:sz w:val="1"/>
                <w:szCs w:val="1"/>
                <w:color w:val="auto"/>
              </w:rPr>
            </w:pPr>
          </w:p>
        </w:tc>
      </w:tr>
      <w:tr>
        <w:trPr>
          <w:trHeight w:val="101"/>
        </w:trPr>
        <w:tc>
          <w:tcPr>
            <w:tcW w:w="3820" w:type="dxa"/>
            <w:vAlign w:val="bottom"/>
            <w:tcBorders>
              <w:right w:val="single" w:sz="8" w:color="95B3D7"/>
            </w:tcBorders>
            <w:gridSpan w:val="2"/>
          </w:tcPr>
          <w:p>
            <w:pPr>
              <w:ind w:left="140"/>
              <w:spacing w:after="0" w:line="102" w:lineRule="exact"/>
              <w:rPr>
                <w:sz w:val="20"/>
                <w:szCs w:val="20"/>
                <w:color w:val="auto"/>
              </w:rPr>
            </w:pPr>
            <w:r>
              <w:rPr>
                <w:rFonts w:ascii="Arial" w:cs="Arial" w:eastAsia="Arial" w:hAnsi="Arial"/>
                <w:sz w:val="11"/>
                <w:szCs w:val="11"/>
                <w:b w:val="1"/>
                <w:bCs w:val="1"/>
                <w:color w:val="auto"/>
              </w:rPr>
              <w:t>Hakan Kardes</w:t>
            </w: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20" w:type="dxa"/>
            <w:vAlign w:val="bottom"/>
            <w:tcBorders>
              <w:right w:val="single" w:sz="8" w:color="95B3D7"/>
            </w:tcBorders>
            <w:gridSpan w:val="2"/>
          </w:tcPr>
          <w:p>
            <w:pPr>
              <w:ind w:left="140"/>
              <w:spacing w:after="0" w:line="122" w:lineRule="exact"/>
              <w:rPr>
                <w:sz w:val="20"/>
                <w:szCs w:val="20"/>
                <w:color w:val="auto"/>
              </w:rPr>
            </w:pPr>
            <w:r>
              <w:rPr>
                <w:rFonts w:ascii="Arial" w:cs="Arial" w:eastAsia="Arial" w:hAnsi="Arial"/>
                <w:sz w:val="10"/>
                <w:szCs w:val="10"/>
                <w:color w:val="auto"/>
              </w:rPr>
              <w:t>  AIP</w:t>
            </w:r>
            <w:r>
              <w:rPr>
                <w:rFonts w:ascii="Arial" w:cs="Arial" w:eastAsia="Arial" w:hAnsi="Arial"/>
                <w:sz w:val="14"/>
                <w:szCs w:val="14"/>
                <w:color w:val="auto"/>
                <w:vertAlign w:val="superscript"/>
              </w:rPr>
              <w:t>(1)</w:t>
            </w:r>
          </w:p>
        </w:tc>
        <w:tc>
          <w:tcPr>
            <w:tcW w:w="80" w:type="dxa"/>
            <w:vAlign w:val="bottom"/>
          </w:tcPr>
          <w:p>
            <w:pPr>
              <w:spacing w:after="0"/>
              <w:rPr>
                <w:sz w:val="10"/>
                <w:szCs w:val="10"/>
                <w:color w:val="auto"/>
              </w:rPr>
            </w:pPr>
          </w:p>
        </w:tc>
        <w:tc>
          <w:tcPr>
            <w:tcW w:w="660" w:type="dxa"/>
            <w:vAlign w:val="bottom"/>
            <w:gridSpan w:val="3"/>
          </w:tcPr>
          <w:p>
            <w:pPr>
              <w:jc w:val="center"/>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157,236</w:t>
            </w:r>
          </w:p>
        </w:tc>
        <w:tc>
          <w:tcPr>
            <w:tcW w:w="80" w:type="dxa"/>
            <w:vAlign w:val="bottom"/>
          </w:tcPr>
          <w:p>
            <w:pPr>
              <w:spacing w:after="0"/>
              <w:rPr>
                <w:sz w:val="10"/>
                <w:szCs w:val="10"/>
                <w:color w:val="auto"/>
              </w:rPr>
            </w:pPr>
          </w:p>
        </w:tc>
        <w:tc>
          <w:tcPr>
            <w:tcW w:w="5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314,471</w:t>
            </w: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628,942</w:t>
            </w:r>
          </w:p>
        </w:tc>
        <w:tc>
          <w:tcPr>
            <w:tcW w:w="60" w:type="dxa"/>
            <w:vAlign w:val="bottom"/>
          </w:tcPr>
          <w:p>
            <w:pPr>
              <w:spacing w:after="0"/>
              <w:rPr>
                <w:sz w:val="10"/>
                <w:szCs w:val="10"/>
                <w:color w:val="auto"/>
              </w:rPr>
            </w:pPr>
          </w:p>
        </w:tc>
        <w:tc>
          <w:tcPr>
            <w:tcW w:w="68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35"/>
        </w:trPr>
        <w:tc>
          <w:tcPr>
            <w:tcW w:w="200" w:type="dxa"/>
            <w:vAlign w:val="bottom"/>
            <w:tcBorders>
              <w:bottom w:val="single" w:sz="8" w:color="95B3D7"/>
            </w:tcBorders>
          </w:tcPr>
          <w:p>
            <w:pPr>
              <w:ind w:left="140"/>
              <w:spacing w:after="0"/>
              <w:rPr>
                <w:sz w:val="20"/>
                <w:szCs w:val="20"/>
                <w:color w:val="auto"/>
              </w:rPr>
            </w:pPr>
            <w:r>
              <w:rPr>
                <w:rFonts w:ascii="Arial" w:cs="Arial" w:eastAsia="Arial" w:hAnsi="Arial"/>
                <w:sz w:val="5"/>
                <w:szCs w:val="5"/>
                <w:color w:val="auto"/>
                <w:w w:val="79"/>
              </w:rPr>
              <w:t> </w:t>
            </w:r>
          </w:p>
        </w:tc>
        <w:tc>
          <w:tcPr>
            <w:tcW w:w="3620" w:type="dxa"/>
            <w:vAlign w:val="bottom"/>
            <w:tcBorders>
              <w:bottom w:val="single" w:sz="8" w:color="95B3D7"/>
              <w:right w:val="single" w:sz="8" w:color="95B3D7"/>
            </w:tcBorders>
          </w:tcPr>
          <w:p>
            <w:pPr>
              <w:ind w:left="40"/>
              <w:spacing w:after="0" w:line="136" w:lineRule="exact"/>
              <w:rPr>
                <w:sz w:val="20"/>
                <w:szCs w:val="20"/>
                <w:color w:val="auto"/>
              </w:rPr>
            </w:pPr>
            <w:r>
              <w:rPr>
                <w:rFonts w:ascii="Arial" w:cs="Arial" w:eastAsia="Arial" w:hAnsi="Arial"/>
                <w:sz w:val="10"/>
                <w:szCs w:val="10"/>
                <w:color w:val="auto"/>
              </w:rPr>
              <w:t>PSU Award</w:t>
            </w:r>
            <w:r>
              <w:rPr>
                <w:rFonts w:ascii="Arial" w:cs="Arial" w:eastAsia="Arial" w:hAnsi="Arial"/>
                <w:sz w:val="15"/>
                <w:szCs w:val="15"/>
                <w:color w:val="auto"/>
                <w:vertAlign w:val="superscript"/>
              </w:rPr>
              <w:t>(2)</w:t>
            </w:r>
          </w:p>
        </w:tc>
        <w:tc>
          <w:tcPr>
            <w:tcW w:w="660" w:type="dxa"/>
            <w:vAlign w:val="bottom"/>
            <w:tcBorders>
              <w:bottom w:val="single" w:sz="8" w:color="95B3D7"/>
            </w:tcBorders>
            <w:gridSpan w:val="3"/>
          </w:tcPr>
          <w:p>
            <w:pPr>
              <w:jc w:val="center"/>
              <w:ind w:left="6"/>
              <w:spacing w:after="0"/>
              <w:rPr>
                <w:sz w:val="20"/>
                <w:szCs w:val="20"/>
                <w:color w:val="auto"/>
              </w:rPr>
            </w:pPr>
            <w:r>
              <w:rPr>
                <w:rFonts w:ascii="Arial" w:cs="Arial" w:eastAsia="Arial" w:hAnsi="Arial"/>
                <w:sz w:val="11"/>
                <w:szCs w:val="11"/>
                <w:color w:val="auto"/>
                <w:w w:val="97"/>
              </w:rPr>
              <w:t>9/14/2023</w:t>
            </w:r>
          </w:p>
        </w:tc>
        <w:tc>
          <w:tcPr>
            <w:tcW w:w="80" w:type="dxa"/>
            <w:vAlign w:val="bottom"/>
            <w:tcBorders>
              <w:bottom w:val="single" w:sz="8" w:color="95B3D7"/>
            </w:tcBorders>
          </w:tcPr>
          <w:p>
            <w:pPr>
              <w:spacing w:after="0"/>
              <w:rPr>
                <w:sz w:val="11"/>
                <w:szCs w:val="11"/>
                <w:color w:val="auto"/>
              </w:rPr>
            </w:pPr>
          </w:p>
        </w:tc>
        <w:tc>
          <w:tcPr>
            <w:tcW w:w="540" w:type="dxa"/>
            <w:vAlign w:val="bottom"/>
            <w:tcBorders>
              <w:bottom w:val="single" w:sz="8" w:color="95B3D7"/>
            </w:tcBorders>
          </w:tcPr>
          <w:p>
            <w:pPr>
              <w:spacing w:after="0"/>
              <w:rPr>
                <w:sz w:val="11"/>
                <w:szCs w:val="11"/>
                <w:color w:val="auto"/>
              </w:rPr>
            </w:pPr>
          </w:p>
        </w:tc>
        <w:tc>
          <w:tcPr>
            <w:tcW w:w="60" w:type="dxa"/>
            <w:vAlign w:val="bottom"/>
            <w:tcBorders>
              <w:bottom w:val="single" w:sz="8" w:color="95B3D7"/>
            </w:tcBorders>
          </w:tcPr>
          <w:p>
            <w:pPr>
              <w:spacing w:after="0"/>
              <w:rPr>
                <w:sz w:val="11"/>
                <w:szCs w:val="11"/>
                <w:color w:val="auto"/>
              </w:rPr>
            </w:pPr>
          </w:p>
        </w:tc>
        <w:tc>
          <w:tcPr>
            <w:tcW w:w="80" w:type="dxa"/>
            <w:vAlign w:val="bottom"/>
            <w:tcBorders>
              <w:bottom w:val="single" w:sz="8" w:color="95B3D7"/>
            </w:tcBorders>
          </w:tcPr>
          <w:p>
            <w:pPr>
              <w:spacing w:after="0"/>
              <w:rPr>
                <w:sz w:val="11"/>
                <w:szCs w:val="11"/>
                <w:color w:val="auto"/>
              </w:rPr>
            </w:pPr>
          </w:p>
        </w:tc>
        <w:tc>
          <w:tcPr>
            <w:tcW w:w="440" w:type="dxa"/>
            <w:vAlign w:val="bottom"/>
            <w:tcBorders>
              <w:bottom w:val="single" w:sz="8" w:color="95B3D7"/>
            </w:tcBorders>
          </w:tcPr>
          <w:p>
            <w:pPr>
              <w:spacing w:after="0"/>
              <w:rPr>
                <w:sz w:val="11"/>
                <w:szCs w:val="11"/>
                <w:color w:val="auto"/>
              </w:rPr>
            </w:pPr>
          </w:p>
        </w:tc>
        <w:tc>
          <w:tcPr>
            <w:tcW w:w="60" w:type="dxa"/>
            <w:vAlign w:val="bottom"/>
            <w:tcBorders>
              <w:bottom w:val="single" w:sz="8" w:color="95B3D7"/>
            </w:tcBorders>
          </w:tcPr>
          <w:p>
            <w:pPr>
              <w:spacing w:after="0"/>
              <w:rPr>
                <w:sz w:val="11"/>
                <w:szCs w:val="11"/>
                <w:color w:val="auto"/>
              </w:rPr>
            </w:pPr>
          </w:p>
        </w:tc>
        <w:tc>
          <w:tcPr>
            <w:tcW w:w="80" w:type="dxa"/>
            <w:vAlign w:val="bottom"/>
            <w:tcBorders>
              <w:bottom w:val="single" w:sz="8" w:color="95B3D7"/>
            </w:tcBorders>
          </w:tcPr>
          <w:p>
            <w:pPr>
              <w:spacing w:after="0"/>
              <w:rPr>
                <w:sz w:val="11"/>
                <w:szCs w:val="11"/>
                <w:color w:val="auto"/>
              </w:rPr>
            </w:pPr>
          </w:p>
        </w:tc>
        <w:tc>
          <w:tcPr>
            <w:tcW w:w="580" w:type="dxa"/>
            <w:vAlign w:val="bottom"/>
            <w:tcBorders>
              <w:bottom w:val="single" w:sz="8" w:color="95B3D7"/>
            </w:tcBorders>
          </w:tcPr>
          <w:p>
            <w:pPr>
              <w:spacing w:after="0"/>
              <w:rPr>
                <w:sz w:val="11"/>
                <w:szCs w:val="11"/>
                <w:color w:val="auto"/>
              </w:rPr>
            </w:pPr>
          </w:p>
        </w:tc>
        <w:tc>
          <w:tcPr>
            <w:tcW w:w="60" w:type="dxa"/>
            <w:vAlign w:val="bottom"/>
            <w:tcBorders>
              <w:bottom w:val="single" w:sz="8" w:color="95B3D7"/>
            </w:tcBorders>
          </w:tcPr>
          <w:p>
            <w:pPr>
              <w:spacing w:after="0"/>
              <w:rPr>
                <w:sz w:val="11"/>
                <w:szCs w:val="11"/>
                <w:color w:val="auto"/>
              </w:rPr>
            </w:pPr>
          </w:p>
        </w:tc>
        <w:tc>
          <w:tcPr>
            <w:tcW w:w="60" w:type="dxa"/>
            <w:vAlign w:val="bottom"/>
            <w:tcBorders>
              <w:bottom w:val="single" w:sz="8" w:color="95B3D7"/>
            </w:tcBorders>
          </w:tcPr>
          <w:p>
            <w:pPr>
              <w:spacing w:after="0"/>
              <w:rPr>
                <w:sz w:val="11"/>
                <w:szCs w:val="11"/>
                <w:color w:val="auto"/>
              </w:rPr>
            </w:pPr>
          </w:p>
        </w:tc>
        <w:tc>
          <w:tcPr>
            <w:tcW w:w="600" w:type="dxa"/>
            <w:vAlign w:val="bottom"/>
            <w:tcBorders>
              <w:bottom w:val="single" w:sz="8" w:color="95B3D7"/>
            </w:tcBorders>
            <w:gridSpan w:val="2"/>
          </w:tcPr>
          <w:p>
            <w:pPr>
              <w:jc w:val="right"/>
              <w:ind w:right="60"/>
              <w:spacing w:after="0"/>
              <w:rPr>
                <w:sz w:val="20"/>
                <w:szCs w:val="20"/>
                <w:color w:val="auto"/>
              </w:rPr>
            </w:pPr>
            <w:r>
              <w:rPr>
                <w:rFonts w:ascii="Arial" w:cs="Arial" w:eastAsia="Arial" w:hAnsi="Arial"/>
                <w:sz w:val="11"/>
                <w:szCs w:val="11"/>
                <w:color w:val="auto"/>
              </w:rPr>
              <w:t>203,000</w:t>
            </w:r>
          </w:p>
        </w:tc>
        <w:tc>
          <w:tcPr>
            <w:tcW w:w="80" w:type="dxa"/>
            <w:vAlign w:val="bottom"/>
            <w:tcBorders>
              <w:bottom w:val="single" w:sz="8" w:color="95B3D7"/>
            </w:tcBorders>
          </w:tcPr>
          <w:p>
            <w:pPr>
              <w:spacing w:after="0"/>
              <w:rPr>
                <w:sz w:val="11"/>
                <w:szCs w:val="11"/>
                <w:color w:val="auto"/>
              </w:rPr>
            </w:pPr>
          </w:p>
        </w:tc>
        <w:tc>
          <w:tcPr>
            <w:tcW w:w="580" w:type="dxa"/>
            <w:vAlign w:val="bottom"/>
            <w:tcBorders>
              <w:bottom w:val="single" w:sz="8" w:color="95B3D7"/>
            </w:tcBorders>
            <w:gridSpan w:val="2"/>
          </w:tcPr>
          <w:p>
            <w:pPr>
              <w:jc w:val="right"/>
              <w:ind w:right="60"/>
              <w:spacing w:after="0"/>
              <w:rPr>
                <w:sz w:val="20"/>
                <w:szCs w:val="20"/>
                <w:color w:val="auto"/>
              </w:rPr>
            </w:pPr>
            <w:r>
              <w:rPr>
                <w:rFonts w:ascii="Arial" w:cs="Arial" w:eastAsia="Arial" w:hAnsi="Arial"/>
                <w:sz w:val="11"/>
                <w:szCs w:val="11"/>
                <w:color w:val="auto"/>
              </w:rPr>
              <w:t>406,000</w:t>
            </w:r>
          </w:p>
        </w:tc>
        <w:tc>
          <w:tcPr>
            <w:tcW w:w="80" w:type="dxa"/>
            <w:vAlign w:val="bottom"/>
            <w:tcBorders>
              <w:bottom w:val="single" w:sz="8" w:color="95B3D7"/>
            </w:tcBorders>
          </w:tcPr>
          <w:p>
            <w:pPr>
              <w:spacing w:after="0"/>
              <w:rPr>
                <w:sz w:val="11"/>
                <w:szCs w:val="11"/>
                <w:color w:val="auto"/>
              </w:rPr>
            </w:pPr>
          </w:p>
        </w:tc>
        <w:tc>
          <w:tcPr>
            <w:tcW w:w="600" w:type="dxa"/>
            <w:vAlign w:val="bottom"/>
            <w:tcBorders>
              <w:bottom w:val="single" w:sz="8" w:color="95B3D7"/>
            </w:tcBorders>
            <w:gridSpan w:val="2"/>
          </w:tcPr>
          <w:p>
            <w:pPr>
              <w:jc w:val="right"/>
              <w:ind w:right="60"/>
              <w:spacing w:after="0"/>
              <w:rPr>
                <w:sz w:val="20"/>
                <w:szCs w:val="20"/>
                <w:color w:val="auto"/>
              </w:rPr>
            </w:pPr>
            <w:r>
              <w:rPr>
                <w:rFonts w:ascii="Arial" w:cs="Arial" w:eastAsia="Arial" w:hAnsi="Arial"/>
                <w:sz w:val="11"/>
                <w:szCs w:val="11"/>
                <w:color w:val="auto"/>
              </w:rPr>
              <w:t>609,000</w:t>
            </w:r>
          </w:p>
        </w:tc>
        <w:tc>
          <w:tcPr>
            <w:tcW w:w="60" w:type="dxa"/>
            <w:vAlign w:val="bottom"/>
            <w:tcBorders>
              <w:bottom w:val="single" w:sz="8" w:color="95B3D7"/>
            </w:tcBorders>
          </w:tcPr>
          <w:p>
            <w:pPr>
              <w:spacing w:after="0"/>
              <w:rPr>
                <w:sz w:val="11"/>
                <w:szCs w:val="11"/>
                <w:color w:val="auto"/>
              </w:rPr>
            </w:pPr>
          </w:p>
        </w:tc>
        <w:tc>
          <w:tcPr>
            <w:tcW w:w="440" w:type="dxa"/>
            <w:vAlign w:val="bottom"/>
            <w:tcBorders>
              <w:bottom w:val="single" w:sz="8" w:color="95B3D7"/>
            </w:tcBorders>
          </w:tcPr>
          <w:p>
            <w:pPr>
              <w:spacing w:after="0"/>
              <w:rPr>
                <w:sz w:val="11"/>
                <w:szCs w:val="11"/>
                <w:color w:val="auto"/>
              </w:rPr>
            </w:pPr>
          </w:p>
        </w:tc>
        <w:tc>
          <w:tcPr>
            <w:tcW w:w="140" w:type="dxa"/>
            <w:vAlign w:val="bottom"/>
            <w:tcBorders>
              <w:bottom w:val="single" w:sz="8" w:color="95B3D7"/>
            </w:tcBorders>
          </w:tcPr>
          <w:p>
            <w:pPr>
              <w:spacing w:after="0"/>
              <w:rPr>
                <w:sz w:val="11"/>
                <w:szCs w:val="11"/>
                <w:color w:val="auto"/>
              </w:rPr>
            </w:pPr>
          </w:p>
        </w:tc>
        <w:tc>
          <w:tcPr>
            <w:tcW w:w="560" w:type="dxa"/>
            <w:vAlign w:val="bottom"/>
            <w:tcBorders>
              <w:bottom w:val="single" w:sz="8" w:color="95B3D7"/>
            </w:tcBorders>
          </w:tcPr>
          <w:p>
            <w:pPr>
              <w:spacing w:after="0"/>
              <w:rPr>
                <w:sz w:val="11"/>
                <w:szCs w:val="11"/>
                <w:color w:val="auto"/>
              </w:rPr>
            </w:pPr>
          </w:p>
        </w:tc>
        <w:tc>
          <w:tcPr>
            <w:tcW w:w="140" w:type="dxa"/>
            <w:vAlign w:val="bottom"/>
            <w:tcBorders>
              <w:bottom w:val="single" w:sz="8" w:color="95B3D7"/>
            </w:tcBorders>
          </w:tcPr>
          <w:p>
            <w:pPr>
              <w:spacing w:after="0"/>
              <w:rPr>
                <w:sz w:val="11"/>
                <w:szCs w:val="11"/>
                <w:color w:val="auto"/>
              </w:rPr>
            </w:pPr>
          </w:p>
        </w:tc>
        <w:tc>
          <w:tcPr>
            <w:tcW w:w="440" w:type="dxa"/>
            <w:vAlign w:val="bottom"/>
            <w:tcBorders>
              <w:bottom w:val="single" w:sz="8" w:color="95B3D7"/>
            </w:tcBorders>
          </w:tcPr>
          <w:p>
            <w:pPr>
              <w:spacing w:after="0"/>
              <w:rPr>
                <w:sz w:val="11"/>
                <w:szCs w:val="11"/>
                <w:color w:val="auto"/>
              </w:rPr>
            </w:pPr>
          </w:p>
        </w:tc>
        <w:tc>
          <w:tcPr>
            <w:tcW w:w="140" w:type="dxa"/>
            <w:vAlign w:val="bottom"/>
            <w:tcBorders>
              <w:bottom w:val="single" w:sz="8" w:color="95B3D7"/>
            </w:tcBorders>
          </w:tcPr>
          <w:p>
            <w:pPr>
              <w:spacing w:after="0"/>
              <w:rPr>
                <w:sz w:val="11"/>
                <w:szCs w:val="11"/>
                <w:color w:val="auto"/>
              </w:rPr>
            </w:pPr>
          </w:p>
        </w:tc>
        <w:tc>
          <w:tcPr>
            <w:tcW w:w="640" w:type="dxa"/>
            <w:vAlign w:val="bottom"/>
            <w:tcBorders>
              <w:bottom w:val="single" w:sz="8" w:color="95B3D7"/>
            </w:tcBorders>
            <w:gridSpan w:val="2"/>
          </w:tcPr>
          <w:p>
            <w:pPr>
              <w:jc w:val="right"/>
              <w:ind w:right="40"/>
              <w:spacing w:after="0"/>
              <w:rPr>
                <w:sz w:val="20"/>
                <w:szCs w:val="20"/>
                <w:color w:val="auto"/>
              </w:rPr>
            </w:pPr>
            <w:r>
              <w:rPr>
                <w:rFonts w:ascii="Arial" w:cs="Arial" w:eastAsia="Arial" w:hAnsi="Arial"/>
                <w:sz w:val="11"/>
                <w:szCs w:val="11"/>
                <w:color w:val="auto"/>
              </w:rPr>
              <w:t>2,330,440</w:t>
            </w:r>
          </w:p>
        </w:tc>
        <w:tc>
          <w:tcPr>
            <w:tcW w:w="0" w:type="dxa"/>
            <w:vAlign w:val="bottom"/>
          </w:tcPr>
          <w:p>
            <w:pPr>
              <w:spacing w:after="0"/>
              <w:rPr>
                <w:sz w:val="1"/>
                <w:szCs w:val="1"/>
                <w:color w:val="auto"/>
              </w:rPr>
            </w:pPr>
          </w:p>
        </w:tc>
      </w:tr>
      <w:tr>
        <w:trPr>
          <w:trHeight w:val="101"/>
        </w:trPr>
        <w:tc>
          <w:tcPr>
            <w:tcW w:w="3820" w:type="dxa"/>
            <w:vAlign w:val="bottom"/>
            <w:tcBorders>
              <w:right w:val="single" w:sz="8" w:color="DBE5F1"/>
            </w:tcBorders>
            <w:gridSpan w:val="2"/>
            <w:shd w:val="clear" w:color="auto" w:fill="DBE5F1"/>
          </w:tcPr>
          <w:p>
            <w:pPr>
              <w:ind w:left="140"/>
              <w:spacing w:after="0" w:line="102" w:lineRule="exact"/>
              <w:rPr>
                <w:sz w:val="20"/>
                <w:szCs w:val="20"/>
                <w:color w:val="auto"/>
              </w:rPr>
            </w:pPr>
            <w:r>
              <w:rPr>
                <w:rFonts w:ascii="Arial" w:cs="Arial" w:eastAsia="Arial" w:hAnsi="Arial"/>
                <w:sz w:val="11"/>
                <w:szCs w:val="11"/>
                <w:b w:val="1"/>
                <w:bCs w:val="1"/>
                <w:color w:val="auto"/>
              </w:rPr>
              <w:t>Hyong (Ken) Kim, M.D.</w:t>
            </w:r>
          </w:p>
        </w:tc>
        <w:tc>
          <w:tcPr>
            <w:tcW w:w="80" w:type="dxa"/>
            <w:vAlign w:val="bottom"/>
            <w:shd w:val="clear" w:color="auto" w:fill="DBE5F1"/>
          </w:tcPr>
          <w:p>
            <w:pPr>
              <w:spacing w:after="0"/>
              <w:rPr>
                <w:sz w:val="8"/>
                <w:szCs w:val="8"/>
                <w:color w:val="auto"/>
              </w:rPr>
            </w:pPr>
          </w:p>
        </w:tc>
        <w:tc>
          <w:tcPr>
            <w:tcW w:w="52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4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8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60" w:type="dxa"/>
            <w:vAlign w:val="bottom"/>
            <w:shd w:val="clear" w:color="auto" w:fill="DBE5F1"/>
          </w:tcPr>
          <w:p>
            <w:pPr>
              <w:spacing w:after="0"/>
              <w:rPr>
                <w:sz w:val="8"/>
                <w:szCs w:val="8"/>
                <w:color w:val="auto"/>
              </w:rPr>
            </w:pPr>
          </w:p>
        </w:tc>
        <w:tc>
          <w:tcPr>
            <w:tcW w:w="5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2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80" w:type="dxa"/>
            <w:vAlign w:val="bottom"/>
            <w:shd w:val="clear" w:color="auto" w:fill="DBE5F1"/>
          </w:tcPr>
          <w:p>
            <w:pPr>
              <w:spacing w:after="0"/>
              <w:rPr>
                <w:sz w:val="8"/>
                <w:szCs w:val="8"/>
                <w:color w:val="auto"/>
              </w:rPr>
            </w:pPr>
          </w:p>
        </w:tc>
        <w:tc>
          <w:tcPr>
            <w:tcW w:w="5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60" w:type="dxa"/>
            <w:vAlign w:val="bottom"/>
            <w:shd w:val="clear" w:color="auto" w:fill="DBE5F1"/>
          </w:tcPr>
          <w:p>
            <w:pPr>
              <w:spacing w:after="0"/>
              <w:rPr>
                <w:sz w:val="8"/>
                <w:szCs w:val="8"/>
                <w:color w:val="auto"/>
              </w:rPr>
            </w:pPr>
          </w:p>
        </w:tc>
        <w:tc>
          <w:tcPr>
            <w:tcW w:w="440" w:type="dxa"/>
            <w:vAlign w:val="bottom"/>
            <w:shd w:val="clear" w:color="auto" w:fill="DBE5F1"/>
          </w:tcPr>
          <w:p>
            <w:pPr>
              <w:spacing w:after="0"/>
              <w:rPr>
                <w:sz w:val="8"/>
                <w:szCs w:val="8"/>
                <w:color w:val="auto"/>
              </w:rPr>
            </w:pPr>
          </w:p>
        </w:tc>
        <w:tc>
          <w:tcPr>
            <w:tcW w:w="140" w:type="dxa"/>
            <w:vAlign w:val="bottom"/>
            <w:shd w:val="clear" w:color="auto" w:fill="DBE5F1"/>
          </w:tcPr>
          <w:p>
            <w:pPr>
              <w:spacing w:after="0"/>
              <w:rPr>
                <w:sz w:val="8"/>
                <w:szCs w:val="8"/>
                <w:color w:val="auto"/>
              </w:rPr>
            </w:pPr>
          </w:p>
        </w:tc>
        <w:tc>
          <w:tcPr>
            <w:tcW w:w="560" w:type="dxa"/>
            <w:vAlign w:val="bottom"/>
            <w:shd w:val="clear" w:color="auto" w:fill="DBE5F1"/>
          </w:tcPr>
          <w:p>
            <w:pPr>
              <w:spacing w:after="0"/>
              <w:rPr>
                <w:sz w:val="8"/>
                <w:szCs w:val="8"/>
                <w:color w:val="auto"/>
              </w:rPr>
            </w:pPr>
          </w:p>
        </w:tc>
        <w:tc>
          <w:tcPr>
            <w:tcW w:w="140" w:type="dxa"/>
            <w:vAlign w:val="bottom"/>
            <w:shd w:val="clear" w:color="auto" w:fill="DBE5F1"/>
          </w:tcPr>
          <w:p>
            <w:pPr>
              <w:spacing w:after="0"/>
              <w:rPr>
                <w:sz w:val="8"/>
                <w:szCs w:val="8"/>
                <w:color w:val="auto"/>
              </w:rPr>
            </w:pPr>
          </w:p>
        </w:tc>
        <w:tc>
          <w:tcPr>
            <w:tcW w:w="440" w:type="dxa"/>
            <w:vAlign w:val="bottom"/>
            <w:shd w:val="clear" w:color="auto" w:fill="DBE5F1"/>
          </w:tcPr>
          <w:p>
            <w:pPr>
              <w:spacing w:after="0"/>
              <w:rPr>
                <w:sz w:val="8"/>
                <w:szCs w:val="8"/>
                <w:color w:val="auto"/>
              </w:rPr>
            </w:pPr>
          </w:p>
        </w:tc>
        <w:tc>
          <w:tcPr>
            <w:tcW w:w="140" w:type="dxa"/>
            <w:vAlign w:val="bottom"/>
            <w:shd w:val="clear" w:color="auto" w:fill="DBE5F1"/>
          </w:tcPr>
          <w:p>
            <w:pPr>
              <w:spacing w:after="0"/>
              <w:rPr>
                <w:sz w:val="8"/>
                <w:szCs w:val="8"/>
                <w:color w:val="auto"/>
              </w:rPr>
            </w:pPr>
          </w:p>
        </w:tc>
        <w:tc>
          <w:tcPr>
            <w:tcW w:w="600" w:type="dxa"/>
            <w:vAlign w:val="bottom"/>
            <w:shd w:val="clear" w:color="auto" w:fill="DBE5F1"/>
          </w:tcPr>
          <w:p>
            <w:pPr>
              <w:spacing w:after="0"/>
              <w:rPr>
                <w:sz w:val="8"/>
                <w:szCs w:val="8"/>
                <w:color w:val="auto"/>
              </w:rPr>
            </w:pPr>
          </w:p>
        </w:tc>
        <w:tc>
          <w:tcPr>
            <w:tcW w:w="40" w:type="dxa"/>
            <w:vAlign w:val="bottom"/>
            <w:shd w:val="clear" w:color="auto" w:fill="DBE5F1"/>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3820" w:type="dxa"/>
            <w:vAlign w:val="bottom"/>
            <w:tcBorders>
              <w:right w:val="single" w:sz="8" w:color="DBE5F1"/>
            </w:tcBorders>
            <w:gridSpan w:val="2"/>
            <w:shd w:val="clear" w:color="auto" w:fill="DBE5F1"/>
          </w:tcPr>
          <w:p>
            <w:pPr>
              <w:ind w:left="140"/>
              <w:spacing w:after="0" w:line="122" w:lineRule="exact"/>
              <w:rPr>
                <w:sz w:val="20"/>
                <w:szCs w:val="20"/>
                <w:color w:val="auto"/>
              </w:rPr>
            </w:pPr>
            <w:r>
              <w:rPr>
                <w:rFonts w:ascii="Arial" w:cs="Arial" w:eastAsia="Arial" w:hAnsi="Arial"/>
                <w:sz w:val="10"/>
                <w:szCs w:val="10"/>
                <w:color w:val="auto"/>
              </w:rPr>
              <w:t>  AIP</w:t>
            </w:r>
            <w:r>
              <w:rPr>
                <w:rFonts w:ascii="Arial" w:cs="Arial" w:eastAsia="Arial" w:hAnsi="Arial"/>
                <w:sz w:val="14"/>
                <w:szCs w:val="14"/>
                <w:color w:val="auto"/>
                <w:vertAlign w:val="superscript"/>
              </w:rPr>
              <w:t>(1)</w:t>
            </w:r>
          </w:p>
        </w:tc>
        <w:tc>
          <w:tcPr>
            <w:tcW w:w="80" w:type="dxa"/>
            <w:vAlign w:val="bottom"/>
            <w:shd w:val="clear" w:color="auto" w:fill="DBE5F1"/>
          </w:tcPr>
          <w:p>
            <w:pPr>
              <w:spacing w:after="0"/>
              <w:rPr>
                <w:sz w:val="10"/>
                <w:szCs w:val="10"/>
                <w:color w:val="auto"/>
              </w:rPr>
            </w:pPr>
          </w:p>
        </w:tc>
        <w:tc>
          <w:tcPr>
            <w:tcW w:w="660" w:type="dxa"/>
            <w:vAlign w:val="bottom"/>
            <w:gridSpan w:val="3"/>
            <w:shd w:val="clear" w:color="auto" w:fill="DBE5F1"/>
          </w:tcPr>
          <w:p>
            <w:pPr>
              <w:jc w:val="center"/>
              <w:ind w:right="100"/>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59,500</w:t>
            </w:r>
          </w:p>
        </w:tc>
        <w:tc>
          <w:tcPr>
            <w:tcW w:w="80" w:type="dxa"/>
            <w:vAlign w:val="bottom"/>
            <w:shd w:val="clear" w:color="auto" w:fill="DBE5F1"/>
          </w:tcPr>
          <w:p>
            <w:pPr>
              <w:spacing w:after="0"/>
              <w:rPr>
                <w:sz w:val="10"/>
                <w:szCs w:val="10"/>
                <w:color w:val="auto"/>
              </w:rPr>
            </w:pPr>
          </w:p>
        </w:tc>
        <w:tc>
          <w:tcPr>
            <w:tcW w:w="5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119,000</w:t>
            </w:r>
          </w:p>
        </w:tc>
        <w:tc>
          <w:tcPr>
            <w:tcW w:w="80" w:type="dxa"/>
            <w:vAlign w:val="bottom"/>
            <w:shd w:val="clear" w:color="auto" w:fill="DBE5F1"/>
          </w:tcPr>
          <w:p>
            <w:pPr>
              <w:spacing w:after="0"/>
              <w:rPr>
                <w:sz w:val="10"/>
                <w:szCs w:val="10"/>
                <w:color w:val="auto"/>
              </w:rPr>
            </w:pPr>
          </w:p>
        </w:tc>
        <w:tc>
          <w:tcPr>
            <w:tcW w:w="64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238,000</w:t>
            </w:r>
          </w:p>
        </w:tc>
        <w:tc>
          <w:tcPr>
            <w:tcW w:w="60" w:type="dxa"/>
            <w:vAlign w:val="bottom"/>
            <w:shd w:val="clear" w:color="auto" w:fill="DBE5F1"/>
          </w:tcPr>
          <w:p>
            <w:pPr>
              <w:spacing w:after="0"/>
              <w:rPr>
                <w:sz w:val="10"/>
                <w:szCs w:val="10"/>
                <w:color w:val="auto"/>
              </w:rPr>
            </w:pPr>
          </w:p>
        </w:tc>
        <w:tc>
          <w:tcPr>
            <w:tcW w:w="680" w:type="dxa"/>
            <w:vAlign w:val="bottom"/>
            <w:gridSpan w:val="3"/>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60" w:type="dxa"/>
            <w:vAlign w:val="bottom"/>
            <w:gridSpan w:val="3"/>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60" w:type="dxa"/>
            <w:vAlign w:val="bottom"/>
            <w:shd w:val="clear" w:color="auto" w:fill="DBE5F1"/>
          </w:tcPr>
          <w:p>
            <w:pPr>
              <w:spacing w:after="0"/>
              <w:rPr>
                <w:sz w:val="10"/>
                <w:szCs w:val="10"/>
                <w:color w:val="auto"/>
              </w:rPr>
            </w:pPr>
          </w:p>
        </w:tc>
        <w:tc>
          <w:tcPr>
            <w:tcW w:w="58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70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580" w:type="dxa"/>
            <w:vAlign w:val="bottom"/>
            <w:gridSpan w:val="2"/>
            <w:shd w:val="clear" w:color="auto" w:fill="DBE5F1"/>
          </w:tcPr>
          <w:p>
            <w:pPr>
              <w:jc w:val="right"/>
              <w:ind w:right="140"/>
              <w:spacing w:after="0" w:line="122" w:lineRule="exact"/>
              <w:rPr>
                <w:sz w:val="20"/>
                <w:szCs w:val="20"/>
                <w:color w:val="auto"/>
              </w:rPr>
            </w:pPr>
            <w:r>
              <w:rPr>
                <w:rFonts w:ascii="Arial" w:cs="Arial" w:eastAsia="Arial" w:hAnsi="Arial"/>
                <w:sz w:val="11"/>
                <w:szCs w:val="11"/>
                <w:color w:val="auto"/>
              </w:rPr>
              <w:t>—</w:t>
            </w:r>
          </w:p>
        </w:tc>
        <w:tc>
          <w:tcPr>
            <w:tcW w:w="640" w:type="dxa"/>
            <w:vAlign w:val="bottom"/>
            <w:gridSpan w:val="2"/>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2"/>
        </w:trPr>
        <w:tc>
          <w:tcPr>
            <w:tcW w:w="200" w:type="dxa"/>
            <w:vAlign w:val="bottom"/>
            <w:shd w:val="clear" w:color="auto" w:fill="DBE5F1"/>
          </w:tcPr>
          <w:p>
            <w:pPr>
              <w:ind w:left="140"/>
              <w:spacing w:after="0"/>
              <w:rPr>
                <w:sz w:val="20"/>
                <w:szCs w:val="20"/>
                <w:color w:val="auto"/>
              </w:rPr>
            </w:pPr>
            <w:r>
              <w:rPr>
                <w:rFonts w:ascii="Arial" w:cs="Arial" w:eastAsia="Arial" w:hAnsi="Arial"/>
                <w:sz w:val="5"/>
                <w:szCs w:val="5"/>
                <w:color w:val="auto"/>
                <w:w w:val="79"/>
              </w:rPr>
              <w:t> </w:t>
            </w:r>
          </w:p>
        </w:tc>
        <w:tc>
          <w:tcPr>
            <w:tcW w:w="3620" w:type="dxa"/>
            <w:vAlign w:val="bottom"/>
            <w:tcBorders>
              <w:right w:val="single" w:sz="8" w:color="DBE5F1"/>
            </w:tcBorders>
            <w:shd w:val="clear" w:color="auto" w:fill="DBE5F1"/>
          </w:tcPr>
          <w:p>
            <w:pPr>
              <w:ind w:left="40"/>
              <w:spacing w:after="0" w:line="122" w:lineRule="exact"/>
              <w:rPr>
                <w:sz w:val="20"/>
                <w:szCs w:val="20"/>
                <w:color w:val="auto"/>
              </w:rPr>
            </w:pPr>
            <w:r>
              <w:rPr>
                <w:rFonts w:ascii="Arial" w:cs="Arial" w:eastAsia="Arial" w:hAnsi="Arial"/>
                <w:sz w:val="10"/>
                <w:szCs w:val="10"/>
                <w:color w:val="auto"/>
              </w:rPr>
              <w:t>PSU Award</w:t>
            </w:r>
            <w:r>
              <w:rPr>
                <w:rFonts w:ascii="Arial" w:cs="Arial" w:eastAsia="Arial" w:hAnsi="Arial"/>
                <w:sz w:val="14"/>
                <w:szCs w:val="14"/>
                <w:color w:val="auto"/>
                <w:vertAlign w:val="superscript"/>
              </w:rPr>
              <w:t>(2)</w:t>
            </w:r>
          </w:p>
        </w:tc>
        <w:tc>
          <w:tcPr>
            <w:tcW w:w="80" w:type="dxa"/>
            <w:vAlign w:val="bottom"/>
            <w:shd w:val="clear" w:color="auto" w:fill="DBE5F1"/>
          </w:tcPr>
          <w:p>
            <w:pPr>
              <w:spacing w:after="0"/>
              <w:rPr>
                <w:sz w:val="10"/>
                <w:szCs w:val="10"/>
                <w:color w:val="auto"/>
              </w:rPr>
            </w:pPr>
          </w:p>
        </w:tc>
        <w:tc>
          <w:tcPr>
            <w:tcW w:w="580" w:type="dxa"/>
            <w:vAlign w:val="bottom"/>
            <w:tcBorders>
              <w:right w:val="single" w:sz="8" w:color="DBE5F1"/>
            </w:tcBorders>
            <w:gridSpan w:val="2"/>
            <w:shd w:val="clear" w:color="auto" w:fill="DBE5F1"/>
          </w:tcPr>
          <w:p>
            <w:pPr>
              <w:jc w:val="center"/>
              <w:ind w:right="20"/>
              <w:spacing w:after="0" w:line="122" w:lineRule="exact"/>
              <w:rPr>
                <w:sz w:val="20"/>
                <w:szCs w:val="20"/>
                <w:color w:val="auto"/>
              </w:rPr>
            </w:pPr>
            <w:r>
              <w:rPr>
                <w:rFonts w:ascii="Arial" w:cs="Arial" w:eastAsia="Arial" w:hAnsi="Arial"/>
                <w:sz w:val="11"/>
                <w:szCs w:val="11"/>
                <w:color w:val="auto"/>
                <w:w w:val="97"/>
              </w:rPr>
              <w:t>9/14/2023</w:t>
            </w:r>
          </w:p>
        </w:tc>
        <w:tc>
          <w:tcPr>
            <w:tcW w:w="80" w:type="dxa"/>
            <w:vAlign w:val="bottom"/>
            <w:shd w:val="clear" w:color="auto" w:fill="DBE5F1"/>
          </w:tcPr>
          <w:p>
            <w:pPr>
              <w:spacing w:after="0"/>
              <w:rPr>
                <w:sz w:val="10"/>
                <w:szCs w:val="10"/>
                <w:color w:val="auto"/>
              </w:rPr>
            </w:pPr>
          </w:p>
        </w:tc>
        <w:tc>
          <w:tcPr>
            <w:tcW w:w="540" w:type="dxa"/>
            <w:vAlign w:val="bottom"/>
            <w:shd w:val="clear" w:color="auto" w:fill="DBE5F1"/>
          </w:tcPr>
          <w:p>
            <w:pPr>
              <w:spacing w:after="0"/>
              <w:rPr>
                <w:sz w:val="10"/>
                <w:szCs w:val="10"/>
                <w:color w:val="auto"/>
              </w:rPr>
            </w:pPr>
          </w:p>
        </w:tc>
        <w:tc>
          <w:tcPr>
            <w:tcW w:w="60" w:type="dxa"/>
            <w:vAlign w:val="bottom"/>
            <w:tcBorders>
              <w:right w:val="single" w:sz="8" w:color="DBE5F1"/>
            </w:tcBorders>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440" w:type="dxa"/>
            <w:vAlign w:val="bottom"/>
            <w:shd w:val="clear" w:color="auto" w:fill="DBE5F1"/>
          </w:tcPr>
          <w:p>
            <w:pPr>
              <w:spacing w:after="0"/>
              <w:rPr>
                <w:sz w:val="10"/>
                <w:szCs w:val="10"/>
                <w:color w:val="auto"/>
              </w:rPr>
            </w:pPr>
          </w:p>
        </w:tc>
        <w:tc>
          <w:tcPr>
            <w:tcW w:w="60" w:type="dxa"/>
            <w:vAlign w:val="bottom"/>
            <w:tcBorders>
              <w:right w:val="single" w:sz="8" w:color="DBE5F1"/>
            </w:tcBorders>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580" w:type="dxa"/>
            <w:vAlign w:val="bottom"/>
            <w:shd w:val="clear" w:color="auto" w:fill="DBE5F1"/>
          </w:tcPr>
          <w:p>
            <w:pPr>
              <w:spacing w:after="0"/>
              <w:rPr>
                <w:sz w:val="10"/>
                <w:szCs w:val="10"/>
                <w:color w:val="auto"/>
              </w:rPr>
            </w:pPr>
          </w:p>
        </w:tc>
        <w:tc>
          <w:tcPr>
            <w:tcW w:w="60" w:type="dxa"/>
            <w:vAlign w:val="bottom"/>
            <w:tcBorders>
              <w:right w:val="single" w:sz="8" w:color="DBE5F1"/>
            </w:tcBorders>
            <w:shd w:val="clear" w:color="auto" w:fill="DBE5F1"/>
          </w:tcPr>
          <w:p>
            <w:pPr>
              <w:spacing w:after="0"/>
              <w:rPr>
                <w:sz w:val="10"/>
                <w:szCs w:val="10"/>
                <w:color w:val="auto"/>
              </w:rPr>
            </w:pPr>
          </w:p>
        </w:tc>
        <w:tc>
          <w:tcPr>
            <w:tcW w:w="60" w:type="dxa"/>
            <w:vAlign w:val="bottom"/>
            <w:shd w:val="clear" w:color="auto" w:fill="DBE5F1"/>
          </w:tcPr>
          <w:p>
            <w:pPr>
              <w:spacing w:after="0"/>
              <w:rPr>
                <w:sz w:val="10"/>
                <w:szCs w:val="10"/>
                <w:color w:val="auto"/>
              </w:rPr>
            </w:pPr>
          </w:p>
        </w:tc>
        <w:tc>
          <w:tcPr>
            <w:tcW w:w="54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25,000</w:t>
            </w:r>
          </w:p>
        </w:tc>
        <w:tc>
          <w:tcPr>
            <w:tcW w:w="60" w:type="dxa"/>
            <w:vAlign w:val="bottom"/>
            <w:tcBorders>
              <w:right w:val="single" w:sz="8" w:color="DBE5F1"/>
            </w:tcBorders>
            <w:shd w:val="clear" w:color="auto" w:fill="DBE5F1"/>
          </w:tcPr>
          <w:p>
            <w:pPr>
              <w:spacing w:after="0"/>
              <w:rPr>
                <w:sz w:val="10"/>
                <w:szCs w:val="10"/>
                <w:color w:val="auto"/>
              </w:rPr>
            </w:pPr>
          </w:p>
        </w:tc>
        <w:tc>
          <w:tcPr>
            <w:tcW w:w="80" w:type="dxa"/>
            <w:vAlign w:val="bottom"/>
            <w:shd w:val="clear" w:color="auto" w:fill="DBE5F1"/>
          </w:tcPr>
          <w:p>
            <w:pPr>
              <w:spacing w:after="0"/>
              <w:rPr>
                <w:sz w:val="10"/>
                <w:szCs w:val="10"/>
                <w:color w:val="auto"/>
              </w:rPr>
            </w:pPr>
          </w:p>
        </w:tc>
        <w:tc>
          <w:tcPr>
            <w:tcW w:w="58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50,000</w:t>
            </w:r>
          </w:p>
        </w:tc>
        <w:tc>
          <w:tcPr>
            <w:tcW w:w="80" w:type="dxa"/>
            <w:vAlign w:val="bottom"/>
            <w:shd w:val="clear" w:color="auto" w:fill="DBE5F1"/>
          </w:tcPr>
          <w:p>
            <w:pPr>
              <w:spacing w:after="0"/>
              <w:rPr>
                <w:sz w:val="10"/>
                <w:szCs w:val="10"/>
                <w:color w:val="auto"/>
              </w:rPr>
            </w:pPr>
          </w:p>
        </w:tc>
        <w:tc>
          <w:tcPr>
            <w:tcW w:w="6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75,000</w:t>
            </w:r>
          </w:p>
        </w:tc>
        <w:tc>
          <w:tcPr>
            <w:tcW w:w="60" w:type="dxa"/>
            <w:vAlign w:val="bottom"/>
            <w:shd w:val="clear" w:color="auto" w:fill="DBE5F1"/>
          </w:tcPr>
          <w:p>
            <w:pPr>
              <w:spacing w:after="0"/>
              <w:rPr>
                <w:sz w:val="10"/>
                <w:szCs w:val="10"/>
                <w:color w:val="auto"/>
              </w:rPr>
            </w:pPr>
          </w:p>
        </w:tc>
        <w:tc>
          <w:tcPr>
            <w:tcW w:w="440" w:type="dxa"/>
            <w:vAlign w:val="bottom"/>
            <w:shd w:val="clear" w:color="auto" w:fill="DBE5F1"/>
          </w:tcPr>
          <w:p>
            <w:pPr>
              <w:spacing w:after="0"/>
              <w:rPr>
                <w:sz w:val="10"/>
                <w:szCs w:val="10"/>
                <w:color w:val="auto"/>
              </w:rPr>
            </w:pPr>
          </w:p>
        </w:tc>
        <w:tc>
          <w:tcPr>
            <w:tcW w:w="140" w:type="dxa"/>
            <w:vAlign w:val="bottom"/>
            <w:shd w:val="clear" w:color="auto" w:fill="DBE5F1"/>
          </w:tcPr>
          <w:p>
            <w:pPr>
              <w:spacing w:after="0"/>
              <w:rPr>
                <w:sz w:val="10"/>
                <w:szCs w:val="10"/>
                <w:color w:val="auto"/>
              </w:rPr>
            </w:pPr>
          </w:p>
        </w:tc>
        <w:tc>
          <w:tcPr>
            <w:tcW w:w="560" w:type="dxa"/>
            <w:vAlign w:val="bottom"/>
            <w:shd w:val="clear" w:color="auto" w:fill="DBE5F1"/>
          </w:tcPr>
          <w:p>
            <w:pPr>
              <w:spacing w:after="0"/>
              <w:rPr>
                <w:sz w:val="10"/>
                <w:szCs w:val="10"/>
                <w:color w:val="auto"/>
              </w:rPr>
            </w:pPr>
          </w:p>
        </w:tc>
        <w:tc>
          <w:tcPr>
            <w:tcW w:w="140" w:type="dxa"/>
            <w:vAlign w:val="bottom"/>
            <w:shd w:val="clear" w:color="auto" w:fill="DBE5F1"/>
          </w:tcPr>
          <w:p>
            <w:pPr>
              <w:spacing w:after="0"/>
              <w:rPr>
                <w:sz w:val="10"/>
                <w:szCs w:val="10"/>
                <w:color w:val="auto"/>
              </w:rPr>
            </w:pPr>
          </w:p>
        </w:tc>
        <w:tc>
          <w:tcPr>
            <w:tcW w:w="440" w:type="dxa"/>
            <w:vAlign w:val="bottom"/>
            <w:shd w:val="clear" w:color="auto" w:fill="DBE5F1"/>
          </w:tcPr>
          <w:p>
            <w:pPr>
              <w:spacing w:after="0"/>
              <w:rPr>
                <w:sz w:val="10"/>
                <w:szCs w:val="10"/>
                <w:color w:val="auto"/>
              </w:rPr>
            </w:pPr>
          </w:p>
        </w:tc>
        <w:tc>
          <w:tcPr>
            <w:tcW w:w="140" w:type="dxa"/>
            <w:vAlign w:val="bottom"/>
            <w:shd w:val="clear" w:color="auto" w:fill="DBE5F1"/>
          </w:tcPr>
          <w:p>
            <w:pPr>
              <w:spacing w:after="0"/>
              <w:rPr>
                <w:sz w:val="10"/>
                <w:szCs w:val="10"/>
                <w:color w:val="auto"/>
              </w:rPr>
            </w:pPr>
          </w:p>
        </w:tc>
        <w:tc>
          <w:tcPr>
            <w:tcW w:w="640" w:type="dxa"/>
            <w:vAlign w:val="bottom"/>
            <w:gridSpan w:val="2"/>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287,000</w:t>
            </w:r>
          </w:p>
        </w:tc>
        <w:tc>
          <w:tcPr>
            <w:tcW w:w="0" w:type="dxa"/>
            <w:vAlign w:val="bottom"/>
          </w:tcPr>
          <w:p>
            <w:pPr>
              <w:spacing w:after="0"/>
              <w:rPr>
                <w:sz w:val="1"/>
                <w:szCs w:val="1"/>
                <w:color w:val="auto"/>
              </w:rPr>
            </w:pPr>
          </w:p>
        </w:tc>
      </w:tr>
      <w:tr>
        <w:trPr>
          <w:trHeight w:val="135"/>
        </w:trPr>
        <w:tc>
          <w:tcPr>
            <w:tcW w:w="200" w:type="dxa"/>
            <w:vAlign w:val="bottom"/>
            <w:tcBorders>
              <w:bottom w:val="single" w:sz="8" w:color="95B3D7"/>
            </w:tcBorders>
            <w:shd w:val="clear" w:color="auto" w:fill="DBE5F1"/>
          </w:tcPr>
          <w:p>
            <w:pPr>
              <w:ind w:left="140"/>
              <w:spacing w:after="0"/>
              <w:rPr>
                <w:sz w:val="20"/>
                <w:szCs w:val="20"/>
                <w:color w:val="auto"/>
              </w:rPr>
            </w:pPr>
            <w:r>
              <w:rPr>
                <w:rFonts w:ascii="Arial" w:cs="Arial" w:eastAsia="Arial" w:hAnsi="Arial"/>
                <w:sz w:val="5"/>
                <w:szCs w:val="5"/>
                <w:color w:val="auto"/>
                <w:w w:val="79"/>
              </w:rPr>
              <w:t> </w:t>
            </w:r>
          </w:p>
        </w:tc>
        <w:tc>
          <w:tcPr>
            <w:tcW w:w="3620" w:type="dxa"/>
            <w:vAlign w:val="bottom"/>
            <w:tcBorders>
              <w:bottom w:val="single" w:sz="8" w:color="95B3D7"/>
              <w:right w:val="single" w:sz="8" w:color="DBE5F1"/>
            </w:tcBorders>
            <w:shd w:val="clear" w:color="auto" w:fill="DBE5F1"/>
          </w:tcPr>
          <w:p>
            <w:pPr>
              <w:ind w:left="40"/>
              <w:spacing w:after="0" w:line="136" w:lineRule="exact"/>
              <w:rPr>
                <w:sz w:val="20"/>
                <w:szCs w:val="20"/>
                <w:color w:val="auto"/>
              </w:rPr>
            </w:pPr>
            <w:r>
              <w:rPr>
                <w:rFonts w:ascii="Arial" w:cs="Arial" w:eastAsia="Arial" w:hAnsi="Arial"/>
                <w:sz w:val="10"/>
                <w:szCs w:val="10"/>
                <w:color w:val="auto"/>
              </w:rPr>
              <w:t>RSU Award</w:t>
            </w:r>
            <w:r>
              <w:rPr>
                <w:rFonts w:ascii="Arial" w:cs="Arial" w:eastAsia="Arial" w:hAnsi="Arial"/>
                <w:sz w:val="15"/>
                <w:szCs w:val="15"/>
                <w:color w:val="auto"/>
                <w:vertAlign w:val="superscript"/>
              </w:rPr>
              <w:t>(2)</w:t>
            </w:r>
          </w:p>
        </w:tc>
        <w:tc>
          <w:tcPr>
            <w:tcW w:w="80" w:type="dxa"/>
            <w:vAlign w:val="bottom"/>
            <w:tcBorders>
              <w:bottom w:val="single" w:sz="8" w:color="95B3D7"/>
            </w:tcBorders>
            <w:shd w:val="clear" w:color="auto" w:fill="DBE5F1"/>
          </w:tcPr>
          <w:p>
            <w:pPr>
              <w:spacing w:after="0"/>
              <w:rPr>
                <w:sz w:val="11"/>
                <w:szCs w:val="11"/>
                <w:color w:val="auto"/>
              </w:rPr>
            </w:pPr>
          </w:p>
        </w:tc>
        <w:tc>
          <w:tcPr>
            <w:tcW w:w="580" w:type="dxa"/>
            <w:vAlign w:val="bottom"/>
            <w:tcBorders>
              <w:bottom w:val="single" w:sz="8" w:color="95B3D7"/>
              <w:right w:val="single" w:sz="8" w:color="DBE5F1"/>
            </w:tcBorders>
            <w:gridSpan w:val="2"/>
            <w:shd w:val="clear" w:color="auto" w:fill="DBE5F1"/>
          </w:tcPr>
          <w:p>
            <w:pPr>
              <w:jc w:val="center"/>
              <w:ind w:right="20"/>
              <w:spacing w:after="0"/>
              <w:rPr>
                <w:sz w:val="20"/>
                <w:szCs w:val="20"/>
                <w:color w:val="auto"/>
              </w:rPr>
            </w:pPr>
            <w:r>
              <w:rPr>
                <w:rFonts w:ascii="Arial" w:cs="Arial" w:eastAsia="Arial" w:hAnsi="Arial"/>
                <w:sz w:val="11"/>
                <w:szCs w:val="11"/>
                <w:color w:val="auto"/>
                <w:w w:val="97"/>
              </w:rPr>
              <w:t>10/4/2023</w:t>
            </w:r>
          </w:p>
        </w:tc>
        <w:tc>
          <w:tcPr>
            <w:tcW w:w="80" w:type="dxa"/>
            <w:vAlign w:val="bottom"/>
            <w:tcBorders>
              <w:bottom w:val="single" w:sz="8" w:color="95B3D7"/>
            </w:tcBorders>
            <w:shd w:val="clear" w:color="auto" w:fill="DBE5F1"/>
          </w:tcPr>
          <w:p>
            <w:pPr>
              <w:spacing w:after="0"/>
              <w:rPr>
                <w:sz w:val="11"/>
                <w:szCs w:val="11"/>
                <w:color w:val="auto"/>
              </w:rPr>
            </w:pPr>
          </w:p>
        </w:tc>
        <w:tc>
          <w:tcPr>
            <w:tcW w:w="68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700" w:type="dxa"/>
            <w:vAlign w:val="bottom"/>
            <w:tcBorders>
              <w:bottom w:val="single" w:sz="8" w:color="95B3D7"/>
            </w:tcBorders>
            <w:gridSpan w:val="3"/>
            <w:shd w:val="clear" w:color="auto" w:fill="DBE5F1"/>
          </w:tcPr>
          <w:p>
            <w:pPr>
              <w:jc w:val="right"/>
              <w:ind w:right="120"/>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95B3D7"/>
            </w:tcBorders>
            <w:gridSpan w:val="3"/>
            <w:shd w:val="clear" w:color="auto" w:fill="DBE5F1"/>
          </w:tcPr>
          <w:p>
            <w:pPr>
              <w:jc w:val="right"/>
              <w:ind w:right="140"/>
              <w:spacing w:after="0"/>
              <w:rPr>
                <w:sz w:val="20"/>
                <w:szCs w:val="20"/>
                <w:color w:val="auto"/>
              </w:rPr>
            </w:pPr>
            <w:r>
              <w:rPr>
                <w:rFonts w:ascii="Arial" w:cs="Arial" w:eastAsia="Arial" w:hAnsi="Arial"/>
                <w:sz w:val="11"/>
                <w:szCs w:val="11"/>
                <w:color w:val="auto"/>
              </w:rPr>
              <w:t>340,136</w:t>
            </w:r>
          </w:p>
        </w:tc>
        <w:tc>
          <w:tcPr>
            <w:tcW w:w="700" w:type="dxa"/>
            <w:vAlign w:val="bottom"/>
            <w:tcBorders>
              <w:bottom w:val="single" w:sz="8" w:color="95B3D7"/>
            </w:tcBorders>
            <w:gridSpan w:val="2"/>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580" w:type="dxa"/>
            <w:vAlign w:val="bottom"/>
            <w:tcBorders>
              <w:bottom w:val="single" w:sz="8" w:color="95B3D7"/>
            </w:tcBorders>
            <w:gridSpan w:val="2"/>
            <w:shd w:val="clear" w:color="auto" w:fill="DBE5F1"/>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95B3D7"/>
            </w:tcBorders>
            <w:gridSpan w:val="2"/>
            <w:shd w:val="clear" w:color="auto" w:fill="DBE5F1"/>
          </w:tcPr>
          <w:p>
            <w:pPr>
              <w:jc w:val="right"/>
              <w:ind w:right="40"/>
              <w:spacing w:after="0"/>
              <w:rPr>
                <w:sz w:val="20"/>
                <w:szCs w:val="20"/>
                <w:color w:val="auto"/>
              </w:rPr>
            </w:pPr>
            <w:r>
              <w:rPr>
                <w:rFonts w:ascii="Arial" w:cs="Arial" w:eastAsia="Arial" w:hAnsi="Arial"/>
                <w:sz w:val="11"/>
                <w:szCs w:val="11"/>
                <w:color w:val="auto"/>
              </w:rPr>
              <w:t>2,500,000</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60" w:right="40" w:hanging="332"/>
        <w:spacing w:after="0" w:line="245" w:lineRule="auto"/>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Awards designated “AIP” represent the threshold, target and maximum amounts of performance-based awards that our NEOs might have earned during 2023 under our Annual Incentive Plan, dependent upon our 2023 performance. Maximum payouts assume that the Annual Incentive Plan was funded at maximum levels based on applicable Company and/or business unit performance and individual performance was also achieved at maximum levels. Awards actually earned are shown above in the “Non-Equity Incentive Plan Compensation” column of the 2023 Summary Compensation Table. Payouts depend on the achievement of pre-determined, strategic and/or financial corporate performance objectives (75% of the award), as well as individual performance (25% of the award). Based on results, base payouts can range from 0% to 200% of target award amounts. In addition, a modifier (-25% to +50%) is applied to the total bonus payout based on the Company’s CMS Star Ratings. During 2023, the base salaries and target and maximum bonus opportunities were increased for certain CEOs. Target bonus opportunities for the full 2023 year reflect the weighted average of the target bonus opportunity percentages applicable to each NEO for each applicable period throughout the year. Executive officers had the option to elect to settle all or a portion of their actual AIP payouts in shares of common stock. See “</w:t>
      </w:r>
      <w:r>
        <w:rPr>
          <w:rFonts w:ascii="Arial" w:cs="Arial" w:eastAsia="Arial" w:hAnsi="Arial"/>
          <w:sz w:val="14"/>
          <w:szCs w:val="14"/>
          <w:i w:val="1"/>
          <w:iCs w:val="1"/>
          <w:color w:val="auto"/>
        </w:rPr>
        <w:t>Compensation Discussion and Analysis—2023 Executive Compensation Program in Detail—Annual Incentives</w:t>
      </w:r>
      <w:r>
        <w:rPr>
          <w:rFonts w:ascii="Arial" w:cs="Arial" w:eastAsia="Arial" w:hAnsi="Arial"/>
          <w:sz w:val="14"/>
          <w:szCs w:val="14"/>
          <w:color w:val="auto"/>
        </w:rPr>
        <w:t>” above for further discussion of our Annual Incentive Plan.</w:t>
      </w:r>
    </w:p>
    <w:p>
      <w:pPr>
        <w:spacing w:after="0" w:line="381" w:lineRule="exact"/>
        <w:rPr>
          <w:rFonts w:ascii="Arial" w:cs="Arial" w:eastAsia="Arial" w:hAnsi="Arial"/>
          <w:sz w:val="14"/>
          <w:szCs w:val="14"/>
          <w:color w:val="auto"/>
        </w:rPr>
      </w:pPr>
    </w:p>
    <w:p>
      <w:pPr>
        <w:ind w:left="760" w:right="100" w:hanging="332"/>
        <w:spacing w:after="0" w:line="248" w:lineRule="auto"/>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actual value to be realized by a named executive officer depends upon the appreciation in value of the Company’s stock and the length of time the award is held. The grant date fair value of each PSU award was computed in accordance with FASB ASC Topic 718 based on assumptions discussed in Note 10 “Stock-Based Compensation” to the Company’s consolidated financial statements in the Form 10-K for the year ended December 31, 2023, as filed with the SEC, assuming target-level achievement. Threshold, target, and maximum awards are equal to 50%, 100%, and 150%, respectively, of the number of PSUs granted. The PSUs are earned based on achievement of certain performance goals over fiscal year 2024 and vest, to the extent achievement metrics are met, in two equal installments on or about March 2025 and December 31, 2025. The grant date fair value of each RSU award was computed in accordance with FASB ASC Topic 718 based on the closing stock price on the grant date. RSU awards to employees are generally subject to four-year vesting provisions.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Narrative Disclosure to Summary Compensation Table and Grant of Plan-Based Awards Table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Employment Agreements</w:t>
      </w:r>
    </w:p>
    <w:p>
      <w:pPr>
        <w:spacing w:after="0" w:line="210"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Prior to our IPO, we were party to employment agreements with Mr. Kao, Mr. Freeman and Ms. Maroney, which provided for an initial base salary of $350,000, $250,000 and $300,000, respectively</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20"/>
          </w:cols>
          <w:pgMar w:left="440" w:top="296" w:right="439" w:bottom="1440" w:gutter="0" w:footer="0" w:header="0"/>
        </w:sectPr>
      </w:pPr>
    </w:p>
    <w:bookmarkStart w:id="65" w:name="page66"/>
    <w:bookmarkEnd w:id="65"/>
    <w:p>
      <w:pPr>
        <w:ind w:right="6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(which was later increased for each NEO). In addition, each employment agreement provided for an annual cash incentive bonus with an initial target and maximum bonus opportunity equal to 25% and 50% of base salary for Mr. Kao, Mr. Freeman and Ms. Maroney (which was also later increased for each NEO). Ms. Maroney’s employment agreement also initially provided for a commission payment program, which did not apply in 2021 or thereafter.</w:t>
      </w:r>
    </w:p>
    <w:p>
      <w:pPr>
        <w:spacing w:after="0" w:line="17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connection with our IPO, we entered into amended and restated employment agreements with Mr. Kao, Mr. Freeman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Ms. Maroney, effective as of March 26, 2021, each of which superseded their prior employment agreements. In addition, we entered into</w:t>
      </w:r>
    </w:p>
    <w:p>
      <w:pPr>
        <w:spacing w:after="0" w:line="234" w:lineRule="auto"/>
        <w:rPr>
          <w:sz w:val="20"/>
          <w:szCs w:val="20"/>
          <w:color w:val="auto"/>
        </w:rPr>
      </w:pPr>
      <w:r>
        <w:rPr>
          <w:rFonts w:ascii="Arial" w:cs="Arial" w:eastAsia="Arial" w:hAnsi="Arial"/>
          <w:sz w:val="18"/>
          <w:szCs w:val="18"/>
          <w:color w:val="auto"/>
        </w:rPr>
        <w:t>an employment agreement with Mr. Kardes effective as of April 11, 2021; and we entered in to an employment agreement with Dr. Kim,</w:t>
      </w:r>
    </w:p>
    <w:p>
      <w:pPr>
        <w:spacing w:after="0" w:line="235" w:lineRule="auto"/>
        <w:rPr>
          <w:sz w:val="20"/>
          <w:szCs w:val="20"/>
          <w:color w:val="auto"/>
        </w:rPr>
      </w:pPr>
      <w:r>
        <w:rPr>
          <w:rFonts w:ascii="Arial" w:cs="Arial" w:eastAsia="Arial" w:hAnsi="Arial"/>
          <w:sz w:val="18"/>
          <w:szCs w:val="18"/>
          <w:color w:val="auto"/>
        </w:rPr>
        <w:t>effective as of September 25, 2023. The foregoing employment agreements are referred to herein as the “NEO Employment Agreements.”</w:t>
      </w:r>
    </w:p>
    <w:p>
      <w:pPr>
        <w:spacing w:after="0" w:line="235" w:lineRule="auto"/>
        <w:rPr>
          <w:sz w:val="20"/>
          <w:szCs w:val="20"/>
          <w:color w:val="auto"/>
        </w:rPr>
      </w:pPr>
      <w:r>
        <w:rPr>
          <w:rFonts w:ascii="Arial" w:cs="Arial" w:eastAsia="Arial" w:hAnsi="Arial"/>
          <w:sz w:val="18"/>
          <w:szCs w:val="18"/>
          <w:color w:val="auto"/>
        </w:rPr>
        <w:t>Each NEO Employment Agreement provides for an initial term of one year, which automatically renews for additional one-year periods</w:t>
      </w:r>
    </w:p>
    <w:p>
      <w:pPr>
        <w:spacing w:after="0" w:line="235" w:lineRule="auto"/>
        <w:rPr>
          <w:sz w:val="20"/>
          <w:szCs w:val="20"/>
          <w:color w:val="auto"/>
        </w:rPr>
      </w:pPr>
      <w:r>
        <w:rPr>
          <w:rFonts w:ascii="Arial" w:cs="Arial" w:eastAsia="Arial" w:hAnsi="Arial"/>
          <w:sz w:val="18"/>
          <w:szCs w:val="18"/>
          <w:color w:val="auto"/>
        </w:rPr>
        <w:t>until either the Company or the Named Executive Officer provides written notice within 90 days in advance of the next scheduled renewal</w:t>
      </w:r>
    </w:p>
    <w:p>
      <w:pPr>
        <w:spacing w:after="0" w:line="235" w:lineRule="auto"/>
        <w:rPr>
          <w:sz w:val="20"/>
          <w:szCs w:val="20"/>
          <w:color w:val="auto"/>
        </w:rPr>
      </w:pPr>
      <w:r>
        <w:rPr>
          <w:rFonts w:ascii="Arial" w:cs="Arial" w:eastAsia="Arial" w:hAnsi="Arial"/>
          <w:sz w:val="18"/>
          <w:szCs w:val="18"/>
          <w:color w:val="auto"/>
        </w:rPr>
        <w:t>date of an intent not to renew. The NEO Employment Agreements provided for an initial base salary as follows: $675,000 for Mr. Kao;</w:t>
      </w:r>
    </w:p>
    <w:p>
      <w:pPr>
        <w:spacing w:after="0" w:line="234" w:lineRule="auto"/>
        <w:rPr>
          <w:sz w:val="20"/>
          <w:szCs w:val="20"/>
          <w:color w:val="auto"/>
        </w:rPr>
      </w:pPr>
      <w:r>
        <w:rPr>
          <w:rFonts w:ascii="Arial" w:cs="Arial" w:eastAsia="Arial" w:hAnsi="Arial"/>
          <w:sz w:val="18"/>
          <w:szCs w:val="18"/>
          <w:color w:val="auto"/>
        </w:rPr>
        <w:t>$450,000 for Mr. Freeman; $550,000 for Ms. Maroney; $350,000 for Mr. Kardes; and $560,000 for Dr. Kim. In addition, each employment</w:t>
      </w:r>
    </w:p>
    <w:p>
      <w:pPr>
        <w:spacing w:after="0" w:line="235" w:lineRule="auto"/>
        <w:rPr>
          <w:sz w:val="20"/>
          <w:szCs w:val="20"/>
          <w:color w:val="auto"/>
        </w:rPr>
      </w:pPr>
      <w:r>
        <w:rPr>
          <w:rFonts w:ascii="Arial" w:cs="Arial" w:eastAsia="Arial" w:hAnsi="Arial"/>
          <w:sz w:val="18"/>
          <w:szCs w:val="18"/>
          <w:color w:val="auto"/>
        </w:rPr>
        <w:t>agreement provided for an annual cash incentive bonus with an initial target and maximum bonus opportunity equal to 100% and 200% of</w:t>
      </w:r>
    </w:p>
    <w:p>
      <w:pPr>
        <w:spacing w:after="0" w:line="235" w:lineRule="auto"/>
        <w:rPr>
          <w:sz w:val="20"/>
          <w:szCs w:val="20"/>
          <w:color w:val="auto"/>
        </w:rPr>
      </w:pPr>
      <w:r>
        <w:rPr>
          <w:rFonts w:ascii="Arial" w:cs="Arial" w:eastAsia="Arial" w:hAnsi="Arial"/>
          <w:sz w:val="18"/>
          <w:szCs w:val="18"/>
          <w:color w:val="auto"/>
        </w:rPr>
        <w:t>base salary for Mr. Kao; 50% and 100% of base salary for Mr. Freeman; 85% and 170% of base salary for Ms. Maroney; 25% and 50% of</w:t>
      </w:r>
    </w:p>
    <w:p>
      <w:pPr>
        <w:spacing w:after="0" w:line="235" w:lineRule="auto"/>
        <w:rPr>
          <w:sz w:val="20"/>
          <w:szCs w:val="20"/>
          <w:color w:val="auto"/>
        </w:rPr>
      </w:pPr>
      <w:r>
        <w:rPr>
          <w:rFonts w:ascii="Arial" w:cs="Arial" w:eastAsia="Arial" w:hAnsi="Arial"/>
          <w:sz w:val="18"/>
          <w:szCs w:val="18"/>
          <w:color w:val="auto"/>
        </w:rPr>
        <w:t>base salary for Mr. Kardes; and 85% and 170% of base salary for Dr. Kim. With the exception of Dr. Kim, each NEO has received</w:t>
      </w:r>
    </w:p>
    <w:p>
      <w:pPr>
        <w:spacing w:after="0"/>
        <w:rPr>
          <w:sz w:val="20"/>
          <w:szCs w:val="20"/>
          <w:color w:val="auto"/>
        </w:rPr>
      </w:pPr>
      <w:r>
        <w:rPr>
          <w:rFonts w:ascii="Arial" w:cs="Arial" w:eastAsia="Arial" w:hAnsi="Arial"/>
          <w:sz w:val="18"/>
          <w:szCs w:val="18"/>
          <w:color w:val="auto"/>
        </w:rPr>
        <w:t>increased to his or her base salary and target and maximum bonus opportunity percentages.</w:t>
      </w:r>
    </w:p>
    <w:p>
      <w:pPr>
        <w:spacing w:after="0" w:line="194" w:lineRule="exact"/>
        <w:rPr>
          <w:sz w:val="20"/>
          <w:szCs w:val="20"/>
          <w:color w:val="auto"/>
        </w:rPr>
      </w:pPr>
    </w:p>
    <w:p>
      <w:pPr>
        <w:ind w:right="40" w:firstLine="440"/>
        <w:spacing w:after="0" w:line="239" w:lineRule="auto"/>
        <w:rPr>
          <w:sz w:val="20"/>
          <w:szCs w:val="20"/>
          <w:color w:val="auto"/>
        </w:rPr>
      </w:pPr>
      <w:r>
        <w:rPr>
          <w:rFonts w:ascii="Arial" w:cs="Arial" w:eastAsia="Arial" w:hAnsi="Arial"/>
          <w:sz w:val="18"/>
          <w:szCs w:val="18"/>
          <w:color w:val="auto"/>
        </w:rPr>
        <w:t>Target bonus opportunities and payouts for each of the fiscal years shown in the tables above reflect the weighted average of the target bonus opportunity percentages for each applicable period throughout the fiscal year. In general, annual cash incentive bonuses are determined based on the achievement of performance goals established by the Board (or the Compensation Committee) within the first 90 days of the calendar year following the applicable performance year (or, with respect to the first calendar year of employment, within the first 30 days of the commencement of employment), and may be based on quantitative performance objectives for the Company or one or more of its affiliates, subsidiaries, business units or divisions, and/or individual quantitative or qualitative performance objectives or any combination of the foregoing. Base salaries and annual cash incentive bonus opportunities are reviewed by the Board at least annually and may be increased (but not decreased). For additional information on the 2023 Annual Incentive Plan, see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&amp; Analysis—2023 Executive Compensation Program in Detail—Annual Incentives</w:t>
      </w:r>
      <w:r>
        <w:rPr>
          <w:rFonts w:ascii="Arial" w:cs="Arial" w:eastAsia="Arial" w:hAnsi="Arial"/>
          <w:sz w:val="18"/>
          <w:szCs w:val="18"/>
          <w:color w:val="auto"/>
        </w:rPr>
        <w:t>” above.</w:t>
      </w:r>
    </w:p>
    <w:p>
      <w:pPr>
        <w:spacing w:after="0" w:line="183"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Each of our Named Executive Officers are entitled to severance payments and benefits upon a qualifying termination of employment as described below in “</w:t>
      </w:r>
      <w:r>
        <w:rPr>
          <w:rFonts w:ascii="Arial" w:cs="Arial" w:eastAsia="Arial" w:hAnsi="Arial"/>
          <w:sz w:val="18"/>
          <w:szCs w:val="18"/>
          <w:i w:val="1"/>
          <w:iCs w:val="1"/>
          <w:color w:val="auto"/>
        </w:rPr>
        <w:t>—Potential Payments Upon Termination or Change in Control</w:t>
      </w:r>
      <w:r>
        <w:rPr>
          <w:rFonts w:ascii="Arial" w:cs="Arial" w:eastAsia="Arial" w:hAnsi="Arial"/>
          <w:sz w:val="18"/>
          <w:szCs w:val="18"/>
          <w:color w:val="auto"/>
        </w:rPr>
        <w: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Outstanding Equity Awards at 2023 Fiscal Year End</w:t>
      </w:r>
    </w:p>
    <w:p>
      <w:pPr>
        <w:spacing w:after="0" w:line="212"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The following table summarizes, for each of the Named Executive Officers, the number of shares of our common stock underlying outstanding equity awards held as of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40" w:type="dxa"/>
            <w:vAlign w:val="bottom"/>
            <w:gridSpan w:val="5"/>
          </w:tcPr>
          <w:p>
            <w:pPr>
              <w:ind w:left="740"/>
              <w:spacing w:after="0"/>
              <w:rPr>
                <w:sz w:val="20"/>
                <w:szCs w:val="20"/>
                <w:color w:val="auto"/>
              </w:rPr>
            </w:pPr>
            <w:r>
              <w:rPr>
                <w:rFonts w:ascii="Arial" w:cs="Arial" w:eastAsia="Arial" w:hAnsi="Arial"/>
                <w:sz w:val="11"/>
                <w:szCs w:val="11"/>
                <w:b w:val="1"/>
                <w:bCs w:val="1"/>
                <w:color w:val="auto"/>
              </w:rPr>
              <w:t>Option Awards</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gridSpan w:val="4"/>
          </w:tcPr>
          <w:p>
            <w:pPr>
              <w:ind w:left="80"/>
              <w:spacing w:after="0"/>
              <w:rPr>
                <w:sz w:val="20"/>
                <w:szCs w:val="20"/>
                <w:color w:val="auto"/>
              </w:rPr>
            </w:pPr>
            <w:r>
              <w:rPr>
                <w:rFonts w:ascii="Arial" w:cs="Arial" w:eastAsia="Arial" w:hAnsi="Arial"/>
                <w:sz w:val="11"/>
                <w:szCs w:val="11"/>
                <w:b w:val="1"/>
                <w:bCs w:val="1"/>
                <w:color w:val="auto"/>
              </w:rPr>
              <w:t>Stock Awards</w:t>
            </w:r>
          </w:p>
        </w:tc>
        <w:tc>
          <w:tcPr>
            <w:tcW w:w="0" w:type="dxa"/>
            <w:vAlign w:val="bottom"/>
          </w:tcPr>
          <w:p>
            <w:pPr>
              <w:spacing w:after="0"/>
              <w:rPr>
                <w:sz w:val="1"/>
                <w:szCs w:val="1"/>
                <w:color w:val="auto"/>
              </w:rPr>
            </w:pPr>
          </w:p>
        </w:tc>
      </w:tr>
      <w:tr>
        <w:trPr>
          <w:trHeight w:val="81"/>
        </w:trPr>
        <w:tc>
          <w:tcPr>
            <w:tcW w:w="3020" w:type="dxa"/>
            <w:vAlign w:val="bottom"/>
            <w:tcBorders>
              <w:top w:val="single" w:sz="8" w:color="95B3D7"/>
              <w:bottom w:val="single" w:sz="8" w:color="95B3D7"/>
            </w:tcBorders>
          </w:tcPr>
          <w:p>
            <w:pPr>
              <w:spacing w:after="0"/>
              <w:rPr>
                <w:sz w:val="7"/>
                <w:szCs w:val="7"/>
                <w:color w:val="auto"/>
              </w:rPr>
            </w:pPr>
          </w:p>
        </w:tc>
        <w:tc>
          <w:tcPr>
            <w:tcW w:w="180" w:type="dxa"/>
            <w:vAlign w:val="bottom"/>
            <w:tcBorders>
              <w:bottom w:val="single" w:sz="8" w:color="95B3D7"/>
            </w:tcBorders>
          </w:tcPr>
          <w:p>
            <w:pPr>
              <w:spacing w:after="0"/>
              <w:rPr>
                <w:sz w:val="7"/>
                <w:szCs w:val="7"/>
                <w:color w:val="auto"/>
              </w:rPr>
            </w:pPr>
          </w:p>
        </w:tc>
        <w:tc>
          <w:tcPr>
            <w:tcW w:w="620" w:type="dxa"/>
            <w:vAlign w:val="bottom"/>
            <w:tcBorders>
              <w:top w:val="single" w:sz="8" w:color="95B3D7"/>
              <w:bottom w:val="single" w:sz="8" w:color="95B3D7"/>
            </w:tcBorders>
          </w:tcPr>
          <w:p>
            <w:pPr>
              <w:spacing w:after="0"/>
              <w:rPr>
                <w:sz w:val="7"/>
                <w:szCs w:val="7"/>
                <w:color w:val="auto"/>
              </w:rPr>
            </w:pPr>
          </w:p>
        </w:tc>
        <w:tc>
          <w:tcPr>
            <w:tcW w:w="60" w:type="dxa"/>
            <w:vAlign w:val="bottom"/>
            <w:tcBorders>
              <w:bottom w:val="single" w:sz="8" w:color="95B3D7"/>
            </w:tcBorders>
          </w:tcPr>
          <w:p>
            <w:pPr>
              <w:spacing w:after="0"/>
              <w:rPr>
                <w:sz w:val="7"/>
                <w:szCs w:val="7"/>
                <w:color w:val="auto"/>
              </w:rPr>
            </w:pPr>
          </w:p>
        </w:tc>
        <w:tc>
          <w:tcPr>
            <w:tcW w:w="180" w:type="dxa"/>
            <w:vAlign w:val="bottom"/>
            <w:tcBorders>
              <w:bottom w:val="single" w:sz="8" w:color="95B3D7"/>
            </w:tcBorders>
          </w:tcPr>
          <w:p>
            <w:pPr>
              <w:spacing w:after="0"/>
              <w:rPr>
                <w:sz w:val="7"/>
                <w:szCs w:val="7"/>
                <w:color w:val="auto"/>
              </w:rPr>
            </w:pPr>
          </w:p>
        </w:tc>
        <w:tc>
          <w:tcPr>
            <w:tcW w:w="760" w:type="dxa"/>
            <w:vAlign w:val="bottom"/>
            <w:tcBorders>
              <w:top w:val="single" w:sz="8" w:color="95B3D7"/>
              <w:bottom w:val="single" w:sz="8" w:color="95B3D7"/>
            </w:tcBorders>
          </w:tcPr>
          <w:p>
            <w:pPr>
              <w:spacing w:after="0"/>
              <w:rPr>
                <w:sz w:val="7"/>
                <w:szCs w:val="7"/>
                <w:color w:val="auto"/>
              </w:rPr>
            </w:pPr>
          </w:p>
        </w:tc>
        <w:tc>
          <w:tcPr>
            <w:tcW w:w="60" w:type="dxa"/>
            <w:vAlign w:val="bottom"/>
            <w:tcBorders>
              <w:top w:val="single" w:sz="8" w:color="95B3D7"/>
              <w:bottom w:val="single" w:sz="8" w:color="95B3D7"/>
            </w:tcBorders>
          </w:tcPr>
          <w:p>
            <w:pPr>
              <w:spacing w:after="0"/>
              <w:rPr>
                <w:sz w:val="7"/>
                <w:szCs w:val="7"/>
                <w:color w:val="auto"/>
              </w:rPr>
            </w:pPr>
          </w:p>
        </w:tc>
        <w:tc>
          <w:tcPr>
            <w:tcW w:w="200" w:type="dxa"/>
            <w:vAlign w:val="bottom"/>
            <w:tcBorders>
              <w:top w:val="single" w:sz="8" w:color="95B3D7"/>
              <w:bottom w:val="single" w:sz="8" w:color="95B3D7"/>
            </w:tcBorders>
          </w:tcPr>
          <w:p>
            <w:pPr>
              <w:spacing w:after="0"/>
              <w:rPr>
                <w:sz w:val="7"/>
                <w:szCs w:val="7"/>
                <w:color w:val="auto"/>
              </w:rPr>
            </w:pPr>
          </w:p>
        </w:tc>
        <w:tc>
          <w:tcPr>
            <w:tcW w:w="900" w:type="dxa"/>
            <w:vAlign w:val="bottom"/>
            <w:tcBorders>
              <w:top w:val="single" w:sz="8" w:color="95B3D7"/>
              <w:bottom w:val="single" w:sz="8" w:color="95B3D7"/>
            </w:tcBorders>
          </w:tcPr>
          <w:p>
            <w:pPr>
              <w:spacing w:after="0"/>
              <w:rPr>
                <w:sz w:val="7"/>
                <w:szCs w:val="7"/>
                <w:color w:val="auto"/>
              </w:rPr>
            </w:pPr>
          </w:p>
        </w:tc>
        <w:tc>
          <w:tcPr>
            <w:tcW w:w="60" w:type="dxa"/>
            <w:vAlign w:val="bottom"/>
            <w:tcBorders>
              <w:top w:val="single" w:sz="8" w:color="95B3D7"/>
              <w:bottom w:val="single" w:sz="8" w:color="95B3D7"/>
            </w:tcBorders>
          </w:tcPr>
          <w:p>
            <w:pPr>
              <w:spacing w:after="0"/>
              <w:rPr>
                <w:sz w:val="7"/>
                <w:szCs w:val="7"/>
                <w:color w:val="auto"/>
              </w:rPr>
            </w:pPr>
          </w:p>
        </w:tc>
        <w:tc>
          <w:tcPr>
            <w:tcW w:w="180" w:type="dxa"/>
            <w:vAlign w:val="bottom"/>
            <w:tcBorders>
              <w:top w:val="single" w:sz="8" w:color="95B3D7"/>
              <w:bottom w:val="single" w:sz="8" w:color="95B3D7"/>
            </w:tcBorders>
          </w:tcPr>
          <w:p>
            <w:pPr>
              <w:spacing w:after="0"/>
              <w:rPr>
                <w:sz w:val="7"/>
                <w:szCs w:val="7"/>
                <w:color w:val="auto"/>
              </w:rPr>
            </w:pPr>
          </w:p>
        </w:tc>
        <w:tc>
          <w:tcPr>
            <w:tcW w:w="640" w:type="dxa"/>
            <w:vAlign w:val="bottom"/>
            <w:tcBorders>
              <w:top w:val="single" w:sz="8" w:color="95B3D7"/>
              <w:bottom w:val="single" w:sz="8" w:color="95B3D7"/>
            </w:tcBorders>
          </w:tcPr>
          <w:p>
            <w:pPr>
              <w:spacing w:after="0"/>
              <w:rPr>
                <w:sz w:val="7"/>
                <w:szCs w:val="7"/>
                <w:color w:val="auto"/>
              </w:rPr>
            </w:pPr>
          </w:p>
        </w:tc>
        <w:tc>
          <w:tcPr>
            <w:tcW w:w="60" w:type="dxa"/>
            <w:vAlign w:val="bottom"/>
            <w:tcBorders>
              <w:top w:val="single" w:sz="8" w:color="95B3D7"/>
              <w:bottom w:val="single" w:sz="8" w:color="95B3D7"/>
            </w:tcBorders>
          </w:tcPr>
          <w:p>
            <w:pPr>
              <w:spacing w:after="0"/>
              <w:rPr>
                <w:sz w:val="7"/>
                <w:szCs w:val="7"/>
                <w:color w:val="auto"/>
              </w:rPr>
            </w:pPr>
          </w:p>
        </w:tc>
        <w:tc>
          <w:tcPr>
            <w:tcW w:w="200" w:type="dxa"/>
            <w:vAlign w:val="bottom"/>
            <w:tcBorders>
              <w:top w:val="single" w:sz="8" w:color="95B3D7"/>
              <w:bottom w:val="single" w:sz="8" w:color="95B3D7"/>
            </w:tcBorders>
          </w:tcPr>
          <w:p>
            <w:pPr>
              <w:spacing w:after="0"/>
              <w:rPr>
                <w:sz w:val="7"/>
                <w:szCs w:val="7"/>
                <w:color w:val="auto"/>
              </w:rPr>
            </w:pPr>
          </w:p>
        </w:tc>
        <w:tc>
          <w:tcPr>
            <w:tcW w:w="440" w:type="dxa"/>
            <w:vAlign w:val="bottom"/>
            <w:tcBorders>
              <w:top w:val="single" w:sz="8" w:color="95B3D7"/>
              <w:bottom w:val="single" w:sz="8" w:color="95B3D7"/>
            </w:tcBorders>
          </w:tcPr>
          <w:p>
            <w:pPr>
              <w:spacing w:after="0"/>
              <w:rPr>
                <w:sz w:val="7"/>
                <w:szCs w:val="7"/>
                <w:color w:val="auto"/>
              </w:rPr>
            </w:pPr>
          </w:p>
        </w:tc>
        <w:tc>
          <w:tcPr>
            <w:tcW w:w="60" w:type="dxa"/>
            <w:vAlign w:val="bottom"/>
            <w:tcBorders>
              <w:top w:val="single" w:sz="8" w:color="95B3D7"/>
              <w:bottom w:val="single" w:sz="8" w:color="95B3D7"/>
            </w:tcBorders>
          </w:tcPr>
          <w:p>
            <w:pPr>
              <w:spacing w:after="0"/>
              <w:rPr>
                <w:sz w:val="7"/>
                <w:szCs w:val="7"/>
                <w:color w:val="auto"/>
              </w:rPr>
            </w:pPr>
          </w:p>
        </w:tc>
        <w:tc>
          <w:tcPr>
            <w:tcW w:w="200" w:type="dxa"/>
            <w:vAlign w:val="bottom"/>
            <w:tcBorders>
              <w:top w:val="single" w:sz="8" w:color="95B3D7"/>
              <w:bottom w:val="single" w:sz="8" w:color="95B3D7"/>
            </w:tcBorders>
          </w:tcPr>
          <w:p>
            <w:pPr>
              <w:spacing w:after="0"/>
              <w:rPr>
                <w:sz w:val="7"/>
                <w:szCs w:val="7"/>
                <w:color w:val="auto"/>
              </w:rPr>
            </w:pPr>
          </w:p>
        </w:tc>
        <w:tc>
          <w:tcPr>
            <w:tcW w:w="540" w:type="dxa"/>
            <w:vAlign w:val="bottom"/>
            <w:tcBorders>
              <w:top w:val="single" w:sz="8" w:color="95B3D7"/>
              <w:bottom w:val="single" w:sz="8" w:color="95B3D7"/>
            </w:tcBorders>
          </w:tcPr>
          <w:p>
            <w:pPr>
              <w:spacing w:after="0"/>
              <w:rPr>
                <w:sz w:val="7"/>
                <w:szCs w:val="7"/>
                <w:color w:val="auto"/>
              </w:rPr>
            </w:pPr>
          </w:p>
        </w:tc>
        <w:tc>
          <w:tcPr>
            <w:tcW w:w="200" w:type="dxa"/>
            <w:vAlign w:val="bottom"/>
            <w:tcBorders>
              <w:bottom w:val="single" w:sz="8" w:color="95B3D7"/>
            </w:tcBorders>
          </w:tcPr>
          <w:p>
            <w:pPr>
              <w:spacing w:after="0"/>
              <w:rPr>
                <w:sz w:val="7"/>
                <w:szCs w:val="7"/>
                <w:color w:val="auto"/>
              </w:rPr>
            </w:pPr>
          </w:p>
        </w:tc>
        <w:tc>
          <w:tcPr>
            <w:tcW w:w="280" w:type="dxa"/>
            <w:vAlign w:val="bottom"/>
            <w:tcBorders>
              <w:bottom w:val="single" w:sz="8" w:color="95B3D7"/>
            </w:tcBorders>
          </w:tcPr>
          <w:p>
            <w:pPr>
              <w:spacing w:after="0"/>
              <w:rPr>
                <w:sz w:val="7"/>
                <w:szCs w:val="7"/>
                <w:color w:val="auto"/>
              </w:rPr>
            </w:pPr>
          </w:p>
        </w:tc>
        <w:tc>
          <w:tcPr>
            <w:tcW w:w="520" w:type="dxa"/>
            <w:vAlign w:val="bottom"/>
            <w:tcBorders>
              <w:top w:val="single" w:sz="8" w:color="95B3D7"/>
              <w:bottom w:val="single" w:sz="8" w:color="95B3D7"/>
            </w:tcBorders>
          </w:tcPr>
          <w:p>
            <w:pPr>
              <w:spacing w:after="0"/>
              <w:rPr>
                <w:sz w:val="7"/>
                <w:szCs w:val="7"/>
                <w:color w:val="auto"/>
              </w:rPr>
            </w:pPr>
          </w:p>
        </w:tc>
        <w:tc>
          <w:tcPr>
            <w:tcW w:w="100" w:type="dxa"/>
            <w:vAlign w:val="bottom"/>
            <w:tcBorders>
              <w:top w:val="single" w:sz="8" w:color="95B3D7"/>
              <w:bottom w:val="single" w:sz="8" w:color="95B3D7"/>
            </w:tcBorders>
          </w:tcPr>
          <w:p>
            <w:pPr>
              <w:spacing w:after="0"/>
              <w:rPr>
                <w:sz w:val="7"/>
                <w:szCs w:val="7"/>
                <w:color w:val="auto"/>
              </w:rPr>
            </w:pPr>
          </w:p>
        </w:tc>
        <w:tc>
          <w:tcPr>
            <w:tcW w:w="200" w:type="dxa"/>
            <w:vAlign w:val="bottom"/>
            <w:tcBorders>
              <w:top w:val="single" w:sz="8" w:color="95B3D7"/>
              <w:bottom w:val="single" w:sz="8" w:color="95B3D7"/>
            </w:tcBorders>
          </w:tcPr>
          <w:p>
            <w:pPr>
              <w:spacing w:after="0"/>
              <w:rPr>
                <w:sz w:val="7"/>
                <w:szCs w:val="7"/>
                <w:color w:val="auto"/>
              </w:rPr>
            </w:pPr>
          </w:p>
        </w:tc>
        <w:tc>
          <w:tcPr>
            <w:tcW w:w="380" w:type="dxa"/>
            <w:vAlign w:val="bottom"/>
            <w:tcBorders>
              <w:top w:val="single" w:sz="8" w:color="95B3D7"/>
              <w:bottom w:val="single" w:sz="8" w:color="95B3D7"/>
            </w:tcBorders>
          </w:tcPr>
          <w:p>
            <w:pPr>
              <w:spacing w:after="0"/>
              <w:rPr>
                <w:sz w:val="7"/>
                <w:szCs w:val="7"/>
                <w:color w:val="auto"/>
              </w:rPr>
            </w:pPr>
          </w:p>
        </w:tc>
        <w:tc>
          <w:tcPr>
            <w:tcW w:w="940" w:type="dxa"/>
            <w:vAlign w:val="bottom"/>
            <w:tcBorders>
              <w:top w:val="single" w:sz="8" w:color="95B3D7"/>
              <w:bottom w:val="single" w:sz="8" w:color="95B3D7"/>
            </w:tcBorders>
          </w:tcPr>
          <w:p>
            <w:pPr>
              <w:spacing w:after="0"/>
              <w:rPr>
                <w:sz w:val="7"/>
                <w:szCs w:val="7"/>
                <w:color w:val="auto"/>
              </w:rPr>
            </w:pPr>
          </w:p>
        </w:tc>
        <w:tc>
          <w:tcPr>
            <w:tcW w:w="40" w:type="dxa"/>
            <w:vAlign w:val="bottom"/>
            <w:tcBorders>
              <w:bottom w:val="single" w:sz="8" w:color="95B3D7"/>
            </w:tcBorders>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3020" w:type="dxa"/>
            <w:vAlign w:val="bottom"/>
            <w:tcBorders>
              <w:right w:val="single" w:sz="8" w:color="95B3D7"/>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Borders>
              <w:right w:val="single" w:sz="8" w:color="95B3D7"/>
            </w:tcBorders>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Borders>
              <w:right w:val="single" w:sz="8" w:color="95B3D7"/>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Borders>
              <w:right w:val="single" w:sz="8" w:color="95B3D7"/>
            </w:tcBorders>
          </w:tcPr>
          <w:p>
            <w:pPr>
              <w:spacing w:after="0"/>
              <w:rPr>
                <w:sz w:val="8"/>
                <w:szCs w:val="8"/>
                <w:color w:val="auto"/>
              </w:rPr>
            </w:pPr>
          </w:p>
        </w:tc>
        <w:tc>
          <w:tcPr>
            <w:tcW w:w="880" w:type="dxa"/>
            <w:vAlign w:val="bottom"/>
            <w:tcBorders>
              <w:right w:val="single" w:sz="8" w:color="95B3D7"/>
            </w:tcBorders>
            <w:gridSpan w:val="3"/>
          </w:tcPr>
          <w:p>
            <w:pPr>
              <w:ind w:left="180"/>
              <w:spacing w:after="0" w:line="102" w:lineRule="exact"/>
              <w:rPr>
                <w:sz w:val="20"/>
                <w:szCs w:val="20"/>
                <w:color w:val="auto"/>
              </w:rPr>
            </w:pPr>
            <w:r>
              <w:rPr>
                <w:rFonts w:ascii="Arial" w:cs="Arial" w:eastAsia="Arial" w:hAnsi="Arial"/>
                <w:sz w:val="11"/>
                <w:szCs w:val="11"/>
                <w:b w:val="1"/>
                <w:bCs w:val="1"/>
                <w:color w:val="auto"/>
              </w:rPr>
              <w:t>Equity</w:t>
            </w: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Borders>
              <w:right w:val="single" w:sz="8" w:color="95B3D7"/>
            </w:tcBorders>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Borders>
              <w:right w:val="single" w:sz="8" w:color="95B3D7"/>
            </w:tcBorders>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Borders>
              <w:right w:val="single" w:sz="8" w:color="95B3D7"/>
            </w:tcBorders>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302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8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Incentive</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right w:val="single" w:sz="8" w:color="95B3D7"/>
            </w:tcBorders>
          </w:tcPr>
          <w:p>
            <w:pPr>
              <w:spacing w:after="0"/>
              <w:rPr>
                <w:sz w:val="10"/>
                <w:szCs w:val="10"/>
                <w:color w:val="auto"/>
              </w:rPr>
            </w:pPr>
          </w:p>
        </w:tc>
        <w:tc>
          <w:tcPr>
            <w:tcW w:w="90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rPr>
              <w:t>Number</w:t>
            </w:r>
          </w:p>
        </w:tc>
        <w:tc>
          <w:tcPr>
            <w:tcW w:w="200" w:type="dxa"/>
            <w:vAlign w:val="bottom"/>
            <w:tcBorders>
              <w:right w:val="single" w:sz="8" w:color="95B3D7"/>
            </w:tcBorders>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8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Plan</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right w:val="single" w:sz="8" w:color="95B3D7"/>
            </w:tcBorders>
          </w:tcPr>
          <w:p>
            <w:pPr>
              <w:spacing w:after="0"/>
              <w:rPr>
                <w:sz w:val="10"/>
                <w:szCs w:val="10"/>
                <w:color w:val="auto"/>
              </w:rPr>
            </w:pPr>
          </w:p>
        </w:tc>
        <w:tc>
          <w:tcPr>
            <w:tcW w:w="90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rPr>
              <w:t>of</w:t>
            </w:r>
          </w:p>
        </w:tc>
        <w:tc>
          <w:tcPr>
            <w:tcW w:w="200" w:type="dxa"/>
            <w:vAlign w:val="bottom"/>
            <w:tcBorders>
              <w:right w:val="single" w:sz="8" w:color="95B3D7"/>
            </w:tcBorders>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88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Awards:</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right w:val="single" w:sz="8" w:color="95B3D7"/>
            </w:tcBorders>
          </w:tcPr>
          <w:p>
            <w:pPr>
              <w:spacing w:after="0"/>
              <w:rPr>
                <w:sz w:val="10"/>
                <w:szCs w:val="10"/>
                <w:color w:val="auto"/>
              </w:rPr>
            </w:pPr>
          </w:p>
        </w:tc>
        <w:tc>
          <w:tcPr>
            <w:tcW w:w="90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rPr>
              <w:t>Shares</w:t>
            </w:r>
          </w:p>
        </w:tc>
        <w:tc>
          <w:tcPr>
            <w:tcW w:w="200" w:type="dxa"/>
            <w:vAlign w:val="bottom"/>
            <w:tcBorders>
              <w:right w:val="single" w:sz="8" w:color="95B3D7"/>
            </w:tcBorders>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100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10"/>
                <w:szCs w:val="10"/>
                <w:color w:val="auto"/>
              </w:rPr>
            </w:pPr>
          </w:p>
        </w:tc>
        <w:tc>
          <w:tcPr>
            <w:tcW w:w="960" w:type="dxa"/>
            <w:vAlign w:val="bottom"/>
            <w:tcBorders>
              <w:right w:val="single" w:sz="8" w:color="95B3D7"/>
            </w:tcBorders>
            <w:gridSpan w:val="2"/>
          </w:tcPr>
          <w:p>
            <w:pPr>
              <w:spacing w:after="0" w:line="122" w:lineRule="exact"/>
              <w:rPr>
                <w:sz w:val="20"/>
                <w:szCs w:val="20"/>
                <w:color w:val="auto"/>
              </w:rPr>
            </w:pPr>
            <w:r>
              <w:rPr>
                <w:rFonts w:ascii="Arial" w:cs="Arial" w:eastAsia="Arial" w:hAnsi="Arial"/>
                <w:sz w:val="11"/>
                <w:szCs w:val="11"/>
                <w:b w:val="1"/>
                <w:bCs w:val="1"/>
                <w:color w:val="auto"/>
              </w:rPr>
              <w:t>Number of</w:t>
            </w:r>
          </w:p>
        </w:tc>
        <w:tc>
          <w:tcPr>
            <w:tcW w:w="88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Number of</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right w:val="single" w:sz="8" w:color="95B3D7"/>
            </w:tcBorders>
          </w:tcPr>
          <w:p>
            <w:pPr>
              <w:spacing w:after="0"/>
              <w:rPr>
                <w:sz w:val="10"/>
                <w:szCs w:val="10"/>
                <w:color w:val="auto"/>
              </w:rPr>
            </w:pPr>
          </w:p>
        </w:tc>
        <w:tc>
          <w:tcPr>
            <w:tcW w:w="90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rPr>
              <w:t>or Units</w:t>
            </w:r>
          </w:p>
        </w:tc>
        <w:tc>
          <w:tcPr>
            <w:tcW w:w="200" w:type="dxa"/>
            <w:vAlign w:val="bottom"/>
            <w:tcBorders>
              <w:right w:val="single" w:sz="8" w:color="95B3D7"/>
            </w:tcBorders>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02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100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960" w:type="dxa"/>
            <w:vAlign w:val="bottom"/>
            <w:tcBorders>
              <w:right w:val="single" w:sz="8" w:color="95B3D7"/>
            </w:tcBorders>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88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Securities</w:t>
            </w: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right w:val="single" w:sz="8" w:color="95B3D7"/>
            </w:tcBorders>
          </w:tcPr>
          <w:p>
            <w:pPr>
              <w:spacing w:after="0"/>
              <w:rPr>
                <w:sz w:val="10"/>
                <w:szCs w:val="10"/>
                <w:color w:val="auto"/>
              </w:rPr>
            </w:pPr>
          </w:p>
        </w:tc>
        <w:tc>
          <w:tcPr>
            <w:tcW w:w="90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rPr>
              <w:t>of Stock</w:t>
            </w:r>
          </w:p>
        </w:tc>
        <w:tc>
          <w:tcPr>
            <w:tcW w:w="200" w:type="dxa"/>
            <w:vAlign w:val="bottom"/>
            <w:tcBorders>
              <w:right w:val="single" w:sz="8" w:color="95B3D7"/>
            </w:tcBorders>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Market Value of</w:t>
            </w:r>
          </w:p>
        </w:tc>
        <w:tc>
          <w:tcPr>
            <w:tcW w:w="0" w:type="dxa"/>
            <w:vAlign w:val="bottom"/>
          </w:tcPr>
          <w:p>
            <w:pPr>
              <w:spacing w:after="0"/>
              <w:rPr>
                <w:sz w:val="1"/>
                <w:szCs w:val="1"/>
                <w:color w:val="auto"/>
              </w:rPr>
            </w:pPr>
          </w:p>
        </w:tc>
      </w:tr>
      <w:tr>
        <w:trPr>
          <w:trHeight w:val="122"/>
        </w:trPr>
        <w:tc>
          <w:tcPr>
            <w:tcW w:w="3020" w:type="dxa"/>
            <w:vAlign w:val="bottom"/>
            <w:tcBorders>
              <w:right w:val="single" w:sz="8" w:color="95B3D7"/>
            </w:tcBorders>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100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Underlying</w:t>
            </w:r>
          </w:p>
        </w:tc>
        <w:tc>
          <w:tcPr>
            <w:tcW w:w="200" w:type="dxa"/>
            <w:vAlign w:val="bottom"/>
          </w:tcPr>
          <w:p>
            <w:pPr>
              <w:spacing w:after="0"/>
              <w:rPr>
                <w:sz w:val="10"/>
                <w:szCs w:val="10"/>
                <w:color w:val="auto"/>
              </w:rPr>
            </w:pPr>
          </w:p>
        </w:tc>
        <w:tc>
          <w:tcPr>
            <w:tcW w:w="960" w:type="dxa"/>
            <w:vAlign w:val="bottom"/>
            <w:tcBorders>
              <w:right w:val="single" w:sz="8" w:color="95B3D7"/>
            </w:tcBorders>
            <w:gridSpan w:val="2"/>
          </w:tcPr>
          <w:p>
            <w:pPr>
              <w:spacing w:after="0" w:line="122" w:lineRule="exact"/>
              <w:rPr>
                <w:sz w:val="20"/>
                <w:szCs w:val="20"/>
                <w:color w:val="auto"/>
              </w:rPr>
            </w:pPr>
            <w:r>
              <w:rPr>
                <w:rFonts w:ascii="Arial" w:cs="Arial" w:eastAsia="Arial" w:hAnsi="Arial"/>
                <w:sz w:val="11"/>
                <w:szCs w:val="11"/>
                <w:b w:val="1"/>
                <w:bCs w:val="1"/>
                <w:color w:val="auto"/>
              </w:rPr>
              <w:t>Underlying</w:t>
            </w:r>
          </w:p>
        </w:tc>
        <w:tc>
          <w:tcPr>
            <w:tcW w:w="880" w:type="dxa"/>
            <w:vAlign w:val="bottom"/>
            <w:tcBorders>
              <w:right w:val="single" w:sz="8" w:color="95B3D7"/>
            </w:tcBorders>
            <w:gridSpan w:val="3"/>
          </w:tcPr>
          <w:p>
            <w:pPr>
              <w:ind w:left="180"/>
              <w:spacing w:after="0" w:line="122" w:lineRule="exact"/>
              <w:rPr>
                <w:sz w:val="20"/>
                <w:szCs w:val="20"/>
                <w:color w:val="auto"/>
              </w:rPr>
            </w:pPr>
            <w:r>
              <w:rPr>
                <w:rFonts w:ascii="Arial" w:cs="Arial" w:eastAsia="Arial" w:hAnsi="Arial"/>
                <w:sz w:val="11"/>
                <w:szCs w:val="11"/>
                <w:b w:val="1"/>
                <w:bCs w:val="1"/>
                <w:color w:val="auto"/>
              </w:rPr>
              <w:t>Underlying</w:t>
            </w:r>
          </w:p>
        </w:tc>
        <w:tc>
          <w:tcPr>
            <w:tcW w:w="700" w:type="dxa"/>
            <w:vAlign w:val="bottom"/>
            <w:tcBorders>
              <w:right w:val="single" w:sz="8" w:color="95B3D7"/>
            </w:tcBorders>
            <w:gridSpan w:val="3"/>
          </w:tcPr>
          <w:p>
            <w:pPr>
              <w:ind w:left="200"/>
              <w:spacing w:after="0" w:line="122" w:lineRule="exact"/>
              <w:rPr>
                <w:sz w:val="20"/>
                <w:szCs w:val="20"/>
                <w:color w:val="auto"/>
              </w:rPr>
            </w:pPr>
            <w:r>
              <w:rPr>
                <w:rFonts w:ascii="Arial" w:cs="Arial" w:eastAsia="Arial" w:hAnsi="Arial"/>
                <w:sz w:val="11"/>
                <w:szCs w:val="11"/>
                <w:b w:val="1"/>
                <w:bCs w:val="1"/>
                <w:color w:val="auto"/>
              </w:rPr>
              <w:t>Option</w:t>
            </w:r>
          </w:p>
        </w:tc>
        <w:tc>
          <w:tcPr>
            <w:tcW w:w="940" w:type="dxa"/>
            <w:vAlign w:val="bottom"/>
            <w:tcBorders>
              <w:right w:val="single" w:sz="8" w:color="95B3D7"/>
            </w:tcBorders>
            <w:gridSpan w:val="3"/>
          </w:tcPr>
          <w:p>
            <w:pPr>
              <w:ind w:left="200"/>
              <w:spacing w:after="0" w:line="122" w:lineRule="exact"/>
              <w:rPr>
                <w:sz w:val="20"/>
                <w:szCs w:val="20"/>
                <w:color w:val="auto"/>
              </w:rPr>
            </w:pPr>
            <w:r>
              <w:rPr>
                <w:rFonts w:ascii="Arial" w:cs="Arial" w:eastAsia="Arial" w:hAnsi="Arial"/>
                <w:sz w:val="11"/>
                <w:szCs w:val="11"/>
                <w:b w:val="1"/>
                <w:bCs w:val="1"/>
                <w:color w:val="auto"/>
              </w:rPr>
              <w:t>Option</w:t>
            </w:r>
          </w:p>
        </w:tc>
        <w:tc>
          <w:tcPr>
            <w:tcW w:w="900" w:type="dxa"/>
            <w:vAlign w:val="bottom"/>
            <w:gridSpan w:val="3"/>
          </w:tcPr>
          <w:p>
            <w:pPr>
              <w:ind w:left="280"/>
              <w:spacing w:after="0" w:line="122" w:lineRule="exact"/>
              <w:rPr>
                <w:sz w:val="20"/>
                <w:szCs w:val="20"/>
                <w:color w:val="auto"/>
              </w:rPr>
            </w:pPr>
            <w:r>
              <w:rPr>
                <w:rFonts w:ascii="Arial" w:cs="Arial" w:eastAsia="Arial" w:hAnsi="Arial"/>
                <w:sz w:val="11"/>
                <w:szCs w:val="11"/>
                <w:b w:val="1"/>
                <w:bCs w:val="1"/>
                <w:color w:val="auto"/>
              </w:rPr>
              <w:t>That</w:t>
            </w:r>
          </w:p>
        </w:tc>
        <w:tc>
          <w:tcPr>
            <w:tcW w:w="200" w:type="dxa"/>
            <w:vAlign w:val="bottom"/>
            <w:tcBorders>
              <w:right w:val="single" w:sz="8" w:color="95B3D7"/>
            </w:tcBorders>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Shares or Units of</w:t>
            </w:r>
          </w:p>
        </w:tc>
        <w:tc>
          <w:tcPr>
            <w:tcW w:w="0" w:type="dxa"/>
            <w:vAlign w:val="bottom"/>
          </w:tcPr>
          <w:p>
            <w:pPr>
              <w:spacing w:after="0"/>
              <w:rPr>
                <w:sz w:val="1"/>
                <w:szCs w:val="1"/>
                <w:color w:val="auto"/>
              </w:rPr>
            </w:pPr>
          </w:p>
        </w:tc>
      </w:tr>
      <w:tr>
        <w:trPr>
          <w:trHeight w:val="121"/>
        </w:trPr>
        <w:tc>
          <w:tcPr>
            <w:tcW w:w="3020" w:type="dxa"/>
            <w:vAlign w:val="bottom"/>
            <w:tcBorders>
              <w:right w:val="single" w:sz="8" w:color="95B3D7"/>
            </w:tcBorders>
            <w:vMerge w:val="restart"/>
          </w:tcPr>
          <w:p>
            <w:pPr>
              <w:ind w:left="140"/>
              <w:spacing w:after="0"/>
              <w:rPr>
                <w:sz w:val="20"/>
                <w:szCs w:val="20"/>
                <w:color w:val="auto"/>
              </w:rPr>
            </w:pPr>
            <w:r>
              <w:rPr>
                <w:rFonts w:ascii="Arial" w:cs="Arial" w:eastAsia="Arial" w:hAnsi="Arial"/>
                <w:sz w:val="11"/>
                <w:szCs w:val="11"/>
                <w:b w:val="1"/>
                <w:bCs w:val="1"/>
                <w:color w:val="auto"/>
              </w:rPr>
              <w:t> </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Borders>
              <w:right w:val="single" w:sz="8" w:color="95B3D7"/>
            </w:tcBorders>
          </w:tcPr>
          <w:p>
            <w:pPr>
              <w:spacing w:after="0"/>
              <w:rPr>
                <w:sz w:val="10"/>
                <w:szCs w:val="10"/>
                <w:color w:val="auto"/>
              </w:rPr>
            </w:pPr>
          </w:p>
        </w:tc>
        <w:tc>
          <w:tcPr>
            <w:tcW w:w="1000" w:type="dxa"/>
            <w:vAlign w:val="bottom"/>
            <w:tcBorders>
              <w:right w:val="single" w:sz="8" w:color="95B3D7"/>
            </w:tcBorders>
            <w:gridSpan w:val="3"/>
          </w:tcPr>
          <w:p>
            <w:pPr>
              <w:ind w:left="180"/>
              <w:spacing w:after="0" w:line="121" w:lineRule="exact"/>
              <w:rPr>
                <w:sz w:val="20"/>
                <w:szCs w:val="20"/>
                <w:color w:val="auto"/>
              </w:rPr>
            </w:pPr>
            <w:r>
              <w:rPr>
                <w:rFonts w:ascii="Arial" w:cs="Arial" w:eastAsia="Arial" w:hAnsi="Arial"/>
                <w:sz w:val="11"/>
                <w:szCs w:val="11"/>
                <w:b w:val="1"/>
                <w:bCs w:val="1"/>
                <w:color w:val="auto"/>
              </w:rPr>
              <w:t>Unexercised</w:t>
            </w:r>
          </w:p>
        </w:tc>
        <w:tc>
          <w:tcPr>
            <w:tcW w:w="200" w:type="dxa"/>
            <w:vAlign w:val="bottom"/>
          </w:tcPr>
          <w:p>
            <w:pPr>
              <w:spacing w:after="0"/>
              <w:rPr>
                <w:sz w:val="10"/>
                <w:szCs w:val="10"/>
                <w:color w:val="auto"/>
              </w:rPr>
            </w:pPr>
          </w:p>
        </w:tc>
        <w:tc>
          <w:tcPr>
            <w:tcW w:w="960" w:type="dxa"/>
            <w:vAlign w:val="bottom"/>
            <w:tcBorders>
              <w:right w:val="single" w:sz="8" w:color="95B3D7"/>
            </w:tcBorders>
            <w:gridSpan w:val="2"/>
          </w:tcPr>
          <w:p>
            <w:pPr>
              <w:spacing w:after="0" w:line="121" w:lineRule="exact"/>
              <w:rPr>
                <w:sz w:val="20"/>
                <w:szCs w:val="20"/>
                <w:color w:val="auto"/>
              </w:rPr>
            </w:pPr>
            <w:r>
              <w:rPr>
                <w:rFonts w:ascii="Arial" w:cs="Arial" w:eastAsia="Arial" w:hAnsi="Arial"/>
                <w:sz w:val="11"/>
                <w:szCs w:val="11"/>
                <w:b w:val="1"/>
                <w:bCs w:val="1"/>
                <w:color w:val="auto"/>
              </w:rPr>
              <w:t>Unexercised</w:t>
            </w:r>
          </w:p>
        </w:tc>
        <w:tc>
          <w:tcPr>
            <w:tcW w:w="880" w:type="dxa"/>
            <w:vAlign w:val="bottom"/>
            <w:tcBorders>
              <w:right w:val="single" w:sz="8" w:color="95B3D7"/>
            </w:tcBorders>
            <w:gridSpan w:val="3"/>
          </w:tcPr>
          <w:p>
            <w:pPr>
              <w:ind w:left="180"/>
              <w:spacing w:after="0" w:line="121" w:lineRule="exact"/>
              <w:rPr>
                <w:sz w:val="20"/>
                <w:szCs w:val="20"/>
                <w:color w:val="auto"/>
              </w:rPr>
            </w:pPr>
            <w:r>
              <w:rPr>
                <w:rFonts w:ascii="Arial" w:cs="Arial" w:eastAsia="Arial" w:hAnsi="Arial"/>
                <w:sz w:val="11"/>
                <w:szCs w:val="11"/>
                <w:b w:val="1"/>
                <w:bCs w:val="1"/>
                <w:color w:val="auto"/>
              </w:rPr>
              <w:t>Unexercised</w:t>
            </w:r>
          </w:p>
        </w:tc>
        <w:tc>
          <w:tcPr>
            <w:tcW w:w="700" w:type="dxa"/>
            <w:vAlign w:val="bottom"/>
            <w:tcBorders>
              <w:right w:val="single" w:sz="8" w:color="95B3D7"/>
            </w:tcBorders>
            <w:gridSpan w:val="3"/>
          </w:tcPr>
          <w:p>
            <w:pPr>
              <w:ind w:left="200"/>
              <w:spacing w:after="0" w:line="121" w:lineRule="exact"/>
              <w:rPr>
                <w:sz w:val="20"/>
                <w:szCs w:val="20"/>
                <w:color w:val="auto"/>
              </w:rPr>
            </w:pPr>
            <w:r>
              <w:rPr>
                <w:rFonts w:ascii="Arial" w:cs="Arial" w:eastAsia="Arial" w:hAnsi="Arial"/>
                <w:sz w:val="11"/>
                <w:szCs w:val="11"/>
                <w:b w:val="1"/>
                <w:bCs w:val="1"/>
                <w:color w:val="auto"/>
              </w:rPr>
              <w:t>Exercise</w:t>
            </w:r>
          </w:p>
        </w:tc>
        <w:tc>
          <w:tcPr>
            <w:tcW w:w="940" w:type="dxa"/>
            <w:vAlign w:val="bottom"/>
            <w:tcBorders>
              <w:right w:val="single" w:sz="8" w:color="95B3D7"/>
            </w:tcBorders>
            <w:gridSpan w:val="3"/>
          </w:tcPr>
          <w:p>
            <w:pPr>
              <w:ind w:left="200"/>
              <w:spacing w:after="0" w:line="121" w:lineRule="exact"/>
              <w:rPr>
                <w:sz w:val="20"/>
                <w:szCs w:val="20"/>
                <w:color w:val="auto"/>
              </w:rPr>
            </w:pPr>
            <w:r>
              <w:rPr>
                <w:rFonts w:ascii="Arial" w:cs="Arial" w:eastAsia="Arial" w:hAnsi="Arial"/>
                <w:sz w:val="11"/>
                <w:szCs w:val="11"/>
                <w:b w:val="1"/>
                <w:bCs w:val="1"/>
                <w:color w:val="auto"/>
              </w:rPr>
              <w:t>Expiration</w:t>
            </w:r>
          </w:p>
        </w:tc>
        <w:tc>
          <w:tcPr>
            <w:tcW w:w="900" w:type="dxa"/>
            <w:vAlign w:val="bottom"/>
            <w:gridSpan w:val="3"/>
          </w:tcPr>
          <w:p>
            <w:pPr>
              <w:ind w:left="280"/>
              <w:spacing w:after="0" w:line="121" w:lineRule="exact"/>
              <w:rPr>
                <w:sz w:val="20"/>
                <w:szCs w:val="20"/>
                <w:color w:val="auto"/>
              </w:rPr>
            </w:pPr>
            <w:r>
              <w:rPr>
                <w:rFonts w:ascii="Arial" w:cs="Arial" w:eastAsia="Arial" w:hAnsi="Arial"/>
                <w:sz w:val="11"/>
                <w:szCs w:val="11"/>
                <w:b w:val="1"/>
                <w:bCs w:val="1"/>
                <w:color w:val="auto"/>
              </w:rPr>
              <w:t>Have Not</w:t>
            </w:r>
          </w:p>
        </w:tc>
        <w:tc>
          <w:tcPr>
            <w:tcW w:w="200" w:type="dxa"/>
            <w:vAlign w:val="bottom"/>
            <w:tcBorders>
              <w:right w:val="single" w:sz="8" w:color="95B3D7"/>
            </w:tcBorders>
          </w:tcPr>
          <w:p>
            <w:pPr>
              <w:spacing w:after="0"/>
              <w:rPr>
                <w:sz w:val="10"/>
                <w:szCs w:val="10"/>
                <w:color w:val="auto"/>
              </w:rPr>
            </w:pPr>
          </w:p>
        </w:tc>
        <w:tc>
          <w:tcPr>
            <w:tcW w:w="380" w:type="dxa"/>
            <w:vAlign w:val="bottom"/>
          </w:tcPr>
          <w:p>
            <w:pPr>
              <w:spacing w:after="0"/>
              <w:rPr>
                <w:sz w:val="10"/>
                <w:szCs w:val="10"/>
                <w:color w:val="auto"/>
              </w:rPr>
            </w:pPr>
          </w:p>
        </w:tc>
        <w:tc>
          <w:tcPr>
            <w:tcW w:w="980" w:type="dxa"/>
            <w:vAlign w:val="bottom"/>
            <w:gridSpan w:val="2"/>
          </w:tcPr>
          <w:p>
            <w:pPr>
              <w:spacing w:after="0" w:line="121" w:lineRule="exact"/>
              <w:rPr>
                <w:sz w:val="20"/>
                <w:szCs w:val="20"/>
                <w:color w:val="auto"/>
              </w:rPr>
            </w:pPr>
            <w:r>
              <w:rPr>
                <w:rFonts w:ascii="Arial" w:cs="Arial" w:eastAsia="Arial" w:hAnsi="Arial"/>
                <w:sz w:val="11"/>
                <w:szCs w:val="11"/>
                <w:b w:val="1"/>
                <w:bCs w:val="1"/>
                <w:color w:val="auto"/>
              </w:rPr>
              <w:t>Stock That Have</w:t>
            </w:r>
          </w:p>
        </w:tc>
        <w:tc>
          <w:tcPr>
            <w:tcW w:w="0" w:type="dxa"/>
            <w:vAlign w:val="bottom"/>
          </w:tcPr>
          <w:p>
            <w:pPr>
              <w:spacing w:after="0"/>
              <w:rPr>
                <w:sz w:val="1"/>
                <w:szCs w:val="1"/>
                <w:color w:val="auto"/>
              </w:rPr>
            </w:pPr>
          </w:p>
        </w:tc>
      </w:tr>
      <w:tr>
        <w:trPr>
          <w:trHeight w:val="135"/>
        </w:trPr>
        <w:tc>
          <w:tcPr>
            <w:tcW w:w="3020" w:type="dxa"/>
            <w:vAlign w:val="bottom"/>
            <w:tcBorders>
              <w:right w:val="single" w:sz="8" w:color="95B3D7"/>
            </w:tcBorders>
            <w:vMerge w:val="continue"/>
          </w:tcPr>
          <w:p>
            <w:pPr>
              <w:spacing w:after="0"/>
              <w:rPr>
                <w:sz w:val="11"/>
                <w:szCs w:val="11"/>
                <w:color w:val="auto"/>
              </w:rPr>
            </w:pPr>
          </w:p>
        </w:tc>
        <w:tc>
          <w:tcPr>
            <w:tcW w:w="860" w:type="dxa"/>
            <w:vAlign w:val="bottom"/>
            <w:tcBorders>
              <w:right w:val="single" w:sz="8" w:color="95B3D7"/>
            </w:tcBorders>
            <w:gridSpan w:val="3"/>
          </w:tcPr>
          <w:p>
            <w:pPr>
              <w:ind w:left="180"/>
              <w:spacing w:after="0"/>
              <w:rPr>
                <w:sz w:val="20"/>
                <w:szCs w:val="20"/>
                <w:color w:val="auto"/>
              </w:rPr>
            </w:pPr>
            <w:r>
              <w:rPr>
                <w:rFonts w:ascii="Arial" w:cs="Arial" w:eastAsia="Arial" w:hAnsi="Arial"/>
                <w:sz w:val="11"/>
                <w:szCs w:val="11"/>
                <w:b w:val="1"/>
                <w:bCs w:val="1"/>
                <w:color w:val="auto"/>
              </w:rPr>
              <w:t> </w:t>
            </w:r>
          </w:p>
        </w:tc>
        <w:tc>
          <w:tcPr>
            <w:tcW w:w="1000" w:type="dxa"/>
            <w:vAlign w:val="bottom"/>
            <w:tcBorders>
              <w:right w:val="single" w:sz="8" w:color="95B3D7"/>
            </w:tcBorders>
            <w:gridSpan w:val="3"/>
          </w:tcPr>
          <w:p>
            <w:pPr>
              <w:ind w:left="180"/>
              <w:spacing w:after="0"/>
              <w:rPr>
                <w:sz w:val="20"/>
                <w:szCs w:val="20"/>
                <w:color w:val="auto"/>
              </w:rPr>
            </w:pPr>
            <w:r>
              <w:rPr>
                <w:rFonts w:ascii="Arial" w:cs="Arial" w:eastAsia="Arial" w:hAnsi="Arial"/>
                <w:sz w:val="11"/>
                <w:szCs w:val="11"/>
                <w:b w:val="1"/>
                <w:bCs w:val="1"/>
                <w:color w:val="auto"/>
              </w:rPr>
              <w:t>Options</w:t>
            </w:r>
          </w:p>
        </w:tc>
        <w:tc>
          <w:tcPr>
            <w:tcW w:w="200" w:type="dxa"/>
            <w:vAlign w:val="bottom"/>
          </w:tcPr>
          <w:p>
            <w:pPr>
              <w:spacing w:after="0"/>
              <w:rPr>
                <w:sz w:val="11"/>
                <w:szCs w:val="11"/>
                <w:color w:val="auto"/>
              </w:rPr>
            </w:pPr>
          </w:p>
        </w:tc>
        <w:tc>
          <w:tcPr>
            <w:tcW w:w="960" w:type="dxa"/>
            <w:vAlign w:val="bottom"/>
            <w:tcBorders>
              <w:right w:val="single" w:sz="8" w:color="95B3D7"/>
            </w:tcBorders>
            <w:gridSpan w:val="2"/>
          </w:tcPr>
          <w:p>
            <w:pPr>
              <w:spacing w:after="0" w:line="136"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5"/>
                <w:szCs w:val="15"/>
                <w:b w:val="1"/>
                <w:bCs w:val="1"/>
                <w:color w:val="auto"/>
                <w:vertAlign w:val="superscript"/>
              </w:rPr>
              <w:t>(1)</w:t>
            </w:r>
          </w:p>
        </w:tc>
        <w:tc>
          <w:tcPr>
            <w:tcW w:w="880" w:type="dxa"/>
            <w:vAlign w:val="bottom"/>
            <w:tcBorders>
              <w:right w:val="single" w:sz="8" w:color="95B3D7"/>
            </w:tcBorders>
            <w:gridSpan w:val="3"/>
          </w:tcPr>
          <w:p>
            <w:pPr>
              <w:ind w:left="180"/>
              <w:spacing w:after="0"/>
              <w:rPr>
                <w:sz w:val="20"/>
                <w:szCs w:val="20"/>
                <w:color w:val="auto"/>
              </w:rPr>
            </w:pPr>
            <w:r>
              <w:rPr>
                <w:rFonts w:ascii="Arial" w:cs="Arial" w:eastAsia="Arial" w:hAnsi="Arial"/>
                <w:sz w:val="11"/>
                <w:szCs w:val="11"/>
                <w:b w:val="1"/>
                <w:bCs w:val="1"/>
                <w:color w:val="auto"/>
              </w:rPr>
              <w:t>Options</w:t>
            </w:r>
          </w:p>
        </w:tc>
        <w:tc>
          <w:tcPr>
            <w:tcW w:w="700" w:type="dxa"/>
            <w:vAlign w:val="bottom"/>
            <w:tcBorders>
              <w:right w:val="single" w:sz="8" w:color="95B3D7"/>
            </w:tcBorders>
            <w:gridSpan w:val="3"/>
          </w:tcPr>
          <w:p>
            <w:pPr>
              <w:ind w:left="200"/>
              <w:spacing w:after="0"/>
              <w:rPr>
                <w:sz w:val="20"/>
                <w:szCs w:val="20"/>
                <w:color w:val="auto"/>
              </w:rPr>
            </w:pPr>
            <w:r>
              <w:rPr>
                <w:rFonts w:ascii="Arial" w:cs="Arial" w:eastAsia="Arial" w:hAnsi="Arial"/>
                <w:sz w:val="11"/>
                <w:szCs w:val="11"/>
                <w:b w:val="1"/>
                <w:bCs w:val="1"/>
                <w:color w:val="auto"/>
              </w:rPr>
              <w:t>Price</w:t>
            </w:r>
          </w:p>
        </w:tc>
        <w:tc>
          <w:tcPr>
            <w:tcW w:w="940" w:type="dxa"/>
            <w:vAlign w:val="bottom"/>
            <w:tcBorders>
              <w:right w:val="single" w:sz="8" w:color="95B3D7"/>
            </w:tcBorders>
            <w:gridSpan w:val="3"/>
          </w:tcPr>
          <w:p>
            <w:pPr>
              <w:ind w:left="200"/>
              <w:spacing w:after="0"/>
              <w:rPr>
                <w:sz w:val="20"/>
                <w:szCs w:val="20"/>
                <w:color w:val="auto"/>
              </w:rPr>
            </w:pPr>
            <w:r>
              <w:rPr>
                <w:rFonts w:ascii="Arial" w:cs="Arial" w:eastAsia="Arial" w:hAnsi="Arial"/>
                <w:sz w:val="11"/>
                <w:szCs w:val="11"/>
                <w:b w:val="1"/>
                <w:bCs w:val="1"/>
                <w:color w:val="auto"/>
              </w:rPr>
              <w:t>Date</w:t>
            </w:r>
          </w:p>
        </w:tc>
        <w:tc>
          <w:tcPr>
            <w:tcW w:w="900" w:type="dxa"/>
            <w:vAlign w:val="bottom"/>
            <w:gridSpan w:val="3"/>
          </w:tcPr>
          <w:p>
            <w:pPr>
              <w:ind w:left="280"/>
              <w:spacing w:after="0" w:line="136" w:lineRule="exact"/>
              <w:rPr>
                <w:sz w:val="20"/>
                <w:szCs w:val="20"/>
                <w:color w:val="auto"/>
              </w:rPr>
            </w:pPr>
            <w:r>
              <w:rPr>
                <w:rFonts w:ascii="Arial" w:cs="Arial" w:eastAsia="Arial" w:hAnsi="Arial"/>
                <w:sz w:val="10"/>
                <w:szCs w:val="10"/>
                <w:b w:val="1"/>
                <w:bCs w:val="1"/>
                <w:color w:val="auto"/>
              </w:rPr>
              <w:t xml:space="preserve">Vested </w:t>
            </w:r>
            <w:r>
              <w:rPr>
                <w:rFonts w:ascii="Arial" w:cs="Arial" w:eastAsia="Arial" w:hAnsi="Arial"/>
                <w:sz w:val="15"/>
                <w:szCs w:val="15"/>
                <w:b w:val="1"/>
                <w:bCs w:val="1"/>
                <w:color w:val="auto"/>
                <w:vertAlign w:val="superscript"/>
              </w:rPr>
              <w:t>(1)</w:t>
            </w:r>
          </w:p>
        </w:tc>
        <w:tc>
          <w:tcPr>
            <w:tcW w:w="200" w:type="dxa"/>
            <w:vAlign w:val="bottom"/>
            <w:tcBorders>
              <w:right w:val="single" w:sz="8" w:color="95B3D7"/>
            </w:tcBorders>
          </w:tcPr>
          <w:p>
            <w:pPr>
              <w:spacing w:after="0"/>
              <w:rPr>
                <w:sz w:val="11"/>
                <w:szCs w:val="11"/>
                <w:color w:val="auto"/>
              </w:rPr>
            </w:pPr>
          </w:p>
        </w:tc>
        <w:tc>
          <w:tcPr>
            <w:tcW w:w="380" w:type="dxa"/>
            <w:vAlign w:val="bottom"/>
          </w:tcPr>
          <w:p>
            <w:pPr>
              <w:spacing w:after="0"/>
              <w:rPr>
                <w:sz w:val="11"/>
                <w:szCs w:val="11"/>
                <w:color w:val="auto"/>
              </w:rPr>
            </w:pPr>
          </w:p>
        </w:tc>
        <w:tc>
          <w:tcPr>
            <w:tcW w:w="980" w:type="dxa"/>
            <w:vAlign w:val="bottom"/>
            <w:gridSpan w:val="2"/>
          </w:tcPr>
          <w:p>
            <w:pPr>
              <w:spacing w:after="0" w:line="136"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5"/>
                <w:szCs w:val="15"/>
                <w:b w:val="1"/>
                <w:bCs w:val="1"/>
                <w:color w:val="auto"/>
                <w:vertAlign w:val="superscript"/>
              </w:rPr>
              <w:t>(2)</w:t>
            </w:r>
          </w:p>
        </w:tc>
        <w:tc>
          <w:tcPr>
            <w:tcW w:w="0" w:type="dxa"/>
            <w:vAlign w:val="bottom"/>
          </w:tcPr>
          <w:p>
            <w:pPr>
              <w:spacing w:after="0"/>
              <w:rPr>
                <w:sz w:val="1"/>
                <w:szCs w:val="1"/>
                <w:color w:val="auto"/>
              </w:rPr>
            </w:pPr>
          </w:p>
        </w:tc>
      </w:tr>
      <w:tr>
        <w:trPr>
          <w:trHeight w:val="20"/>
        </w:trPr>
        <w:tc>
          <w:tcPr>
            <w:tcW w:w="3020" w:type="dxa"/>
            <w:vAlign w:val="bottom"/>
            <w:tcBorders>
              <w:right w:val="single" w:sz="8" w:color="95B3D7"/>
            </w:tcBorders>
            <w:shd w:val="clear" w:color="auto" w:fill="95B3D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shd w:val="clear" w:color="auto" w:fill="95B3D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shd w:val="clear" w:color="auto" w:fill="95B3D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95B3D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95B3D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shd w:val="clear" w:color="auto" w:fill="95B3D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shd w:val="clear" w:color="auto" w:fill="95B3D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shd w:val="clear" w:color="auto" w:fill="95B3D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shd w:val="clear" w:color="auto" w:fill="95B3D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020" w:type="dxa"/>
            <w:vAlign w:val="bottom"/>
          </w:tcPr>
          <w:p>
            <w:pPr>
              <w:spacing w:after="0" w:line="115" w:lineRule="exact"/>
              <w:rPr>
                <w:sz w:val="20"/>
                <w:szCs w:val="20"/>
                <w:color w:val="auto"/>
              </w:rPr>
            </w:pPr>
            <w:r>
              <w:rPr>
                <w:rFonts w:ascii="Arial" w:cs="Arial" w:eastAsia="Arial" w:hAnsi="Arial"/>
                <w:sz w:val="11"/>
                <w:szCs w:val="11"/>
                <w:b w:val="1"/>
                <w:bCs w:val="1"/>
                <w:color w:val="auto"/>
              </w:rPr>
              <w:t>Name</w:t>
            </w:r>
          </w:p>
        </w:tc>
        <w:tc>
          <w:tcPr>
            <w:tcW w:w="180" w:type="dxa"/>
            <w:vAlign w:val="bottom"/>
          </w:tcPr>
          <w:p>
            <w:pPr>
              <w:spacing w:after="0"/>
              <w:rPr>
                <w:sz w:val="10"/>
                <w:szCs w:val="10"/>
                <w:color w:val="auto"/>
              </w:rPr>
            </w:pPr>
          </w:p>
        </w:tc>
        <w:tc>
          <w:tcPr>
            <w:tcW w:w="620" w:type="dxa"/>
            <w:vAlign w:val="bottom"/>
          </w:tcPr>
          <w:p>
            <w:pPr>
              <w:jc w:val="right"/>
              <w:spacing w:after="0" w:line="115" w:lineRule="exact"/>
              <w:rPr>
                <w:sz w:val="20"/>
                <w:szCs w:val="20"/>
                <w:color w:val="auto"/>
              </w:rPr>
            </w:pPr>
            <w:r>
              <w:rPr>
                <w:rFonts w:ascii="Arial" w:cs="Arial" w:eastAsia="Arial" w:hAnsi="Arial"/>
                <w:sz w:val="11"/>
                <w:szCs w:val="11"/>
                <w:b w:val="1"/>
                <w:bCs w:val="1"/>
                <w:color w:val="auto"/>
                <w:w w:val="99"/>
              </w:rPr>
              <w:t>Grant Date</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20" w:type="dxa"/>
            <w:vAlign w:val="bottom"/>
            <w:gridSpan w:val="3"/>
          </w:tcPr>
          <w:p>
            <w:pPr>
              <w:spacing w:after="0" w:line="115" w:lineRule="exact"/>
              <w:rPr>
                <w:sz w:val="20"/>
                <w:szCs w:val="20"/>
                <w:color w:val="auto"/>
              </w:rPr>
            </w:pPr>
            <w:r>
              <w:rPr>
                <w:rFonts w:ascii="Arial" w:cs="Arial" w:eastAsia="Arial" w:hAnsi="Arial"/>
                <w:sz w:val="11"/>
                <w:szCs w:val="11"/>
                <w:b w:val="1"/>
                <w:bCs w:val="1"/>
                <w:color w:val="auto"/>
              </w:rPr>
              <w:t>(#) Exercisable</w:t>
            </w:r>
          </w:p>
        </w:tc>
        <w:tc>
          <w:tcPr>
            <w:tcW w:w="960" w:type="dxa"/>
            <w:vAlign w:val="bottom"/>
            <w:gridSpan w:val="2"/>
          </w:tcPr>
          <w:p>
            <w:pPr>
              <w:spacing w:after="0" w:line="115" w:lineRule="exact"/>
              <w:rPr>
                <w:sz w:val="20"/>
                <w:szCs w:val="20"/>
                <w:color w:val="auto"/>
              </w:rPr>
            </w:pPr>
            <w:r>
              <w:rPr>
                <w:rFonts w:ascii="Arial" w:cs="Arial" w:eastAsia="Arial" w:hAnsi="Arial"/>
                <w:sz w:val="11"/>
                <w:szCs w:val="11"/>
                <w:b w:val="1"/>
                <w:bCs w:val="1"/>
                <w:color w:val="auto"/>
              </w:rPr>
              <w:t>(#) Unexercisable</w:t>
            </w:r>
          </w:p>
        </w:tc>
        <w:tc>
          <w:tcPr>
            <w:tcW w:w="820" w:type="dxa"/>
            <w:vAlign w:val="bottom"/>
            <w:gridSpan w:val="2"/>
          </w:tcPr>
          <w:p>
            <w:pPr>
              <w:ind w:left="440"/>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640" w:type="dxa"/>
            <w:vAlign w:val="bottom"/>
            <w:gridSpan w:val="2"/>
          </w:tcPr>
          <w:p>
            <w:pPr>
              <w:jc w:val="right"/>
              <w:ind w:right="106"/>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gridSpan w:val="2"/>
          </w:tcPr>
          <w:p>
            <w:pPr>
              <w:ind w:left="480"/>
              <w:spacing w:after="0" w:line="115" w:lineRule="exact"/>
              <w:rPr>
                <w:sz w:val="20"/>
                <w:szCs w:val="20"/>
                <w:color w:val="auto"/>
              </w:rPr>
            </w:pPr>
            <w:r>
              <w:rPr>
                <w:rFonts w:ascii="Arial" w:cs="Arial" w:eastAsia="Arial" w:hAnsi="Arial"/>
                <w:sz w:val="11"/>
                <w:szCs w:val="11"/>
                <w:b w:val="1"/>
                <w:bCs w:val="1"/>
                <w:color w:val="auto"/>
              </w:rPr>
              <w:t>(#)</w:t>
            </w:r>
          </w:p>
        </w:tc>
        <w:tc>
          <w:tcPr>
            <w:tcW w:w="100" w:type="dxa"/>
            <w:vAlign w:val="bottom"/>
          </w:tcPr>
          <w:p>
            <w:pPr>
              <w:spacing w:after="0"/>
              <w:rPr>
                <w:sz w:val="10"/>
                <w:szCs w:val="10"/>
                <w:color w:val="auto"/>
              </w:rPr>
            </w:pPr>
          </w:p>
        </w:tc>
        <w:tc>
          <w:tcPr>
            <w:tcW w:w="1520" w:type="dxa"/>
            <w:vAlign w:val="bottom"/>
            <w:gridSpan w:val="3"/>
          </w:tcPr>
          <w:p>
            <w:pPr>
              <w:jc w:val="right"/>
              <w:ind w:right="347"/>
              <w:spacing w:after="0" w:line="115" w:lineRule="exact"/>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020" w:type="dxa"/>
            <w:vAlign w:val="bottom"/>
            <w:tcBorders>
              <w:top w:val="single" w:sz="8" w:color="95B3D7"/>
              <w:bottom w:val="single" w:sz="8" w:color="95B3D7"/>
            </w:tcBorders>
          </w:tcPr>
          <w:p>
            <w:pPr>
              <w:spacing w:after="0"/>
              <w:rPr>
                <w:sz w:val="10"/>
                <w:szCs w:val="10"/>
                <w:color w:val="auto"/>
              </w:rPr>
            </w:pPr>
          </w:p>
        </w:tc>
        <w:tc>
          <w:tcPr>
            <w:tcW w:w="180" w:type="dxa"/>
            <w:vAlign w:val="bottom"/>
            <w:tcBorders>
              <w:top w:val="single" w:sz="8" w:color="95B3D7"/>
              <w:bottom w:val="single" w:sz="8" w:color="95B3D7"/>
            </w:tcBorders>
          </w:tcPr>
          <w:p>
            <w:pPr>
              <w:spacing w:after="0"/>
              <w:rPr>
                <w:sz w:val="10"/>
                <w:szCs w:val="10"/>
                <w:color w:val="auto"/>
              </w:rPr>
            </w:pPr>
          </w:p>
        </w:tc>
        <w:tc>
          <w:tcPr>
            <w:tcW w:w="620" w:type="dxa"/>
            <w:vAlign w:val="bottom"/>
            <w:tcBorders>
              <w:top w:val="single" w:sz="8" w:color="95B3D7"/>
              <w:bottom w:val="single" w:sz="8" w:color="95B3D7"/>
            </w:tcBorders>
          </w:tcPr>
          <w:p>
            <w:pPr>
              <w:spacing w:after="0"/>
              <w:rPr>
                <w:sz w:val="10"/>
                <w:szCs w:val="10"/>
                <w:color w:val="auto"/>
              </w:rPr>
            </w:pPr>
          </w:p>
        </w:tc>
        <w:tc>
          <w:tcPr>
            <w:tcW w:w="60" w:type="dxa"/>
            <w:vAlign w:val="bottom"/>
            <w:tcBorders>
              <w:bottom w:val="single" w:sz="8" w:color="95B3D7"/>
            </w:tcBorders>
          </w:tcPr>
          <w:p>
            <w:pPr>
              <w:spacing w:after="0"/>
              <w:rPr>
                <w:sz w:val="10"/>
                <w:szCs w:val="10"/>
                <w:color w:val="auto"/>
              </w:rPr>
            </w:pPr>
          </w:p>
        </w:tc>
        <w:tc>
          <w:tcPr>
            <w:tcW w:w="180" w:type="dxa"/>
            <w:vAlign w:val="bottom"/>
            <w:tcBorders>
              <w:bottom w:val="single" w:sz="8" w:color="95B3D7"/>
            </w:tcBorders>
          </w:tcPr>
          <w:p>
            <w:pPr>
              <w:spacing w:after="0"/>
              <w:rPr>
                <w:sz w:val="10"/>
                <w:szCs w:val="10"/>
                <w:color w:val="auto"/>
              </w:rPr>
            </w:pPr>
          </w:p>
        </w:tc>
        <w:tc>
          <w:tcPr>
            <w:tcW w:w="760" w:type="dxa"/>
            <w:vAlign w:val="bottom"/>
            <w:tcBorders>
              <w:top w:val="single" w:sz="8" w:color="95B3D7"/>
              <w:bottom w:val="single" w:sz="8" w:color="95B3D7"/>
            </w:tcBorders>
          </w:tcPr>
          <w:p>
            <w:pPr>
              <w:spacing w:after="0"/>
              <w:rPr>
                <w:sz w:val="10"/>
                <w:szCs w:val="10"/>
                <w:color w:val="auto"/>
              </w:rPr>
            </w:pPr>
          </w:p>
        </w:tc>
        <w:tc>
          <w:tcPr>
            <w:tcW w:w="60" w:type="dxa"/>
            <w:vAlign w:val="bottom"/>
            <w:tcBorders>
              <w:top w:val="single" w:sz="8" w:color="95B3D7"/>
              <w:bottom w:val="single" w:sz="8" w:color="95B3D7"/>
            </w:tcBorders>
          </w:tcPr>
          <w:p>
            <w:pPr>
              <w:spacing w:after="0"/>
              <w:rPr>
                <w:sz w:val="10"/>
                <w:szCs w:val="10"/>
                <w:color w:val="auto"/>
              </w:rPr>
            </w:pPr>
          </w:p>
        </w:tc>
        <w:tc>
          <w:tcPr>
            <w:tcW w:w="200" w:type="dxa"/>
            <w:vAlign w:val="bottom"/>
            <w:tcBorders>
              <w:top w:val="single" w:sz="8" w:color="95B3D7"/>
              <w:bottom w:val="single" w:sz="8" w:color="95B3D7"/>
            </w:tcBorders>
          </w:tcPr>
          <w:p>
            <w:pPr>
              <w:spacing w:after="0"/>
              <w:rPr>
                <w:sz w:val="10"/>
                <w:szCs w:val="10"/>
                <w:color w:val="auto"/>
              </w:rPr>
            </w:pPr>
          </w:p>
        </w:tc>
        <w:tc>
          <w:tcPr>
            <w:tcW w:w="900" w:type="dxa"/>
            <w:vAlign w:val="bottom"/>
            <w:tcBorders>
              <w:top w:val="single" w:sz="8" w:color="95B3D7"/>
              <w:bottom w:val="single" w:sz="8" w:color="95B3D7"/>
            </w:tcBorders>
          </w:tcPr>
          <w:p>
            <w:pPr>
              <w:spacing w:after="0"/>
              <w:rPr>
                <w:sz w:val="10"/>
                <w:szCs w:val="10"/>
                <w:color w:val="auto"/>
              </w:rPr>
            </w:pPr>
          </w:p>
        </w:tc>
        <w:tc>
          <w:tcPr>
            <w:tcW w:w="60" w:type="dxa"/>
            <w:vAlign w:val="bottom"/>
            <w:tcBorders>
              <w:top w:val="single" w:sz="8" w:color="95B3D7"/>
              <w:bottom w:val="single" w:sz="8" w:color="95B3D7"/>
            </w:tcBorders>
          </w:tcPr>
          <w:p>
            <w:pPr>
              <w:spacing w:after="0"/>
              <w:rPr>
                <w:sz w:val="10"/>
                <w:szCs w:val="10"/>
                <w:color w:val="auto"/>
              </w:rPr>
            </w:pPr>
          </w:p>
        </w:tc>
        <w:tc>
          <w:tcPr>
            <w:tcW w:w="180" w:type="dxa"/>
            <w:vAlign w:val="bottom"/>
            <w:tcBorders>
              <w:top w:val="single" w:sz="8" w:color="95B3D7"/>
              <w:bottom w:val="single" w:sz="8" w:color="95B3D7"/>
            </w:tcBorders>
          </w:tcPr>
          <w:p>
            <w:pPr>
              <w:spacing w:after="0"/>
              <w:rPr>
                <w:sz w:val="10"/>
                <w:szCs w:val="10"/>
                <w:color w:val="auto"/>
              </w:rPr>
            </w:pPr>
          </w:p>
        </w:tc>
        <w:tc>
          <w:tcPr>
            <w:tcW w:w="640" w:type="dxa"/>
            <w:vAlign w:val="bottom"/>
            <w:tcBorders>
              <w:top w:val="single" w:sz="8" w:color="95B3D7"/>
              <w:bottom w:val="single" w:sz="8" w:color="95B3D7"/>
            </w:tcBorders>
          </w:tcPr>
          <w:p>
            <w:pPr>
              <w:spacing w:after="0"/>
              <w:rPr>
                <w:sz w:val="10"/>
                <w:szCs w:val="10"/>
                <w:color w:val="auto"/>
              </w:rPr>
            </w:pPr>
          </w:p>
        </w:tc>
        <w:tc>
          <w:tcPr>
            <w:tcW w:w="60" w:type="dxa"/>
            <w:vAlign w:val="bottom"/>
            <w:tcBorders>
              <w:top w:val="single" w:sz="8" w:color="95B3D7"/>
              <w:bottom w:val="single" w:sz="8" w:color="95B3D7"/>
            </w:tcBorders>
          </w:tcPr>
          <w:p>
            <w:pPr>
              <w:spacing w:after="0"/>
              <w:rPr>
                <w:sz w:val="10"/>
                <w:szCs w:val="10"/>
                <w:color w:val="auto"/>
              </w:rPr>
            </w:pPr>
          </w:p>
        </w:tc>
        <w:tc>
          <w:tcPr>
            <w:tcW w:w="200" w:type="dxa"/>
            <w:vAlign w:val="bottom"/>
            <w:tcBorders>
              <w:top w:val="single" w:sz="8" w:color="95B3D7"/>
              <w:bottom w:val="single" w:sz="8" w:color="95B3D7"/>
            </w:tcBorders>
          </w:tcPr>
          <w:p>
            <w:pPr>
              <w:spacing w:after="0"/>
              <w:rPr>
                <w:sz w:val="10"/>
                <w:szCs w:val="10"/>
                <w:color w:val="auto"/>
              </w:rPr>
            </w:pPr>
          </w:p>
        </w:tc>
        <w:tc>
          <w:tcPr>
            <w:tcW w:w="440" w:type="dxa"/>
            <w:vAlign w:val="bottom"/>
            <w:tcBorders>
              <w:top w:val="single" w:sz="8" w:color="95B3D7"/>
              <w:bottom w:val="single" w:sz="8" w:color="95B3D7"/>
            </w:tcBorders>
          </w:tcPr>
          <w:p>
            <w:pPr>
              <w:spacing w:after="0"/>
              <w:rPr>
                <w:sz w:val="10"/>
                <w:szCs w:val="10"/>
                <w:color w:val="auto"/>
              </w:rPr>
            </w:pPr>
          </w:p>
        </w:tc>
        <w:tc>
          <w:tcPr>
            <w:tcW w:w="60" w:type="dxa"/>
            <w:vAlign w:val="bottom"/>
            <w:tcBorders>
              <w:top w:val="single" w:sz="8" w:color="95B3D7"/>
              <w:bottom w:val="single" w:sz="8" w:color="95B3D7"/>
            </w:tcBorders>
          </w:tcPr>
          <w:p>
            <w:pPr>
              <w:spacing w:after="0"/>
              <w:rPr>
                <w:sz w:val="10"/>
                <w:szCs w:val="10"/>
                <w:color w:val="auto"/>
              </w:rPr>
            </w:pPr>
          </w:p>
        </w:tc>
        <w:tc>
          <w:tcPr>
            <w:tcW w:w="200" w:type="dxa"/>
            <w:vAlign w:val="bottom"/>
            <w:tcBorders>
              <w:top w:val="single" w:sz="8" w:color="95B3D7"/>
              <w:bottom w:val="single" w:sz="8" w:color="95B3D7"/>
            </w:tcBorders>
          </w:tcPr>
          <w:p>
            <w:pPr>
              <w:spacing w:after="0"/>
              <w:rPr>
                <w:sz w:val="10"/>
                <w:szCs w:val="10"/>
                <w:color w:val="auto"/>
              </w:rPr>
            </w:pPr>
          </w:p>
        </w:tc>
        <w:tc>
          <w:tcPr>
            <w:tcW w:w="540" w:type="dxa"/>
            <w:vAlign w:val="bottom"/>
            <w:tcBorders>
              <w:top w:val="single" w:sz="8" w:color="95B3D7"/>
              <w:bottom w:val="single" w:sz="8" w:color="95B3D7"/>
            </w:tcBorders>
          </w:tcPr>
          <w:p>
            <w:pPr>
              <w:spacing w:after="0"/>
              <w:rPr>
                <w:sz w:val="10"/>
                <w:szCs w:val="10"/>
                <w:color w:val="auto"/>
              </w:rPr>
            </w:pPr>
          </w:p>
        </w:tc>
        <w:tc>
          <w:tcPr>
            <w:tcW w:w="200" w:type="dxa"/>
            <w:vAlign w:val="bottom"/>
            <w:tcBorders>
              <w:bottom w:val="single" w:sz="8" w:color="95B3D7"/>
            </w:tcBorders>
          </w:tcPr>
          <w:p>
            <w:pPr>
              <w:spacing w:after="0"/>
              <w:rPr>
                <w:sz w:val="10"/>
                <w:szCs w:val="10"/>
                <w:color w:val="auto"/>
              </w:rPr>
            </w:pPr>
          </w:p>
        </w:tc>
        <w:tc>
          <w:tcPr>
            <w:tcW w:w="280" w:type="dxa"/>
            <w:vAlign w:val="bottom"/>
            <w:tcBorders>
              <w:bottom w:val="single" w:sz="8" w:color="95B3D7"/>
            </w:tcBorders>
          </w:tcPr>
          <w:p>
            <w:pPr>
              <w:spacing w:after="0"/>
              <w:rPr>
                <w:sz w:val="10"/>
                <w:szCs w:val="10"/>
                <w:color w:val="auto"/>
              </w:rPr>
            </w:pPr>
          </w:p>
        </w:tc>
        <w:tc>
          <w:tcPr>
            <w:tcW w:w="520" w:type="dxa"/>
            <w:vAlign w:val="bottom"/>
            <w:tcBorders>
              <w:top w:val="single" w:sz="8" w:color="95B3D7"/>
              <w:bottom w:val="single" w:sz="8" w:color="95B3D7"/>
            </w:tcBorders>
          </w:tcPr>
          <w:p>
            <w:pPr>
              <w:spacing w:after="0"/>
              <w:rPr>
                <w:sz w:val="10"/>
                <w:szCs w:val="10"/>
                <w:color w:val="auto"/>
              </w:rPr>
            </w:pPr>
          </w:p>
        </w:tc>
        <w:tc>
          <w:tcPr>
            <w:tcW w:w="100" w:type="dxa"/>
            <w:vAlign w:val="bottom"/>
            <w:tcBorders>
              <w:top w:val="single" w:sz="8" w:color="95B3D7"/>
              <w:bottom w:val="single" w:sz="8" w:color="95B3D7"/>
            </w:tcBorders>
          </w:tcPr>
          <w:p>
            <w:pPr>
              <w:spacing w:after="0"/>
              <w:rPr>
                <w:sz w:val="10"/>
                <w:szCs w:val="10"/>
                <w:color w:val="auto"/>
              </w:rPr>
            </w:pPr>
          </w:p>
        </w:tc>
        <w:tc>
          <w:tcPr>
            <w:tcW w:w="200" w:type="dxa"/>
            <w:vAlign w:val="bottom"/>
            <w:tcBorders>
              <w:top w:val="single" w:sz="8" w:color="95B3D7"/>
              <w:bottom w:val="single" w:sz="8" w:color="95B3D7"/>
            </w:tcBorders>
          </w:tcPr>
          <w:p>
            <w:pPr>
              <w:spacing w:after="0"/>
              <w:rPr>
                <w:sz w:val="10"/>
                <w:szCs w:val="10"/>
                <w:color w:val="auto"/>
              </w:rPr>
            </w:pPr>
          </w:p>
        </w:tc>
        <w:tc>
          <w:tcPr>
            <w:tcW w:w="380" w:type="dxa"/>
            <w:vAlign w:val="bottom"/>
            <w:tcBorders>
              <w:top w:val="single" w:sz="8" w:color="95B3D7"/>
              <w:bottom w:val="single" w:sz="8" w:color="95B3D7"/>
            </w:tcBorders>
          </w:tcPr>
          <w:p>
            <w:pPr>
              <w:spacing w:after="0"/>
              <w:rPr>
                <w:sz w:val="10"/>
                <w:szCs w:val="10"/>
                <w:color w:val="auto"/>
              </w:rPr>
            </w:pPr>
          </w:p>
        </w:tc>
        <w:tc>
          <w:tcPr>
            <w:tcW w:w="940" w:type="dxa"/>
            <w:vAlign w:val="bottom"/>
            <w:tcBorders>
              <w:top w:val="single" w:sz="8" w:color="95B3D7"/>
              <w:bottom w:val="single" w:sz="8" w:color="95B3D7"/>
            </w:tcBorders>
          </w:tcPr>
          <w:p>
            <w:pPr>
              <w:spacing w:after="0"/>
              <w:rPr>
                <w:sz w:val="10"/>
                <w:szCs w:val="10"/>
                <w:color w:val="auto"/>
              </w:rPr>
            </w:pPr>
          </w:p>
        </w:tc>
        <w:tc>
          <w:tcPr>
            <w:tcW w:w="40" w:type="dxa"/>
            <w:vAlign w:val="bottom"/>
            <w:tcBorders>
              <w:bottom w:val="single" w:sz="8" w:color="95B3D7"/>
            </w:tcBorders>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3020" w:type="dxa"/>
            <w:vAlign w:val="bottom"/>
            <w:tcBorders>
              <w:right w:val="single" w:sz="8" w:color="DBE5F1"/>
            </w:tcBorders>
            <w:shd w:val="clear" w:color="auto" w:fill="DBE5F1"/>
          </w:tcPr>
          <w:p>
            <w:pPr>
              <w:spacing w:after="0" w:line="102" w:lineRule="exact"/>
              <w:rPr>
                <w:sz w:val="20"/>
                <w:szCs w:val="20"/>
                <w:color w:val="auto"/>
              </w:rPr>
            </w:pPr>
            <w:r>
              <w:rPr>
                <w:rFonts w:ascii="Arial" w:cs="Arial" w:eastAsia="Arial" w:hAnsi="Arial"/>
                <w:sz w:val="11"/>
                <w:szCs w:val="11"/>
                <w:color w:val="auto"/>
              </w:rPr>
              <w:t>John Kao</w:t>
            </w:r>
          </w:p>
        </w:tc>
        <w:tc>
          <w:tcPr>
            <w:tcW w:w="860" w:type="dxa"/>
            <w:vAlign w:val="bottom"/>
            <w:tcBorders>
              <w:right w:val="single" w:sz="8" w:color="DBE5F1"/>
            </w:tcBorders>
            <w:gridSpan w:val="3"/>
            <w:shd w:val="clear" w:color="auto" w:fill="DBE5F1"/>
          </w:tcPr>
          <w:p>
            <w:pPr>
              <w:jc w:val="right"/>
              <w:ind w:right="60"/>
              <w:spacing w:after="0" w:line="102" w:lineRule="exact"/>
              <w:rPr>
                <w:sz w:val="20"/>
                <w:szCs w:val="20"/>
                <w:color w:val="auto"/>
              </w:rPr>
            </w:pPr>
            <w:r>
              <w:rPr>
                <w:rFonts w:ascii="Arial" w:cs="Arial" w:eastAsia="Arial" w:hAnsi="Arial"/>
                <w:sz w:val="11"/>
                <w:szCs w:val="11"/>
                <w:color w:val="auto"/>
              </w:rPr>
              <w:t>9/14/2023</w:t>
            </w:r>
          </w:p>
        </w:tc>
        <w:tc>
          <w:tcPr>
            <w:tcW w:w="180" w:type="dxa"/>
            <w:vAlign w:val="bottom"/>
            <w:shd w:val="clear" w:color="auto" w:fill="DBE5F1"/>
          </w:tcPr>
          <w:p>
            <w:pPr>
              <w:spacing w:after="0"/>
              <w:rPr>
                <w:sz w:val="8"/>
                <w:szCs w:val="8"/>
                <w:color w:val="auto"/>
              </w:rPr>
            </w:pPr>
          </w:p>
        </w:tc>
        <w:tc>
          <w:tcPr>
            <w:tcW w:w="76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200" w:type="dxa"/>
            <w:vAlign w:val="bottom"/>
            <w:shd w:val="clear" w:color="auto" w:fill="DBE5F1"/>
          </w:tcPr>
          <w:p>
            <w:pPr>
              <w:spacing w:after="0"/>
              <w:rPr>
                <w:sz w:val="8"/>
                <w:szCs w:val="8"/>
                <w:color w:val="auto"/>
              </w:rPr>
            </w:pPr>
          </w:p>
        </w:tc>
        <w:tc>
          <w:tcPr>
            <w:tcW w:w="90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180" w:type="dxa"/>
            <w:vAlign w:val="bottom"/>
            <w:shd w:val="clear" w:color="auto" w:fill="DBE5F1"/>
          </w:tcPr>
          <w:p>
            <w:pPr>
              <w:spacing w:after="0"/>
              <w:rPr>
                <w:sz w:val="8"/>
                <w:szCs w:val="8"/>
                <w:color w:val="auto"/>
              </w:rPr>
            </w:pPr>
          </w:p>
        </w:tc>
        <w:tc>
          <w:tcPr>
            <w:tcW w:w="6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200" w:type="dxa"/>
            <w:vAlign w:val="bottom"/>
            <w:shd w:val="clear" w:color="auto" w:fill="DBE5F1"/>
          </w:tcPr>
          <w:p>
            <w:pPr>
              <w:spacing w:after="0"/>
              <w:rPr>
                <w:sz w:val="8"/>
                <w:szCs w:val="8"/>
                <w:color w:val="auto"/>
              </w:rPr>
            </w:pPr>
          </w:p>
        </w:tc>
        <w:tc>
          <w:tcPr>
            <w:tcW w:w="440" w:type="dxa"/>
            <w:vAlign w:val="bottom"/>
            <w:shd w:val="clear" w:color="auto" w:fill="DBE5F1"/>
          </w:tcPr>
          <w:p>
            <w:pPr>
              <w:spacing w:after="0"/>
              <w:rPr>
                <w:sz w:val="8"/>
                <w:szCs w:val="8"/>
                <w:color w:val="auto"/>
              </w:rPr>
            </w:pPr>
          </w:p>
        </w:tc>
        <w:tc>
          <w:tcPr>
            <w:tcW w:w="60" w:type="dxa"/>
            <w:vAlign w:val="bottom"/>
            <w:tcBorders>
              <w:right w:val="single" w:sz="8" w:color="DBE5F1"/>
            </w:tcBorders>
            <w:shd w:val="clear" w:color="auto" w:fill="DBE5F1"/>
          </w:tcPr>
          <w:p>
            <w:pPr>
              <w:spacing w:after="0"/>
              <w:rPr>
                <w:sz w:val="8"/>
                <w:szCs w:val="8"/>
                <w:color w:val="auto"/>
              </w:rPr>
            </w:pPr>
          </w:p>
        </w:tc>
        <w:tc>
          <w:tcPr>
            <w:tcW w:w="200" w:type="dxa"/>
            <w:vAlign w:val="bottom"/>
            <w:shd w:val="clear" w:color="auto" w:fill="DBE5F1"/>
          </w:tcPr>
          <w:p>
            <w:pPr>
              <w:spacing w:after="0"/>
              <w:rPr>
                <w:sz w:val="8"/>
                <w:szCs w:val="8"/>
                <w:color w:val="auto"/>
              </w:rPr>
            </w:pPr>
          </w:p>
        </w:tc>
        <w:tc>
          <w:tcPr>
            <w:tcW w:w="540" w:type="dxa"/>
            <w:vAlign w:val="bottom"/>
            <w:shd w:val="clear" w:color="auto" w:fill="DBE5F1"/>
          </w:tcPr>
          <w:p>
            <w:pPr>
              <w:spacing w:after="0"/>
              <w:rPr>
                <w:sz w:val="8"/>
                <w:szCs w:val="8"/>
                <w:color w:val="auto"/>
              </w:rPr>
            </w:pPr>
          </w:p>
        </w:tc>
        <w:tc>
          <w:tcPr>
            <w:tcW w:w="200" w:type="dxa"/>
            <w:vAlign w:val="bottom"/>
            <w:tcBorders>
              <w:right w:val="single" w:sz="8" w:color="DBE5F1"/>
            </w:tcBorders>
            <w:shd w:val="clear" w:color="auto" w:fill="DBE5F1"/>
          </w:tcPr>
          <w:p>
            <w:pPr>
              <w:spacing w:after="0"/>
              <w:rPr>
                <w:sz w:val="8"/>
                <w:szCs w:val="8"/>
                <w:color w:val="auto"/>
              </w:rPr>
            </w:pPr>
          </w:p>
        </w:tc>
        <w:tc>
          <w:tcPr>
            <w:tcW w:w="900" w:type="dxa"/>
            <w:vAlign w:val="bottom"/>
            <w:gridSpan w:val="3"/>
            <w:shd w:val="clear" w:color="auto" w:fill="DBE5F1"/>
          </w:tcPr>
          <w:p>
            <w:pPr>
              <w:jc w:val="right"/>
              <w:ind w:right="100"/>
              <w:spacing w:after="0" w:line="102" w:lineRule="exact"/>
              <w:rPr>
                <w:sz w:val="20"/>
                <w:szCs w:val="20"/>
                <w:color w:val="auto"/>
              </w:rPr>
            </w:pPr>
            <w:r>
              <w:rPr>
                <w:rFonts w:ascii="Arial" w:cs="Arial" w:eastAsia="Arial" w:hAnsi="Arial"/>
                <w:sz w:val="11"/>
                <w:szCs w:val="11"/>
                <w:color w:val="auto"/>
              </w:rPr>
              <w:t>2,177,333</w:t>
            </w:r>
          </w:p>
        </w:tc>
        <w:tc>
          <w:tcPr>
            <w:tcW w:w="1560" w:type="dxa"/>
            <w:vAlign w:val="bottom"/>
            <w:gridSpan w:val="4"/>
            <w:shd w:val="clear" w:color="auto" w:fill="DBE5F1"/>
          </w:tcPr>
          <w:p>
            <w:pPr>
              <w:jc w:val="right"/>
              <w:ind w:right="40"/>
              <w:spacing w:after="0" w:line="102" w:lineRule="exact"/>
              <w:rPr>
                <w:sz w:val="20"/>
                <w:szCs w:val="20"/>
                <w:color w:val="auto"/>
              </w:rPr>
            </w:pPr>
            <w:r>
              <w:rPr>
                <w:rFonts w:ascii="Arial" w:cs="Arial" w:eastAsia="Arial" w:hAnsi="Arial"/>
                <w:sz w:val="11"/>
                <w:szCs w:val="11"/>
                <w:color w:val="auto"/>
              </w:rPr>
              <w:t>18,746,837</w:t>
            </w:r>
          </w:p>
        </w:tc>
        <w:tc>
          <w:tcPr>
            <w:tcW w:w="0" w:type="dxa"/>
            <w:vAlign w:val="bottom"/>
          </w:tcPr>
          <w:p>
            <w:pPr>
              <w:spacing w:after="0"/>
              <w:rPr>
                <w:sz w:val="1"/>
                <w:szCs w:val="1"/>
                <w:color w:val="auto"/>
              </w:rPr>
            </w:pPr>
          </w:p>
        </w:tc>
      </w:tr>
      <w:tr>
        <w:trPr>
          <w:trHeight w:val="122"/>
        </w:trPr>
        <w:tc>
          <w:tcPr>
            <w:tcW w:w="3020" w:type="dxa"/>
            <w:vAlign w:val="bottom"/>
            <w:tcBorders>
              <w:right w:val="single" w:sz="8" w:color="DBE5F1"/>
            </w:tcBorders>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68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9/12/2022</w:t>
            </w:r>
          </w:p>
        </w:tc>
        <w:tc>
          <w:tcPr>
            <w:tcW w:w="180" w:type="dxa"/>
            <w:vAlign w:val="bottom"/>
            <w:shd w:val="clear" w:color="auto" w:fill="DBE5F1"/>
          </w:tcPr>
          <w:p>
            <w:pPr>
              <w:spacing w:after="0"/>
              <w:rPr>
                <w:sz w:val="10"/>
                <w:szCs w:val="10"/>
                <w:color w:val="auto"/>
              </w:rPr>
            </w:pPr>
          </w:p>
        </w:tc>
        <w:tc>
          <w:tcPr>
            <w:tcW w:w="1020" w:type="dxa"/>
            <w:vAlign w:val="bottom"/>
            <w:gridSpan w:val="3"/>
            <w:shd w:val="clear" w:color="auto" w:fill="DBE5F1"/>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96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DBE5F1"/>
          </w:tcPr>
          <w:p>
            <w:pPr>
              <w:spacing w:after="0"/>
              <w:rPr>
                <w:sz w:val="10"/>
                <w:szCs w:val="10"/>
                <w:color w:val="auto"/>
              </w:rPr>
            </w:pPr>
          </w:p>
        </w:tc>
        <w:tc>
          <w:tcPr>
            <w:tcW w:w="700" w:type="dxa"/>
            <w:vAlign w:val="bottom"/>
            <w:tcBorders>
              <w:right w:val="single" w:sz="8" w:color="DBE5F1"/>
            </w:tcBorders>
            <w:gridSpan w:val="2"/>
            <w:shd w:val="clear" w:color="auto" w:fill="DBE5F1"/>
          </w:tcPr>
          <w:p>
            <w:pPr>
              <w:ind w:left="5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BE5F1"/>
          </w:tcPr>
          <w:p>
            <w:pPr>
              <w:spacing w:after="0"/>
              <w:rPr>
                <w:sz w:val="10"/>
                <w:szCs w:val="10"/>
                <w:color w:val="auto"/>
              </w:rPr>
            </w:pPr>
          </w:p>
        </w:tc>
        <w:tc>
          <w:tcPr>
            <w:tcW w:w="5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BE5F1"/>
          </w:tcPr>
          <w:p>
            <w:pPr>
              <w:spacing w:after="0"/>
              <w:rPr>
                <w:sz w:val="10"/>
                <w:szCs w:val="10"/>
                <w:color w:val="auto"/>
              </w:rPr>
            </w:pPr>
          </w:p>
        </w:tc>
        <w:tc>
          <w:tcPr>
            <w:tcW w:w="740" w:type="dxa"/>
            <w:vAlign w:val="bottom"/>
            <w:tcBorders>
              <w:right w:val="single" w:sz="8" w:color="DBE5F1"/>
            </w:tcBorders>
            <w:gridSpan w:val="2"/>
            <w:shd w:val="clear" w:color="auto" w:fill="DBE5F1"/>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DBE5F1"/>
          </w:tcPr>
          <w:p>
            <w:pPr>
              <w:jc w:val="right"/>
              <w:ind w:right="100"/>
              <w:spacing w:after="0" w:line="122" w:lineRule="exact"/>
              <w:rPr>
                <w:sz w:val="20"/>
                <w:szCs w:val="20"/>
                <w:color w:val="auto"/>
              </w:rPr>
            </w:pPr>
            <w:r>
              <w:rPr>
                <w:rFonts w:ascii="Arial" w:cs="Arial" w:eastAsia="Arial" w:hAnsi="Arial"/>
                <w:sz w:val="11"/>
                <w:szCs w:val="11"/>
                <w:color w:val="auto"/>
              </w:rPr>
              <w:t>1,639,027</w:t>
            </w:r>
          </w:p>
        </w:tc>
        <w:tc>
          <w:tcPr>
            <w:tcW w:w="1560" w:type="dxa"/>
            <w:vAlign w:val="bottom"/>
            <w:gridSpan w:val="4"/>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14,112,022</w:t>
            </w:r>
          </w:p>
        </w:tc>
        <w:tc>
          <w:tcPr>
            <w:tcW w:w="0" w:type="dxa"/>
            <w:vAlign w:val="bottom"/>
          </w:tcPr>
          <w:p>
            <w:pPr>
              <w:spacing w:after="0"/>
              <w:rPr>
                <w:sz w:val="1"/>
                <w:szCs w:val="1"/>
                <w:color w:val="auto"/>
              </w:rPr>
            </w:pPr>
          </w:p>
        </w:tc>
      </w:tr>
      <w:tr>
        <w:trPr>
          <w:trHeight w:val="122"/>
        </w:trPr>
        <w:tc>
          <w:tcPr>
            <w:tcW w:w="3020" w:type="dxa"/>
            <w:vAlign w:val="bottom"/>
            <w:tcBorders>
              <w:right w:val="single" w:sz="8" w:color="DBE5F1"/>
            </w:tcBorders>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62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3/8/2022</w:t>
            </w:r>
          </w:p>
        </w:tc>
        <w:tc>
          <w:tcPr>
            <w:tcW w:w="60" w:type="dxa"/>
            <w:vAlign w:val="bottom"/>
            <w:tcBorders>
              <w:right w:val="single" w:sz="8" w:color="DBE5F1"/>
            </w:tcBorders>
            <w:shd w:val="clear" w:color="auto" w:fill="DBE5F1"/>
          </w:tcPr>
          <w:p>
            <w:pPr>
              <w:spacing w:after="0"/>
              <w:rPr>
                <w:sz w:val="10"/>
                <w:szCs w:val="10"/>
                <w:color w:val="auto"/>
              </w:rPr>
            </w:pPr>
          </w:p>
        </w:tc>
        <w:tc>
          <w:tcPr>
            <w:tcW w:w="1000" w:type="dxa"/>
            <w:vAlign w:val="bottom"/>
            <w:tcBorders>
              <w:right w:val="single" w:sz="8" w:color="DBE5F1"/>
            </w:tcBorders>
            <w:gridSpan w:val="3"/>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91,241</w:t>
            </w:r>
          </w:p>
        </w:tc>
        <w:tc>
          <w:tcPr>
            <w:tcW w:w="200" w:type="dxa"/>
            <w:vAlign w:val="bottom"/>
            <w:shd w:val="clear" w:color="auto" w:fill="DBE5F1"/>
          </w:tcPr>
          <w:p>
            <w:pPr>
              <w:spacing w:after="0"/>
              <w:rPr>
                <w:sz w:val="10"/>
                <w:szCs w:val="10"/>
                <w:color w:val="auto"/>
              </w:rPr>
            </w:pPr>
          </w:p>
        </w:tc>
        <w:tc>
          <w:tcPr>
            <w:tcW w:w="96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273,723</w:t>
            </w:r>
          </w:p>
        </w:tc>
        <w:tc>
          <w:tcPr>
            <w:tcW w:w="180" w:type="dxa"/>
            <w:vAlign w:val="bottom"/>
            <w:shd w:val="clear" w:color="auto" w:fill="DBE5F1"/>
          </w:tcPr>
          <w:p>
            <w:pPr>
              <w:spacing w:after="0"/>
              <w:rPr>
                <w:sz w:val="10"/>
                <w:szCs w:val="10"/>
                <w:color w:val="auto"/>
              </w:rPr>
            </w:pPr>
          </w:p>
        </w:tc>
        <w:tc>
          <w:tcPr>
            <w:tcW w:w="700" w:type="dxa"/>
            <w:vAlign w:val="bottom"/>
            <w:tcBorders>
              <w:right w:val="single" w:sz="8" w:color="DBE5F1"/>
            </w:tcBorders>
            <w:gridSpan w:val="2"/>
            <w:shd w:val="clear" w:color="auto" w:fill="DBE5F1"/>
          </w:tcPr>
          <w:p>
            <w:pPr>
              <w:ind w:left="540"/>
              <w:spacing w:after="0" w:line="122" w:lineRule="exact"/>
              <w:rPr>
                <w:sz w:val="20"/>
                <w:szCs w:val="20"/>
                <w:color w:val="auto"/>
              </w:rPr>
            </w:pPr>
            <w:r>
              <w:rPr>
                <w:rFonts w:ascii="Arial" w:cs="Arial" w:eastAsia="Arial" w:hAnsi="Arial"/>
                <w:sz w:val="11"/>
                <w:szCs w:val="11"/>
                <w:color w:val="auto"/>
              </w:rPr>
              <w:t>—</w:t>
            </w:r>
          </w:p>
        </w:tc>
        <w:tc>
          <w:tcPr>
            <w:tcW w:w="700" w:type="dxa"/>
            <w:vAlign w:val="bottom"/>
            <w:tcBorders>
              <w:right w:val="single" w:sz="8" w:color="DBE5F1"/>
            </w:tcBorders>
            <w:gridSpan w:val="3"/>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9.06</w:t>
            </w:r>
          </w:p>
        </w:tc>
        <w:tc>
          <w:tcPr>
            <w:tcW w:w="740" w:type="dxa"/>
            <w:vAlign w:val="bottom"/>
            <w:gridSpan w:val="2"/>
            <w:shd w:val="clear" w:color="auto" w:fill="DBE5F1"/>
          </w:tcPr>
          <w:p>
            <w:pPr>
              <w:jc w:val="right"/>
              <w:spacing w:after="0" w:line="122" w:lineRule="exact"/>
              <w:rPr>
                <w:sz w:val="20"/>
                <w:szCs w:val="20"/>
                <w:color w:val="auto"/>
              </w:rPr>
            </w:pPr>
            <w:r>
              <w:rPr>
                <w:rFonts w:ascii="Arial" w:cs="Arial" w:eastAsia="Arial" w:hAnsi="Arial"/>
                <w:sz w:val="11"/>
                <w:szCs w:val="11"/>
                <w:color w:val="auto"/>
              </w:rPr>
              <w:t>3/8/2032</w:t>
            </w:r>
          </w:p>
        </w:tc>
        <w:tc>
          <w:tcPr>
            <w:tcW w:w="200" w:type="dxa"/>
            <w:vAlign w:val="bottom"/>
            <w:tcBorders>
              <w:right w:val="single" w:sz="8" w:color="DBE5F1"/>
            </w:tcBorders>
            <w:shd w:val="clear" w:color="auto" w:fill="DBE5F1"/>
          </w:tcPr>
          <w:p>
            <w:pPr>
              <w:spacing w:after="0"/>
              <w:rPr>
                <w:sz w:val="10"/>
                <w:szCs w:val="10"/>
                <w:color w:val="auto"/>
              </w:rPr>
            </w:pPr>
          </w:p>
        </w:tc>
        <w:tc>
          <w:tcPr>
            <w:tcW w:w="280" w:type="dxa"/>
            <w:vAlign w:val="bottom"/>
            <w:shd w:val="clear" w:color="auto" w:fill="DBE5F1"/>
          </w:tcPr>
          <w:p>
            <w:pPr>
              <w:spacing w:after="0"/>
              <w:rPr>
                <w:sz w:val="10"/>
                <w:szCs w:val="10"/>
                <w:color w:val="auto"/>
              </w:rPr>
            </w:pPr>
          </w:p>
        </w:tc>
        <w:tc>
          <w:tcPr>
            <w:tcW w:w="620" w:type="dxa"/>
            <w:vAlign w:val="bottom"/>
            <w:gridSpan w:val="2"/>
            <w:shd w:val="clear" w:color="auto" w:fill="DBE5F1"/>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right w:val="single" w:sz="8" w:color="DBE5F1"/>
            </w:tcBorders>
            <w:shd w:val="clear" w:color="auto" w:fill="DBE5F1"/>
          </w:tcPr>
          <w:p>
            <w:pPr>
              <w:spacing w:after="0"/>
              <w:rPr>
                <w:sz w:val="10"/>
                <w:szCs w:val="10"/>
                <w:color w:val="auto"/>
              </w:rPr>
            </w:pPr>
          </w:p>
        </w:tc>
        <w:tc>
          <w:tcPr>
            <w:tcW w:w="380" w:type="dxa"/>
            <w:vAlign w:val="bottom"/>
            <w:shd w:val="clear" w:color="auto" w:fill="DBE5F1"/>
          </w:tcPr>
          <w:p>
            <w:pPr>
              <w:spacing w:after="0"/>
              <w:rPr>
                <w:sz w:val="10"/>
                <w:szCs w:val="10"/>
                <w:color w:val="auto"/>
              </w:rPr>
            </w:pPr>
          </w:p>
        </w:tc>
        <w:tc>
          <w:tcPr>
            <w:tcW w:w="980" w:type="dxa"/>
            <w:vAlign w:val="bottom"/>
            <w:gridSpan w:val="2"/>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020" w:type="dxa"/>
            <w:vAlign w:val="bottom"/>
            <w:tcBorders>
              <w:right w:val="single" w:sz="8" w:color="DBE5F1"/>
            </w:tcBorders>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62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3/8/2022</w:t>
            </w:r>
          </w:p>
        </w:tc>
        <w:tc>
          <w:tcPr>
            <w:tcW w:w="60" w:type="dxa"/>
            <w:vAlign w:val="bottom"/>
            <w:tcBorders>
              <w:right w:val="single" w:sz="8" w:color="DBE5F1"/>
            </w:tcBorders>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1020" w:type="dxa"/>
            <w:vAlign w:val="bottom"/>
            <w:gridSpan w:val="3"/>
            <w:shd w:val="clear" w:color="auto" w:fill="DBE5F1"/>
          </w:tcPr>
          <w:p>
            <w:pPr>
              <w:jc w:val="right"/>
              <w:ind w:right="260"/>
              <w:spacing w:after="0" w:line="122" w:lineRule="exact"/>
              <w:rPr>
                <w:sz w:val="20"/>
                <w:szCs w:val="20"/>
                <w:color w:val="auto"/>
              </w:rPr>
            </w:pPr>
            <w:r>
              <w:rPr>
                <w:rFonts w:ascii="Arial" w:cs="Arial" w:eastAsia="Arial" w:hAnsi="Arial"/>
                <w:sz w:val="11"/>
                <w:szCs w:val="11"/>
                <w:color w:val="auto"/>
              </w:rPr>
              <w:t>—</w:t>
            </w:r>
          </w:p>
        </w:tc>
        <w:tc>
          <w:tcPr>
            <w:tcW w:w="96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80" w:type="dxa"/>
            <w:vAlign w:val="bottom"/>
            <w:shd w:val="clear" w:color="auto" w:fill="DBE5F1"/>
          </w:tcPr>
          <w:p>
            <w:pPr>
              <w:spacing w:after="0"/>
              <w:rPr>
                <w:sz w:val="10"/>
                <w:szCs w:val="10"/>
                <w:color w:val="auto"/>
              </w:rPr>
            </w:pPr>
          </w:p>
        </w:tc>
        <w:tc>
          <w:tcPr>
            <w:tcW w:w="700" w:type="dxa"/>
            <w:vAlign w:val="bottom"/>
            <w:tcBorders>
              <w:right w:val="single" w:sz="8" w:color="DBE5F1"/>
            </w:tcBorders>
            <w:gridSpan w:val="2"/>
            <w:shd w:val="clear" w:color="auto" w:fill="DBE5F1"/>
          </w:tcPr>
          <w:p>
            <w:pPr>
              <w:ind w:left="54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BE5F1"/>
          </w:tcPr>
          <w:p>
            <w:pPr>
              <w:spacing w:after="0"/>
              <w:rPr>
                <w:sz w:val="10"/>
                <w:szCs w:val="10"/>
                <w:color w:val="auto"/>
              </w:rPr>
            </w:pPr>
          </w:p>
        </w:tc>
        <w:tc>
          <w:tcPr>
            <w:tcW w:w="50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200" w:type="dxa"/>
            <w:vAlign w:val="bottom"/>
            <w:shd w:val="clear" w:color="auto" w:fill="DBE5F1"/>
          </w:tcPr>
          <w:p>
            <w:pPr>
              <w:spacing w:after="0"/>
              <w:rPr>
                <w:sz w:val="10"/>
                <w:szCs w:val="10"/>
                <w:color w:val="auto"/>
              </w:rPr>
            </w:pPr>
          </w:p>
        </w:tc>
        <w:tc>
          <w:tcPr>
            <w:tcW w:w="740" w:type="dxa"/>
            <w:vAlign w:val="bottom"/>
            <w:tcBorders>
              <w:right w:val="single" w:sz="8" w:color="DBE5F1"/>
            </w:tcBorders>
            <w:gridSpan w:val="2"/>
            <w:shd w:val="clear" w:color="auto" w:fill="DBE5F1"/>
          </w:tcPr>
          <w:p>
            <w:pPr>
              <w:jc w:val="right"/>
              <w:ind w:right="200"/>
              <w:spacing w:after="0" w:line="122"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DBE5F1"/>
          </w:tcPr>
          <w:p>
            <w:pPr>
              <w:jc w:val="right"/>
              <w:ind w:right="100"/>
              <w:spacing w:after="0" w:line="122" w:lineRule="exact"/>
              <w:rPr>
                <w:sz w:val="20"/>
                <w:szCs w:val="20"/>
                <w:color w:val="auto"/>
              </w:rPr>
            </w:pPr>
            <w:r>
              <w:rPr>
                <w:rFonts w:ascii="Arial" w:cs="Arial" w:eastAsia="Arial" w:hAnsi="Arial"/>
                <w:sz w:val="11"/>
                <w:szCs w:val="11"/>
                <w:color w:val="auto"/>
              </w:rPr>
              <w:t>372,516</w:t>
            </w:r>
          </w:p>
        </w:tc>
        <w:tc>
          <w:tcPr>
            <w:tcW w:w="1560" w:type="dxa"/>
            <w:vAlign w:val="bottom"/>
            <w:gridSpan w:val="4"/>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3,207,363</w:t>
            </w:r>
          </w:p>
        </w:tc>
        <w:tc>
          <w:tcPr>
            <w:tcW w:w="0" w:type="dxa"/>
            <w:vAlign w:val="bottom"/>
          </w:tcPr>
          <w:p>
            <w:pPr>
              <w:spacing w:after="0"/>
              <w:rPr>
                <w:sz w:val="1"/>
                <w:szCs w:val="1"/>
                <w:color w:val="auto"/>
              </w:rPr>
            </w:pPr>
          </w:p>
        </w:tc>
      </w:tr>
      <w:tr>
        <w:trPr>
          <w:trHeight w:val="122"/>
        </w:trPr>
        <w:tc>
          <w:tcPr>
            <w:tcW w:w="3020" w:type="dxa"/>
            <w:vAlign w:val="bottom"/>
            <w:tcBorders>
              <w:right w:val="single" w:sz="8" w:color="DBE5F1"/>
            </w:tcBorders>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62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3/25/2021</w:t>
            </w:r>
          </w:p>
        </w:tc>
        <w:tc>
          <w:tcPr>
            <w:tcW w:w="60" w:type="dxa"/>
            <w:vAlign w:val="bottom"/>
            <w:tcBorders>
              <w:right w:val="single" w:sz="8" w:color="DBE5F1"/>
            </w:tcBorders>
            <w:shd w:val="clear" w:color="auto" w:fill="DBE5F1"/>
          </w:tcPr>
          <w:p>
            <w:pPr>
              <w:spacing w:after="0"/>
              <w:rPr>
                <w:sz w:val="10"/>
                <w:szCs w:val="10"/>
                <w:color w:val="auto"/>
              </w:rPr>
            </w:pPr>
          </w:p>
        </w:tc>
        <w:tc>
          <w:tcPr>
            <w:tcW w:w="1000" w:type="dxa"/>
            <w:vAlign w:val="bottom"/>
            <w:tcBorders>
              <w:right w:val="single" w:sz="8" w:color="DBE5F1"/>
            </w:tcBorders>
            <w:gridSpan w:val="3"/>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1,958,334</w:t>
            </w:r>
          </w:p>
        </w:tc>
        <w:tc>
          <w:tcPr>
            <w:tcW w:w="200" w:type="dxa"/>
            <w:vAlign w:val="bottom"/>
            <w:shd w:val="clear" w:color="auto" w:fill="DBE5F1"/>
          </w:tcPr>
          <w:p>
            <w:pPr>
              <w:spacing w:after="0"/>
              <w:rPr>
                <w:sz w:val="10"/>
                <w:szCs w:val="10"/>
                <w:color w:val="auto"/>
              </w:rPr>
            </w:pPr>
          </w:p>
        </w:tc>
        <w:tc>
          <w:tcPr>
            <w:tcW w:w="960" w:type="dxa"/>
            <w:vAlign w:val="bottom"/>
            <w:tcBorders>
              <w:right w:val="single" w:sz="8" w:color="DBE5F1"/>
            </w:tcBorders>
            <w:gridSpan w:val="2"/>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1,958,334</w:t>
            </w:r>
          </w:p>
        </w:tc>
        <w:tc>
          <w:tcPr>
            <w:tcW w:w="180" w:type="dxa"/>
            <w:vAlign w:val="bottom"/>
            <w:shd w:val="clear" w:color="auto" w:fill="DBE5F1"/>
          </w:tcPr>
          <w:p>
            <w:pPr>
              <w:spacing w:after="0"/>
              <w:rPr>
                <w:sz w:val="10"/>
                <w:szCs w:val="10"/>
                <w:color w:val="auto"/>
              </w:rPr>
            </w:pPr>
          </w:p>
        </w:tc>
        <w:tc>
          <w:tcPr>
            <w:tcW w:w="700" w:type="dxa"/>
            <w:vAlign w:val="bottom"/>
            <w:tcBorders>
              <w:right w:val="single" w:sz="8" w:color="DBE5F1"/>
            </w:tcBorders>
            <w:gridSpan w:val="2"/>
            <w:shd w:val="clear" w:color="auto" w:fill="DBE5F1"/>
          </w:tcPr>
          <w:p>
            <w:pPr>
              <w:ind w:left="540"/>
              <w:spacing w:after="0" w:line="122" w:lineRule="exact"/>
              <w:rPr>
                <w:sz w:val="20"/>
                <w:szCs w:val="20"/>
                <w:color w:val="auto"/>
              </w:rPr>
            </w:pPr>
            <w:r>
              <w:rPr>
                <w:rFonts w:ascii="Arial" w:cs="Arial" w:eastAsia="Arial" w:hAnsi="Arial"/>
                <w:sz w:val="11"/>
                <w:szCs w:val="11"/>
                <w:color w:val="auto"/>
              </w:rPr>
              <w:t>—</w:t>
            </w:r>
          </w:p>
        </w:tc>
        <w:tc>
          <w:tcPr>
            <w:tcW w:w="700" w:type="dxa"/>
            <w:vAlign w:val="bottom"/>
            <w:tcBorders>
              <w:right w:val="single" w:sz="8" w:color="DBE5F1"/>
            </w:tcBorders>
            <w:gridSpan w:val="3"/>
            <w:shd w:val="clear" w:color="auto" w:fill="DBE5F1"/>
          </w:tcPr>
          <w:p>
            <w:pPr>
              <w:jc w:val="right"/>
              <w:ind w:right="60"/>
              <w:spacing w:after="0" w:line="122" w:lineRule="exact"/>
              <w:rPr>
                <w:sz w:val="20"/>
                <w:szCs w:val="20"/>
                <w:color w:val="auto"/>
              </w:rPr>
            </w:pPr>
            <w:r>
              <w:rPr>
                <w:rFonts w:ascii="Arial" w:cs="Arial" w:eastAsia="Arial" w:hAnsi="Arial"/>
                <w:sz w:val="11"/>
                <w:szCs w:val="11"/>
                <w:color w:val="auto"/>
              </w:rPr>
              <w:t>18.00</w:t>
            </w:r>
          </w:p>
        </w:tc>
        <w:tc>
          <w:tcPr>
            <w:tcW w:w="940" w:type="dxa"/>
            <w:vAlign w:val="bottom"/>
            <w:tcBorders>
              <w:right w:val="single" w:sz="8" w:color="DBE5F1"/>
            </w:tcBorders>
            <w:gridSpan w:val="3"/>
            <w:shd w:val="clear" w:color="auto" w:fill="DBE5F1"/>
          </w:tcPr>
          <w:p>
            <w:pPr>
              <w:jc w:val="right"/>
              <w:ind w:right="200"/>
              <w:spacing w:after="0" w:line="122" w:lineRule="exact"/>
              <w:rPr>
                <w:sz w:val="20"/>
                <w:szCs w:val="20"/>
                <w:color w:val="auto"/>
              </w:rPr>
            </w:pPr>
            <w:r>
              <w:rPr>
                <w:rFonts w:ascii="Arial" w:cs="Arial" w:eastAsia="Arial" w:hAnsi="Arial"/>
                <w:sz w:val="11"/>
                <w:szCs w:val="11"/>
                <w:color w:val="auto"/>
              </w:rPr>
              <w:t>3/25/2031</w:t>
            </w:r>
          </w:p>
        </w:tc>
        <w:tc>
          <w:tcPr>
            <w:tcW w:w="280" w:type="dxa"/>
            <w:vAlign w:val="bottom"/>
            <w:shd w:val="clear" w:color="auto" w:fill="DBE5F1"/>
          </w:tcPr>
          <w:p>
            <w:pPr>
              <w:spacing w:after="0"/>
              <w:rPr>
                <w:sz w:val="10"/>
                <w:szCs w:val="10"/>
                <w:color w:val="auto"/>
              </w:rPr>
            </w:pPr>
          </w:p>
        </w:tc>
        <w:tc>
          <w:tcPr>
            <w:tcW w:w="620" w:type="dxa"/>
            <w:vAlign w:val="bottom"/>
            <w:gridSpan w:val="2"/>
            <w:shd w:val="clear" w:color="auto" w:fill="DBE5F1"/>
          </w:tcPr>
          <w:p>
            <w:pPr>
              <w:jc w:val="right"/>
              <w:ind w:right="100"/>
              <w:spacing w:after="0" w:line="122" w:lineRule="exact"/>
              <w:rPr>
                <w:sz w:val="20"/>
                <w:szCs w:val="20"/>
                <w:color w:val="auto"/>
              </w:rPr>
            </w:pPr>
            <w:r>
              <w:rPr>
                <w:rFonts w:ascii="Arial" w:cs="Arial" w:eastAsia="Arial" w:hAnsi="Arial"/>
                <w:sz w:val="11"/>
                <w:szCs w:val="11"/>
                <w:color w:val="auto"/>
              </w:rPr>
              <w:t>—</w:t>
            </w:r>
          </w:p>
        </w:tc>
        <w:tc>
          <w:tcPr>
            <w:tcW w:w="200" w:type="dxa"/>
            <w:vAlign w:val="bottom"/>
            <w:tcBorders>
              <w:right w:val="single" w:sz="8" w:color="DBE5F1"/>
            </w:tcBorders>
            <w:shd w:val="clear" w:color="auto" w:fill="DBE5F1"/>
          </w:tcPr>
          <w:p>
            <w:pPr>
              <w:spacing w:after="0"/>
              <w:rPr>
                <w:sz w:val="10"/>
                <w:szCs w:val="10"/>
                <w:color w:val="auto"/>
              </w:rPr>
            </w:pPr>
          </w:p>
        </w:tc>
        <w:tc>
          <w:tcPr>
            <w:tcW w:w="380" w:type="dxa"/>
            <w:vAlign w:val="bottom"/>
            <w:shd w:val="clear" w:color="auto" w:fill="DBE5F1"/>
          </w:tcPr>
          <w:p>
            <w:pPr>
              <w:spacing w:after="0"/>
              <w:rPr>
                <w:sz w:val="10"/>
                <w:szCs w:val="10"/>
                <w:color w:val="auto"/>
              </w:rPr>
            </w:pPr>
          </w:p>
        </w:tc>
        <w:tc>
          <w:tcPr>
            <w:tcW w:w="980" w:type="dxa"/>
            <w:vAlign w:val="bottom"/>
            <w:gridSpan w:val="2"/>
            <w:shd w:val="clear" w:color="auto" w:fill="DBE5F1"/>
          </w:tcPr>
          <w:p>
            <w:pPr>
              <w:jc w:val="right"/>
              <w:ind w:right="40"/>
              <w:spacing w:after="0" w:line="122"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21"/>
        </w:trPr>
        <w:tc>
          <w:tcPr>
            <w:tcW w:w="3020" w:type="dxa"/>
            <w:vAlign w:val="bottom"/>
            <w:tcBorders>
              <w:right w:val="single" w:sz="8" w:color="DBE5F1"/>
            </w:tcBorders>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620" w:type="dxa"/>
            <w:vAlign w:val="bottom"/>
            <w:shd w:val="clear" w:color="auto" w:fill="DBE5F1"/>
          </w:tcPr>
          <w:p>
            <w:pPr>
              <w:jc w:val="right"/>
              <w:spacing w:after="0" w:line="121" w:lineRule="exact"/>
              <w:rPr>
                <w:sz w:val="20"/>
                <w:szCs w:val="20"/>
                <w:color w:val="auto"/>
              </w:rPr>
            </w:pPr>
            <w:r>
              <w:rPr>
                <w:rFonts w:ascii="Arial" w:cs="Arial" w:eastAsia="Arial" w:hAnsi="Arial"/>
                <w:sz w:val="11"/>
                <w:szCs w:val="11"/>
                <w:color w:val="auto"/>
              </w:rPr>
              <w:t>3/25/2021</w:t>
            </w:r>
          </w:p>
        </w:tc>
        <w:tc>
          <w:tcPr>
            <w:tcW w:w="60" w:type="dxa"/>
            <w:vAlign w:val="bottom"/>
            <w:tcBorders>
              <w:right w:val="single" w:sz="8" w:color="DBE5F1"/>
            </w:tcBorders>
            <w:shd w:val="clear" w:color="auto" w:fill="DBE5F1"/>
          </w:tcPr>
          <w:p>
            <w:pPr>
              <w:spacing w:after="0"/>
              <w:rPr>
                <w:sz w:val="10"/>
                <w:szCs w:val="10"/>
                <w:color w:val="auto"/>
              </w:rPr>
            </w:pPr>
          </w:p>
        </w:tc>
        <w:tc>
          <w:tcPr>
            <w:tcW w:w="180" w:type="dxa"/>
            <w:vAlign w:val="bottom"/>
            <w:shd w:val="clear" w:color="auto" w:fill="DBE5F1"/>
          </w:tcPr>
          <w:p>
            <w:pPr>
              <w:spacing w:after="0"/>
              <w:rPr>
                <w:sz w:val="10"/>
                <w:szCs w:val="10"/>
                <w:color w:val="auto"/>
              </w:rPr>
            </w:pPr>
          </w:p>
        </w:tc>
        <w:tc>
          <w:tcPr>
            <w:tcW w:w="1020" w:type="dxa"/>
            <w:vAlign w:val="bottom"/>
            <w:gridSpan w:val="3"/>
            <w:shd w:val="clear" w:color="auto" w:fill="DBE5F1"/>
          </w:tcPr>
          <w:p>
            <w:pPr>
              <w:jc w:val="right"/>
              <w:ind w:right="260"/>
              <w:spacing w:after="0" w:line="121" w:lineRule="exact"/>
              <w:rPr>
                <w:sz w:val="20"/>
                <w:szCs w:val="20"/>
                <w:color w:val="auto"/>
              </w:rPr>
            </w:pPr>
            <w:r>
              <w:rPr>
                <w:rFonts w:ascii="Arial" w:cs="Arial" w:eastAsia="Arial" w:hAnsi="Arial"/>
                <w:sz w:val="11"/>
                <w:szCs w:val="11"/>
                <w:color w:val="auto"/>
              </w:rPr>
              <w:t>—</w:t>
            </w:r>
          </w:p>
        </w:tc>
        <w:tc>
          <w:tcPr>
            <w:tcW w:w="960" w:type="dxa"/>
            <w:vAlign w:val="bottom"/>
            <w:tcBorders>
              <w:right w:val="single" w:sz="8" w:color="DBE5F1"/>
            </w:tcBorders>
            <w:gridSpan w:val="2"/>
            <w:shd w:val="clear" w:color="auto" w:fill="DBE5F1"/>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80" w:type="dxa"/>
            <w:vAlign w:val="bottom"/>
            <w:shd w:val="clear" w:color="auto" w:fill="DBE5F1"/>
          </w:tcPr>
          <w:p>
            <w:pPr>
              <w:spacing w:after="0"/>
              <w:rPr>
                <w:sz w:val="10"/>
                <w:szCs w:val="10"/>
                <w:color w:val="auto"/>
              </w:rPr>
            </w:pPr>
          </w:p>
        </w:tc>
        <w:tc>
          <w:tcPr>
            <w:tcW w:w="700" w:type="dxa"/>
            <w:vAlign w:val="bottom"/>
            <w:tcBorders>
              <w:right w:val="single" w:sz="8" w:color="DBE5F1"/>
            </w:tcBorders>
            <w:gridSpan w:val="2"/>
            <w:shd w:val="clear" w:color="auto" w:fill="DBE5F1"/>
          </w:tcPr>
          <w:p>
            <w:pPr>
              <w:ind w:left="540"/>
              <w:spacing w:after="0" w:line="121" w:lineRule="exact"/>
              <w:rPr>
                <w:sz w:val="20"/>
                <w:szCs w:val="20"/>
                <w:color w:val="auto"/>
              </w:rPr>
            </w:pPr>
            <w:r>
              <w:rPr>
                <w:rFonts w:ascii="Arial" w:cs="Arial" w:eastAsia="Arial" w:hAnsi="Arial"/>
                <w:sz w:val="11"/>
                <w:szCs w:val="11"/>
                <w:color w:val="auto"/>
              </w:rPr>
              <w:t>—</w:t>
            </w:r>
          </w:p>
        </w:tc>
        <w:tc>
          <w:tcPr>
            <w:tcW w:w="200" w:type="dxa"/>
            <w:vAlign w:val="bottom"/>
            <w:shd w:val="clear" w:color="auto" w:fill="DBE5F1"/>
          </w:tcPr>
          <w:p>
            <w:pPr>
              <w:spacing w:after="0"/>
              <w:rPr>
                <w:sz w:val="10"/>
                <w:szCs w:val="10"/>
                <w:color w:val="auto"/>
              </w:rPr>
            </w:pPr>
          </w:p>
        </w:tc>
        <w:tc>
          <w:tcPr>
            <w:tcW w:w="500" w:type="dxa"/>
            <w:vAlign w:val="bottom"/>
            <w:tcBorders>
              <w:right w:val="single" w:sz="8" w:color="DBE5F1"/>
            </w:tcBorders>
            <w:gridSpan w:val="2"/>
            <w:shd w:val="clear" w:color="auto" w:fill="DBE5F1"/>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200" w:type="dxa"/>
            <w:vAlign w:val="bottom"/>
            <w:shd w:val="clear" w:color="auto" w:fill="DBE5F1"/>
          </w:tcPr>
          <w:p>
            <w:pPr>
              <w:spacing w:after="0"/>
              <w:rPr>
                <w:sz w:val="10"/>
                <w:szCs w:val="10"/>
                <w:color w:val="auto"/>
              </w:rPr>
            </w:pPr>
          </w:p>
        </w:tc>
        <w:tc>
          <w:tcPr>
            <w:tcW w:w="740" w:type="dxa"/>
            <w:vAlign w:val="bottom"/>
            <w:tcBorders>
              <w:right w:val="single" w:sz="8" w:color="DBE5F1"/>
            </w:tcBorders>
            <w:gridSpan w:val="2"/>
            <w:shd w:val="clear" w:color="auto" w:fill="DBE5F1"/>
          </w:tcPr>
          <w:p>
            <w:pPr>
              <w:jc w:val="right"/>
              <w:ind w:right="200"/>
              <w:spacing w:after="0" w:line="121" w:lineRule="exact"/>
              <w:rPr>
                <w:sz w:val="20"/>
                <w:szCs w:val="20"/>
                <w:color w:val="auto"/>
              </w:rPr>
            </w:pPr>
            <w:r>
              <w:rPr>
                <w:rFonts w:ascii="Arial" w:cs="Arial" w:eastAsia="Arial" w:hAnsi="Arial"/>
                <w:sz w:val="11"/>
                <w:szCs w:val="11"/>
                <w:color w:val="auto"/>
              </w:rPr>
              <w:t>—</w:t>
            </w:r>
          </w:p>
        </w:tc>
        <w:tc>
          <w:tcPr>
            <w:tcW w:w="900" w:type="dxa"/>
            <w:vAlign w:val="bottom"/>
            <w:gridSpan w:val="3"/>
            <w:shd w:val="clear" w:color="auto" w:fill="DBE5F1"/>
          </w:tcPr>
          <w:p>
            <w:pPr>
              <w:jc w:val="right"/>
              <w:ind w:right="100"/>
              <w:spacing w:after="0" w:line="121" w:lineRule="exact"/>
              <w:rPr>
                <w:sz w:val="20"/>
                <w:szCs w:val="20"/>
                <w:color w:val="auto"/>
              </w:rPr>
            </w:pPr>
            <w:r>
              <w:rPr>
                <w:rFonts w:ascii="Arial" w:cs="Arial" w:eastAsia="Arial" w:hAnsi="Arial"/>
                <w:sz w:val="11"/>
                <w:szCs w:val="11"/>
                <w:color w:val="auto"/>
              </w:rPr>
              <w:t>155,514</w:t>
            </w:r>
          </w:p>
        </w:tc>
        <w:tc>
          <w:tcPr>
            <w:tcW w:w="1560" w:type="dxa"/>
            <w:vAlign w:val="bottom"/>
            <w:gridSpan w:val="4"/>
            <w:shd w:val="clear" w:color="auto" w:fill="DBE5F1"/>
          </w:tcPr>
          <w:p>
            <w:pPr>
              <w:jc w:val="right"/>
              <w:ind w:right="40"/>
              <w:spacing w:after="0" w:line="121" w:lineRule="exact"/>
              <w:rPr>
                <w:sz w:val="20"/>
                <w:szCs w:val="20"/>
                <w:color w:val="auto"/>
              </w:rPr>
            </w:pPr>
            <w:r>
              <w:rPr>
                <w:rFonts w:ascii="Arial" w:cs="Arial" w:eastAsia="Arial" w:hAnsi="Arial"/>
                <w:sz w:val="11"/>
                <w:szCs w:val="11"/>
                <w:color w:val="auto"/>
              </w:rPr>
              <w:t>1,338,976</w:t>
            </w:r>
          </w:p>
        </w:tc>
        <w:tc>
          <w:tcPr>
            <w:tcW w:w="0" w:type="dxa"/>
            <w:vAlign w:val="bottom"/>
          </w:tcPr>
          <w:p>
            <w:pPr>
              <w:spacing w:after="0"/>
              <w:rPr>
                <w:sz w:val="1"/>
                <w:szCs w:val="1"/>
                <w:color w:val="auto"/>
              </w:rPr>
            </w:pPr>
          </w:p>
        </w:tc>
      </w:tr>
      <w:tr>
        <w:trPr>
          <w:trHeight w:val="135"/>
        </w:trPr>
        <w:tc>
          <w:tcPr>
            <w:tcW w:w="3020" w:type="dxa"/>
            <w:vAlign w:val="bottom"/>
            <w:tcBorders>
              <w:bottom w:val="single" w:sz="8" w:color="95B3D7"/>
              <w:right w:val="single" w:sz="8" w:color="DBE5F1"/>
            </w:tcBorders>
            <w:shd w:val="clear" w:color="auto" w:fill="DBE5F1"/>
          </w:tcPr>
          <w:p>
            <w:pPr>
              <w:spacing w:after="0"/>
              <w:rPr>
                <w:sz w:val="11"/>
                <w:szCs w:val="11"/>
                <w:color w:val="auto"/>
              </w:rPr>
            </w:pPr>
          </w:p>
        </w:tc>
        <w:tc>
          <w:tcPr>
            <w:tcW w:w="180" w:type="dxa"/>
            <w:vAlign w:val="bottom"/>
            <w:tcBorders>
              <w:bottom w:val="single" w:sz="8" w:color="95B3D7"/>
            </w:tcBorders>
            <w:shd w:val="clear" w:color="auto" w:fill="DBE5F1"/>
          </w:tcPr>
          <w:p>
            <w:pPr>
              <w:spacing w:after="0"/>
              <w:rPr>
                <w:sz w:val="11"/>
                <w:szCs w:val="11"/>
                <w:color w:val="auto"/>
              </w:rPr>
            </w:pPr>
          </w:p>
        </w:tc>
        <w:tc>
          <w:tcPr>
            <w:tcW w:w="620" w:type="dxa"/>
            <w:vAlign w:val="bottom"/>
            <w:tcBorders>
              <w:bottom w:val="single" w:sz="8" w:color="95B3D7"/>
            </w:tcBorders>
            <w:shd w:val="clear" w:color="auto" w:fill="DBE5F1"/>
          </w:tcPr>
          <w:p>
            <w:pPr>
              <w:jc w:val="right"/>
              <w:spacing w:after="0" w:line="136" w:lineRule="exact"/>
              <w:rPr>
                <w:sz w:val="20"/>
                <w:szCs w:val="20"/>
                <w:color w:val="auto"/>
              </w:rPr>
            </w:pPr>
            <w:r>
              <w:rPr>
                <w:rFonts w:ascii="Arial" w:cs="Arial" w:eastAsia="Arial" w:hAnsi="Arial"/>
                <w:sz w:val="10"/>
                <w:szCs w:val="10"/>
                <w:color w:val="auto"/>
              </w:rPr>
              <w:t>9/25/2020</w:t>
            </w:r>
            <w:r>
              <w:rPr>
                <w:rFonts w:ascii="Arial" w:cs="Arial" w:eastAsia="Arial" w:hAnsi="Arial"/>
                <w:sz w:val="15"/>
                <w:szCs w:val="15"/>
                <w:color w:val="auto"/>
                <w:vertAlign w:val="superscript"/>
              </w:rPr>
              <w:t>(3)</w:t>
            </w:r>
          </w:p>
        </w:tc>
        <w:tc>
          <w:tcPr>
            <w:tcW w:w="60" w:type="dxa"/>
            <w:vAlign w:val="bottom"/>
            <w:tcBorders>
              <w:bottom w:val="single" w:sz="8" w:color="95B3D7"/>
              <w:right w:val="single" w:sz="8" w:color="DBE5F1"/>
            </w:tcBorders>
            <w:shd w:val="clear" w:color="auto" w:fill="DBE5F1"/>
          </w:tcPr>
          <w:p>
            <w:pPr>
              <w:spacing w:after="0"/>
              <w:rPr>
                <w:sz w:val="11"/>
                <w:szCs w:val="11"/>
                <w:color w:val="auto"/>
              </w:rPr>
            </w:pPr>
          </w:p>
        </w:tc>
        <w:tc>
          <w:tcPr>
            <w:tcW w:w="180" w:type="dxa"/>
            <w:vAlign w:val="bottom"/>
            <w:tcBorders>
              <w:bottom w:val="single" w:sz="8" w:color="95B3D7"/>
            </w:tcBorders>
            <w:shd w:val="clear" w:color="auto" w:fill="DBE5F1"/>
          </w:tcPr>
          <w:p>
            <w:pPr>
              <w:spacing w:after="0"/>
              <w:rPr>
                <w:sz w:val="11"/>
                <w:szCs w:val="11"/>
                <w:color w:val="auto"/>
              </w:rPr>
            </w:pPr>
          </w:p>
        </w:tc>
        <w:tc>
          <w:tcPr>
            <w:tcW w:w="1020" w:type="dxa"/>
            <w:vAlign w:val="bottom"/>
            <w:tcBorders>
              <w:bottom w:val="single" w:sz="8" w:color="95B3D7"/>
            </w:tcBorders>
            <w:gridSpan w:val="3"/>
            <w:shd w:val="clear" w:color="auto" w:fill="DBE5F1"/>
          </w:tcPr>
          <w:p>
            <w:pPr>
              <w:jc w:val="right"/>
              <w:ind w:right="260"/>
              <w:spacing w:after="0"/>
              <w:rPr>
                <w:sz w:val="20"/>
                <w:szCs w:val="20"/>
                <w:color w:val="auto"/>
              </w:rPr>
            </w:pPr>
            <w:r>
              <w:rPr>
                <w:rFonts w:ascii="Arial" w:cs="Arial" w:eastAsia="Arial" w:hAnsi="Arial"/>
                <w:sz w:val="11"/>
                <w:szCs w:val="11"/>
                <w:color w:val="auto"/>
              </w:rPr>
              <w:t>—</w:t>
            </w:r>
          </w:p>
        </w:tc>
        <w:tc>
          <w:tcPr>
            <w:tcW w:w="96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w:t>
            </w:r>
          </w:p>
        </w:tc>
        <w:tc>
          <w:tcPr>
            <w:tcW w:w="180" w:type="dxa"/>
            <w:vAlign w:val="bottom"/>
            <w:tcBorders>
              <w:bottom w:val="single" w:sz="8" w:color="95B3D7"/>
            </w:tcBorders>
            <w:shd w:val="clear" w:color="auto" w:fill="DBE5F1"/>
          </w:tcPr>
          <w:p>
            <w:pPr>
              <w:spacing w:after="0"/>
              <w:rPr>
                <w:sz w:val="11"/>
                <w:szCs w:val="11"/>
                <w:color w:val="auto"/>
              </w:rPr>
            </w:pPr>
          </w:p>
        </w:tc>
        <w:tc>
          <w:tcPr>
            <w:tcW w:w="700" w:type="dxa"/>
            <w:vAlign w:val="bottom"/>
            <w:tcBorders>
              <w:bottom w:val="single" w:sz="8" w:color="95B3D7"/>
              <w:right w:val="single" w:sz="8" w:color="DBE5F1"/>
            </w:tcBorders>
            <w:gridSpan w:val="2"/>
            <w:shd w:val="clear" w:color="auto" w:fill="DBE5F1"/>
          </w:tcPr>
          <w:p>
            <w:pPr>
              <w:ind w:left="54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95B3D7"/>
            </w:tcBorders>
            <w:shd w:val="clear" w:color="auto" w:fill="DBE5F1"/>
          </w:tcPr>
          <w:p>
            <w:pPr>
              <w:spacing w:after="0"/>
              <w:rPr>
                <w:sz w:val="11"/>
                <w:szCs w:val="11"/>
                <w:color w:val="auto"/>
              </w:rPr>
            </w:pPr>
          </w:p>
        </w:tc>
        <w:tc>
          <w:tcPr>
            <w:tcW w:w="500" w:type="dxa"/>
            <w:vAlign w:val="bottom"/>
            <w:tcBorders>
              <w:bottom w:val="single" w:sz="8" w:color="95B3D7"/>
              <w:right w:val="single" w:sz="8" w:color="DBE5F1"/>
            </w:tcBorders>
            <w:gridSpan w:val="2"/>
            <w:shd w:val="clear" w:color="auto" w:fill="DBE5F1"/>
          </w:tcPr>
          <w:p>
            <w:pPr>
              <w:jc w:val="right"/>
              <w:ind w:right="60"/>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95B3D7"/>
            </w:tcBorders>
            <w:shd w:val="clear" w:color="auto" w:fill="DBE5F1"/>
          </w:tcPr>
          <w:p>
            <w:pPr>
              <w:spacing w:after="0"/>
              <w:rPr>
                <w:sz w:val="11"/>
                <w:szCs w:val="11"/>
                <w:color w:val="auto"/>
              </w:rPr>
            </w:pPr>
          </w:p>
        </w:tc>
        <w:tc>
          <w:tcPr>
            <w:tcW w:w="740" w:type="dxa"/>
            <w:vAlign w:val="bottom"/>
            <w:tcBorders>
              <w:bottom w:val="single" w:sz="8" w:color="95B3D7"/>
              <w:right w:val="single" w:sz="8" w:color="DBE5F1"/>
            </w:tcBorders>
            <w:gridSpan w:val="2"/>
            <w:shd w:val="clear" w:color="auto" w:fill="DBE5F1"/>
          </w:tcPr>
          <w:p>
            <w:pPr>
              <w:jc w:val="right"/>
              <w:ind w:right="200"/>
              <w:spacing w:after="0"/>
              <w:rPr>
                <w:sz w:val="20"/>
                <w:szCs w:val="20"/>
                <w:color w:val="auto"/>
              </w:rPr>
            </w:pPr>
            <w:r>
              <w:rPr>
                <w:rFonts w:ascii="Arial" w:cs="Arial" w:eastAsia="Arial" w:hAnsi="Arial"/>
                <w:sz w:val="11"/>
                <w:szCs w:val="11"/>
                <w:color w:val="auto"/>
              </w:rPr>
              <w:t>—</w:t>
            </w:r>
          </w:p>
        </w:tc>
        <w:tc>
          <w:tcPr>
            <w:tcW w:w="900" w:type="dxa"/>
            <w:vAlign w:val="bottom"/>
            <w:tcBorders>
              <w:bottom w:val="single" w:sz="8" w:color="95B3D7"/>
            </w:tcBorders>
            <w:gridSpan w:val="3"/>
            <w:shd w:val="clear" w:color="auto" w:fill="DBE5F1"/>
          </w:tcPr>
          <w:p>
            <w:pPr>
              <w:jc w:val="right"/>
              <w:ind w:right="100"/>
              <w:spacing w:after="0"/>
              <w:rPr>
                <w:sz w:val="20"/>
                <w:szCs w:val="20"/>
                <w:color w:val="auto"/>
              </w:rPr>
            </w:pPr>
            <w:r>
              <w:rPr>
                <w:rFonts w:ascii="Arial" w:cs="Arial" w:eastAsia="Arial" w:hAnsi="Arial"/>
                <w:sz w:val="11"/>
                <w:szCs w:val="11"/>
                <w:color w:val="auto"/>
              </w:rPr>
              <w:t>227,142</w:t>
            </w:r>
          </w:p>
        </w:tc>
        <w:tc>
          <w:tcPr>
            <w:tcW w:w="1560" w:type="dxa"/>
            <w:vAlign w:val="bottom"/>
            <w:tcBorders>
              <w:bottom w:val="single" w:sz="8" w:color="95B3D7"/>
            </w:tcBorders>
            <w:gridSpan w:val="4"/>
            <w:shd w:val="clear" w:color="auto" w:fill="DBE5F1"/>
          </w:tcPr>
          <w:p>
            <w:pPr>
              <w:jc w:val="right"/>
              <w:ind w:right="40"/>
              <w:spacing w:after="0"/>
              <w:rPr>
                <w:sz w:val="20"/>
                <w:szCs w:val="20"/>
                <w:color w:val="auto"/>
              </w:rPr>
            </w:pPr>
            <w:r>
              <w:rPr>
                <w:rFonts w:ascii="Arial" w:cs="Arial" w:eastAsia="Arial" w:hAnsi="Arial"/>
                <w:sz w:val="11"/>
                <w:szCs w:val="11"/>
                <w:color w:val="auto"/>
              </w:rPr>
              <w:t>1,955,693</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20"/>
          </w:cols>
          <w:pgMar w:left="440" w:top="296" w:right="439" w:bottom="1440" w:gutter="0" w:footer="0" w:header="0"/>
        </w:sectPr>
      </w:pPr>
    </w:p>
    <w:bookmarkStart w:id="66" w:name="page67"/>
    <w:bookmarkEnd w:id="66"/>
    <w:p>
      <w:pPr>
        <w:ind w:left="6360"/>
        <w:spacing w:after="0"/>
        <w:tabs>
          <w:tab w:leader="none" w:pos="9660" w:val="left"/>
        </w:tabs>
        <w:rPr>
          <w:sz w:val="20"/>
          <w:szCs w:val="20"/>
          <w:color w:val="auto"/>
        </w:rPr>
      </w:pPr>
      <w:r>
        <w:rPr>
          <w:rFonts w:ascii="Arial" w:cs="Arial" w:eastAsia="Arial" w:hAnsi="Arial"/>
          <w:sz w:val="11"/>
          <w:szCs w:val="11"/>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Option Awards</w:t>
      </w:r>
      <w:r>
        <w:rPr>
          <w:sz w:val="20"/>
          <w:szCs w:val="20"/>
          <w:color w:val="auto"/>
        </w:rPr>
        <w:tab/>
      </w:r>
      <w:r>
        <w:rPr>
          <w:rFonts w:ascii="Arial" w:cs="Arial" w:eastAsia="Arial" w:hAnsi="Arial"/>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6995160" cy="9004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95160" cy="900430"/>
                    </a:xfrm>
                    <a:prstGeom prst="rect">
                      <a:avLst/>
                    </a:prstGeom>
                    <a:noFill/>
                  </pic:spPr>
                </pic:pic>
              </a:graphicData>
            </a:graphic>
          </wp:anchor>
        </w:drawing>
      </w:r>
    </w:p>
    <w:p>
      <w:pPr>
        <w:sectPr>
          <w:pgSz w:w="11900" w:h="16838" w:orient="portrait"/>
          <w:cols w:equalWidth="0" w:num="1">
            <w:col w:w="11020"/>
          </w:cols>
          <w:pgMar w:left="440" w:top="31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 </w:t>
      </w:r>
    </w:p>
    <w:p>
      <w:pPr>
        <w:spacing w:after="0" w:line="22" w:lineRule="exact"/>
        <w:rPr>
          <w:sz w:val="20"/>
          <w:szCs w:val="20"/>
          <w:color w:val="auto"/>
        </w:rPr>
      </w:pPr>
    </w:p>
    <w:p>
      <w:pPr>
        <w:ind w:left="140"/>
        <w:spacing w:after="0"/>
        <w:rPr>
          <w:sz w:val="20"/>
          <w:szCs w:val="20"/>
          <w:color w:val="auto"/>
        </w:rPr>
      </w:pPr>
      <w:r>
        <w:rPr>
          <w:rFonts w:ascii="Arial" w:cs="Arial" w:eastAsia="Arial" w:hAnsi="Arial"/>
          <w:sz w:val="11"/>
          <w:szCs w:val="11"/>
          <w:b w:val="1"/>
          <w:bCs w:val="1"/>
          <w:color w:val="auto"/>
        </w:rPr>
        <w:t>Name</w:t>
      </w:r>
    </w:p>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auto"/>
        </w:rPr>
        <w:t>Thomas Freeman</w:t>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DBE5F1"/>
            </w:tcBorders>
          </w:tcPr>
          <w:p>
            <w:pPr>
              <w:spacing w:after="0"/>
              <w:rPr>
                <w:sz w:val="10"/>
                <w:szCs w:val="10"/>
                <w:color w:val="auto"/>
              </w:rPr>
            </w:pPr>
          </w:p>
        </w:tc>
        <w:tc>
          <w:tcPr>
            <w:tcW w:w="860" w:type="dxa"/>
            <w:vAlign w:val="bottom"/>
            <w:tcBorders>
              <w:right w:val="single" w:sz="8" w:color="DBE5F1"/>
            </w:tcBorders>
            <w:gridSpan w:val="3"/>
          </w:tcPr>
          <w:p>
            <w:pPr>
              <w:ind w:left="160"/>
              <w:spacing w:after="0"/>
              <w:rPr>
                <w:sz w:val="20"/>
                <w:szCs w:val="20"/>
                <w:color w:val="auto"/>
              </w:rPr>
            </w:pPr>
            <w:r>
              <w:rPr>
                <w:rFonts w:ascii="Arial" w:cs="Arial" w:eastAsia="Arial" w:hAnsi="Arial"/>
                <w:sz w:val="11"/>
                <w:szCs w:val="11"/>
                <w:b w:val="1"/>
                <w:bCs w:val="1"/>
                <w:color w:val="auto"/>
              </w:rPr>
              <w:t>Equity</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DBE5F1"/>
            </w:tcBorders>
          </w:tcPr>
          <w:p>
            <w:pPr>
              <w:spacing w:after="0"/>
              <w:rPr>
                <w:sz w:val="10"/>
                <w:szCs w:val="10"/>
                <w:color w:val="auto"/>
              </w:rPr>
            </w:pPr>
          </w:p>
        </w:tc>
        <w:tc>
          <w:tcPr>
            <w:tcW w:w="8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Incentive</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DBE5F1"/>
            </w:tcBorders>
          </w:tcPr>
          <w:p>
            <w:pPr>
              <w:spacing w:after="0"/>
              <w:rPr>
                <w:sz w:val="10"/>
                <w:szCs w:val="10"/>
                <w:color w:val="auto"/>
              </w:rPr>
            </w:pPr>
          </w:p>
        </w:tc>
        <w:tc>
          <w:tcPr>
            <w:tcW w:w="8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Plan</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Borders>
              <w:right w:val="single" w:sz="8" w:color="DBE5F1"/>
            </w:tcBorders>
          </w:tcPr>
          <w:p>
            <w:pPr>
              <w:spacing w:after="0"/>
              <w:rPr>
                <w:sz w:val="10"/>
                <w:szCs w:val="10"/>
                <w:color w:val="auto"/>
              </w:rPr>
            </w:pPr>
          </w:p>
        </w:tc>
        <w:tc>
          <w:tcPr>
            <w:tcW w:w="8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Awards:</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2"/>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00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Number of</w:t>
            </w:r>
          </w:p>
        </w:tc>
        <w:tc>
          <w:tcPr>
            <w:tcW w:w="114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Number of</w:t>
            </w:r>
          </w:p>
        </w:tc>
        <w:tc>
          <w:tcPr>
            <w:tcW w:w="8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Number of</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9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Number of</w:t>
            </w:r>
          </w:p>
        </w:tc>
        <w:tc>
          <w:tcPr>
            <w:tcW w:w="160" w:type="dxa"/>
            <w:vAlign w:val="bottom"/>
          </w:tcPr>
          <w:p>
            <w:pPr>
              <w:spacing w:after="0"/>
              <w:rPr>
                <w:sz w:val="10"/>
                <w:szCs w:val="10"/>
                <w:color w:val="auto"/>
              </w:rPr>
            </w:pPr>
          </w:p>
        </w:tc>
        <w:tc>
          <w:tcPr>
            <w:tcW w:w="940" w:type="dxa"/>
            <w:vAlign w:val="bottom"/>
          </w:tcPr>
          <w:p>
            <w:pPr>
              <w:spacing w:after="0"/>
              <w:rPr>
                <w:sz w:val="10"/>
                <w:szCs w:val="10"/>
                <w:color w:val="auto"/>
              </w:rPr>
            </w:pPr>
          </w:p>
        </w:tc>
      </w:tr>
      <w:tr>
        <w:trPr>
          <w:trHeight w:val="121"/>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00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Securities</w:t>
            </w:r>
          </w:p>
        </w:tc>
        <w:tc>
          <w:tcPr>
            <w:tcW w:w="114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Securities</w:t>
            </w:r>
          </w:p>
        </w:tc>
        <w:tc>
          <w:tcPr>
            <w:tcW w:w="8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Securities</w:t>
            </w: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9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Shares or</w:t>
            </w:r>
          </w:p>
        </w:tc>
        <w:tc>
          <w:tcPr>
            <w:tcW w:w="16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b w:val="1"/>
                <w:bCs w:val="1"/>
                <w:color w:val="auto"/>
              </w:rPr>
              <w:t>Market Value of</w:t>
            </w:r>
          </w:p>
        </w:tc>
      </w:tr>
      <w:tr>
        <w:trPr>
          <w:trHeight w:val="122"/>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00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Underlying</w:t>
            </w:r>
          </w:p>
        </w:tc>
        <w:tc>
          <w:tcPr>
            <w:tcW w:w="114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Underlying</w:t>
            </w:r>
          </w:p>
        </w:tc>
        <w:tc>
          <w:tcPr>
            <w:tcW w:w="8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Underlying</w:t>
            </w:r>
          </w:p>
        </w:tc>
        <w:tc>
          <w:tcPr>
            <w:tcW w:w="180" w:type="dxa"/>
            <w:vAlign w:val="bottom"/>
          </w:tcPr>
          <w:p>
            <w:pPr>
              <w:spacing w:after="0"/>
              <w:rPr>
                <w:sz w:val="10"/>
                <w:szCs w:val="10"/>
                <w:color w:val="auto"/>
              </w:rPr>
            </w:pPr>
          </w:p>
        </w:tc>
        <w:tc>
          <w:tcPr>
            <w:tcW w:w="500" w:type="dxa"/>
            <w:vAlign w:val="bottom"/>
            <w:tcBorders>
              <w:right w:val="single" w:sz="8" w:color="DBE5F1"/>
            </w:tcBorders>
            <w:gridSpan w:val="2"/>
          </w:tcPr>
          <w:p>
            <w:pPr>
              <w:spacing w:after="0" w:line="122" w:lineRule="exact"/>
              <w:rPr>
                <w:sz w:val="20"/>
                <w:szCs w:val="20"/>
                <w:color w:val="auto"/>
              </w:rPr>
            </w:pPr>
            <w:r>
              <w:rPr>
                <w:rFonts w:ascii="Arial" w:cs="Arial" w:eastAsia="Arial" w:hAnsi="Arial"/>
                <w:sz w:val="11"/>
                <w:szCs w:val="11"/>
                <w:b w:val="1"/>
                <w:bCs w:val="1"/>
                <w:color w:val="auto"/>
              </w:rPr>
              <w:t>Option</w:t>
            </w:r>
          </w:p>
        </w:tc>
        <w:tc>
          <w:tcPr>
            <w:tcW w:w="180" w:type="dxa"/>
            <w:vAlign w:val="bottom"/>
          </w:tcPr>
          <w:p>
            <w:pPr>
              <w:spacing w:after="0"/>
              <w:rPr>
                <w:sz w:val="10"/>
                <w:szCs w:val="10"/>
                <w:color w:val="auto"/>
              </w:rPr>
            </w:pPr>
          </w:p>
        </w:tc>
        <w:tc>
          <w:tcPr>
            <w:tcW w:w="600" w:type="dxa"/>
            <w:vAlign w:val="bottom"/>
            <w:tcBorders>
              <w:right w:val="single" w:sz="8" w:color="DBE5F1"/>
            </w:tcBorders>
            <w:gridSpan w:val="2"/>
          </w:tcPr>
          <w:p>
            <w:pPr>
              <w:spacing w:after="0" w:line="122" w:lineRule="exact"/>
              <w:rPr>
                <w:sz w:val="20"/>
                <w:szCs w:val="20"/>
                <w:color w:val="auto"/>
              </w:rPr>
            </w:pPr>
            <w:r>
              <w:rPr>
                <w:rFonts w:ascii="Arial" w:cs="Arial" w:eastAsia="Arial" w:hAnsi="Arial"/>
                <w:sz w:val="11"/>
                <w:szCs w:val="11"/>
                <w:b w:val="1"/>
                <w:bCs w:val="1"/>
                <w:color w:val="auto"/>
              </w:rPr>
              <w:t>Option</w:t>
            </w:r>
          </w:p>
        </w:tc>
        <w:tc>
          <w:tcPr>
            <w:tcW w:w="960" w:type="dxa"/>
            <w:vAlign w:val="bottom"/>
            <w:tcBorders>
              <w:right w:val="single" w:sz="8" w:color="DBE5F1"/>
            </w:tcBorders>
            <w:gridSpan w:val="3"/>
          </w:tcPr>
          <w:p>
            <w:pPr>
              <w:ind w:left="160"/>
              <w:spacing w:after="0" w:line="122" w:lineRule="exact"/>
              <w:rPr>
                <w:sz w:val="20"/>
                <w:szCs w:val="20"/>
                <w:color w:val="auto"/>
              </w:rPr>
            </w:pPr>
            <w:r>
              <w:rPr>
                <w:rFonts w:ascii="Arial" w:cs="Arial" w:eastAsia="Arial" w:hAnsi="Arial"/>
                <w:sz w:val="11"/>
                <w:szCs w:val="11"/>
                <w:b w:val="1"/>
                <w:bCs w:val="1"/>
                <w:color w:val="auto"/>
              </w:rPr>
              <w:t>Units of Stock</w:t>
            </w:r>
          </w:p>
        </w:tc>
        <w:tc>
          <w:tcPr>
            <w:tcW w:w="160" w:type="dxa"/>
            <w:vAlign w:val="bottom"/>
          </w:tcPr>
          <w:p>
            <w:pPr>
              <w:spacing w:after="0"/>
              <w:rPr>
                <w:sz w:val="10"/>
                <w:szCs w:val="10"/>
                <w:color w:val="auto"/>
              </w:rPr>
            </w:pPr>
          </w:p>
        </w:tc>
        <w:tc>
          <w:tcPr>
            <w:tcW w:w="940" w:type="dxa"/>
            <w:vAlign w:val="bottom"/>
          </w:tcPr>
          <w:p>
            <w:pPr>
              <w:spacing w:after="0" w:line="122" w:lineRule="exact"/>
              <w:rPr>
                <w:sz w:val="20"/>
                <w:szCs w:val="20"/>
                <w:color w:val="auto"/>
              </w:rPr>
            </w:pPr>
            <w:r>
              <w:rPr>
                <w:rFonts w:ascii="Arial" w:cs="Arial" w:eastAsia="Arial" w:hAnsi="Arial"/>
                <w:sz w:val="11"/>
                <w:szCs w:val="11"/>
                <w:b w:val="1"/>
                <w:bCs w:val="1"/>
                <w:color w:val="auto"/>
                <w:w w:val="97"/>
              </w:rPr>
              <w:t>Shares or Units of</w:t>
            </w:r>
          </w:p>
        </w:tc>
      </w:tr>
      <w:tr>
        <w:trPr>
          <w:trHeight w:val="121"/>
        </w:trPr>
        <w:tc>
          <w:tcPr>
            <w:tcW w:w="620" w:type="dxa"/>
            <w:vAlign w:val="bottom"/>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000" w:type="dxa"/>
            <w:vAlign w:val="bottom"/>
            <w:tcBorders>
              <w:right w:val="single" w:sz="8" w:color="DBE5F1"/>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Unexercised</w:t>
            </w:r>
          </w:p>
        </w:tc>
        <w:tc>
          <w:tcPr>
            <w:tcW w:w="1140" w:type="dxa"/>
            <w:vAlign w:val="bottom"/>
            <w:tcBorders>
              <w:right w:val="single" w:sz="8" w:color="DBE5F1"/>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Unexercised</w:t>
            </w:r>
          </w:p>
        </w:tc>
        <w:tc>
          <w:tcPr>
            <w:tcW w:w="860" w:type="dxa"/>
            <w:vAlign w:val="bottom"/>
            <w:tcBorders>
              <w:right w:val="single" w:sz="8" w:color="DBE5F1"/>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Unexercised</w:t>
            </w:r>
          </w:p>
        </w:tc>
        <w:tc>
          <w:tcPr>
            <w:tcW w:w="180" w:type="dxa"/>
            <w:vAlign w:val="bottom"/>
          </w:tcPr>
          <w:p>
            <w:pPr>
              <w:spacing w:after="0"/>
              <w:rPr>
                <w:sz w:val="10"/>
                <w:szCs w:val="10"/>
                <w:color w:val="auto"/>
              </w:rPr>
            </w:pPr>
          </w:p>
        </w:tc>
        <w:tc>
          <w:tcPr>
            <w:tcW w:w="500" w:type="dxa"/>
            <w:vAlign w:val="bottom"/>
            <w:tcBorders>
              <w:right w:val="single" w:sz="8" w:color="DBE5F1"/>
            </w:tcBorders>
            <w:gridSpan w:val="2"/>
          </w:tcPr>
          <w:p>
            <w:pPr>
              <w:spacing w:after="0" w:line="121" w:lineRule="exact"/>
              <w:rPr>
                <w:sz w:val="20"/>
                <w:szCs w:val="20"/>
                <w:color w:val="auto"/>
              </w:rPr>
            </w:pPr>
            <w:r>
              <w:rPr>
                <w:rFonts w:ascii="Arial" w:cs="Arial" w:eastAsia="Arial" w:hAnsi="Arial"/>
                <w:sz w:val="11"/>
                <w:szCs w:val="11"/>
                <w:b w:val="1"/>
                <w:bCs w:val="1"/>
                <w:color w:val="auto"/>
              </w:rPr>
              <w:t>Exercise</w:t>
            </w:r>
          </w:p>
        </w:tc>
        <w:tc>
          <w:tcPr>
            <w:tcW w:w="180" w:type="dxa"/>
            <w:vAlign w:val="bottom"/>
          </w:tcPr>
          <w:p>
            <w:pPr>
              <w:spacing w:after="0"/>
              <w:rPr>
                <w:sz w:val="10"/>
                <w:szCs w:val="10"/>
                <w:color w:val="auto"/>
              </w:rPr>
            </w:pPr>
          </w:p>
        </w:tc>
        <w:tc>
          <w:tcPr>
            <w:tcW w:w="600" w:type="dxa"/>
            <w:vAlign w:val="bottom"/>
            <w:tcBorders>
              <w:right w:val="single" w:sz="8" w:color="DBE5F1"/>
            </w:tcBorders>
            <w:gridSpan w:val="2"/>
          </w:tcPr>
          <w:p>
            <w:pPr>
              <w:spacing w:after="0" w:line="121" w:lineRule="exact"/>
              <w:rPr>
                <w:sz w:val="20"/>
                <w:szCs w:val="20"/>
                <w:color w:val="auto"/>
              </w:rPr>
            </w:pPr>
            <w:r>
              <w:rPr>
                <w:rFonts w:ascii="Arial" w:cs="Arial" w:eastAsia="Arial" w:hAnsi="Arial"/>
                <w:sz w:val="11"/>
                <w:szCs w:val="11"/>
                <w:b w:val="1"/>
                <w:bCs w:val="1"/>
                <w:color w:val="auto"/>
              </w:rPr>
              <w:t>Expiration</w:t>
            </w:r>
          </w:p>
        </w:tc>
        <w:tc>
          <w:tcPr>
            <w:tcW w:w="960" w:type="dxa"/>
            <w:vAlign w:val="bottom"/>
            <w:tcBorders>
              <w:right w:val="single" w:sz="8" w:color="DBE5F1"/>
            </w:tcBorders>
            <w:gridSpan w:val="3"/>
          </w:tcPr>
          <w:p>
            <w:pPr>
              <w:ind w:left="160"/>
              <w:spacing w:after="0" w:line="121" w:lineRule="exact"/>
              <w:rPr>
                <w:sz w:val="20"/>
                <w:szCs w:val="20"/>
                <w:color w:val="auto"/>
              </w:rPr>
            </w:pPr>
            <w:r>
              <w:rPr>
                <w:rFonts w:ascii="Arial" w:cs="Arial" w:eastAsia="Arial" w:hAnsi="Arial"/>
                <w:sz w:val="11"/>
                <w:szCs w:val="11"/>
                <w:b w:val="1"/>
                <w:bCs w:val="1"/>
                <w:color w:val="auto"/>
              </w:rPr>
              <w:t>That Have Not</w:t>
            </w:r>
          </w:p>
        </w:tc>
        <w:tc>
          <w:tcPr>
            <w:tcW w:w="160" w:type="dxa"/>
            <w:vAlign w:val="bottom"/>
          </w:tcPr>
          <w:p>
            <w:pPr>
              <w:spacing w:after="0"/>
              <w:rPr>
                <w:sz w:val="10"/>
                <w:szCs w:val="10"/>
                <w:color w:val="auto"/>
              </w:rPr>
            </w:pPr>
          </w:p>
        </w:tc>
        <w:tc>
          <w:tcPr>
            <w:tcW w:w="940" w:type="dxa"/>
            <w:vAlign w:val="bottom"/>
          </w:tcPr>
          <w:p>
            <w:pPr>
              <w:spacing w:after="0" w:line="121" w:lineRule="exact"/>
              <w:rPr>
                <w:sz w:val="20"/>
                <w:szCs w:val="20"/>
                <w:color w:val="auto"/>
              </w:rPr>
            </w:pPr>
            <w:r>
              <w:rPr>
                <w:rFonts w:ascii="Arial" w:cs="Arial" w:eastAsia="Arial" w:hAnsi="Arial"/>
                <w:sz w:val="11"/>
                <w:szCs w:val="11"/>
                <w:b w:val="1"/>
                <w:bCs w:val="1"/>
                <w:color w:val="auto"/>
              </w:rPr>
              <w:t>Stock That Have</w:t>
            </w:r>
          </w:p>
        </w:tc>
      </w:tr>
      <w:tr>
        <w:trPr>
          <w:trHeight w:val="135"/>
        </w:trPr>
        <w:tc>
          <w:tcPr>
            <w:tcW w:w="620" w:type="dxa"/>
            <w:vAlign w:val="bottom"/>
          </w:tcPr>
          <w:p>
            <w:pPr>
              <w:spacing w:after="0"/>
              <w:rPr>
                <w:sz w:val="20"/>
                <w:szCs w:val="20"/>
                <w:color w:val="auto"/>
              </w:rPr>
            </w:pPr>
            <w:r>
              <w:rPr>
                <w:rFonts w:ascii="Arial" w:cs="Arial" w:eastAsia="Arial" w:hAnsi="Arial"/>
                <w:sz w:val="11"/>
                <w:szCs w:val="11"/>
                <w:b w:val="1"/>
                <w:bCs w:val="1"/>
                <w:color w:val="auto"/>
              </w:rPr>
              <w:t> </w:t>
            </w:r>
          </w:p>
        </w:tc>
        <w:tc>
          <w:tcPr>
            <w:tcW w:w="60" w:type="dxa"/>
            <w:vAlign w:val="bottom"/>
            <w:tcBorders>
              <w:right w:val="single" w:sz="8" w:color="DBE5F1"/>
            </w:tcBorders>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Options</w:t>
            </w:r>
          </w:p>
        </w:tc>
        <w:tc>
          <w:tcPr>
            <w:tcW w:w="60" w:type="dxa"/>
            <w:vAlign w:val="bottom"/>
            <w:tcBorders>
              <w:right w:val="single" w:sz="8" w:color="DBE5F1"/>
            </w:tcBorders>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line="136" w:lineRule="exact"/>
              <w:rPr>
                <w:sz w:val="20"/>
                <w:szCs w:val="20"/>
                <w:color w:val="auto"/>
              </w:rPr>
            </w:pPr>
            <w:r>
              <w:rPr>
                <w:rFonts w:ascii="Arial" w:cs="Arial" w:eastAsia="Arial" w:hAnsi="Arial"/>
                <w:sz w:val="10"/>
                <w:szCs w:val="10"/>
                <w:b w:val="1"/>
                <w:bCs w:val="1"/>
                <w:color w:val="auto"/>
              </w:rPr>
              <w:t>Options</w:t>
            </w:r>
            <w:r>
              <w:rPr>
                <w:rFonts w:ascii="Arial" w:cs="Arial" w:eastAsia="Arial" w:hAnsi="Arial"/>
                <w:sz w:val="15"/>
                <w:szCs w:val="15"/>
                <w:b w:val="1"/>
                <w:bCs w:val="1"/>
                <w:color w:val="auto"/>
                <w:vertAlign w:val="superscript"/>
              </w:rPr>
              <w:t>(1)</w:t>
            </w:r>
          </w:p>
        </w:tc>
        <w:tc>
          <w:tcPr>
            <w:tcW w:w="80" w:type="dxa"/>
            <w:vAlign w:val="bottom"/>
            <w:tcBorders>
              <w:right w:val="single" w:sz="8" w:color="DBE5F1"/>
            </w:tcBorders>
          </w:tcPr>
          <w:p>
            <w:pPr>
              <w:spacing w:after="0"/>
              <w:rPr>
                <w:sz w:val="11"/>
                <w:szCs w:val="11"/>
                <w:color w:val="auto"/>
              </w:rPr>
            </w:pPr>
          </w:p>
        </w:tc>
        <w:tc>
          <w:tcPr>
            <w:tcW w:w="860" w:type="dxa"/>
            <w:vAlign w:val="bottom"/>
            <w:tcBorders>
              <w:right w:val="single" w:sz="8" w:color="DBE5F1"/>
            </w:tcBorders>
            <w:gridSpan w:val="3"/>
          </w:tcPr>
          <w:p>
            <w:pPr>
              <w:ind w:left="160"/>
              <w:spacing w:after="0"/>
              <w:rPr>
                <w:sz w:val="20"/>
                <w:szCs w:val="20"/>
                <w:color w:val="auto"/>
              </w:rPr>
            </w:pPr>
            <w:r>
              <w:rPr>
                <w:rFonts w:ascii="Arial" w:cs="Arial" w:eastAsia="Arial" w:hAnsi="Arial"/>
                <w:sz w:val="11"/>
                <w:szCs w:val="11"/>
                <w:b w:val="1"/>
                <w:bCs w:val="1"/>
                <w:color w:val="auto"/>
              </w:rPr>
              <w:t>Options</w:t>
            </w:r>
          </w:p>
        </w:tc>
        <w:tc>
          <w:tcPr>
            <w:tcW w:w="180" w:type="dxa"/>
            <w:vAlign w:val="bottom"/>
          </w:tcPr>
          <w:p>
            <w:pPr>
              <w:spacing w:after="0"/>
              <w:rPr>
                <w:sz w:val="11"/>
                <w:szCs w:val="11"/>
                <w:color w:val="auto"/>
              </w:rPr>
            </w:pPr>
          </w:p>
        </w:tc>
        <w:tc>
          <w:tcPr>
            <w:tcW w:w="500" w:type="dxa"/>
            <w:vAlign w:val="bottom"/>
            <w:tcBorders>
              <w:right w:val="single" w:sz="8" w:color="DBE5F1"/>
            </w:tcBorders>
            <w:gridSpan w:val="2"/>
          </w:tcPr>
          <w:p>
            <w:pPr>
              <w:spacing w:after="0"/>
              <w:rPr>
                <w:sz w:val="20"/>
                <w:szCs w:val="20"/>
                <w:color w:val="auto"/>
              </w:rPr>
            </w:pPr>
            <w:r>
              <w:rPr>
                <w:rFonts w:ascii="Arial" w:cs="Arial" w:eastAsia="Arial" w:hAnsi="Arial"/>
                <w:sz w:val="11"/>
                <w:szCs w:val="11"/>
                <w:b w:val="1"/>
                <w:bCs w:val="1"/>
                <w:color w:val="auto"/>
              </w:rPr>
              <w:t>Price</w:t>
            </w:r>
          </w:p>
        </w:tc>
        <w:tc>
          <w:tcPr>
            <w:tcW w:w="180" w:type="dxa"/>
            <w:vAlign w:val="bottom"/>
          </w:tcPr>
          <w:p>
            <w:pPr>
              <w:spacing w:after="0"/>
              <w:rPr>
                <w:sz w:val="11"/>
                <w:szCs w:val="11"/>
                <w:color w:val="auto"/>
              </w:rPr>
            </w:pPr>
          </w:p>
        </w:tc>
        <w:tc>
          <w:tcPr>
            <w:tcW w:w="600" w:type="dxa"/>
            <w:vAlign w:val="bottom"/>
            <w:tcBorders>
              <w:right w:val="single" w:sz="8" w:color="DBE5F1"/>
            </w:tcBorders>
            <w:gridSpan w:val="2"/>
          </w:tcPr>
          <w:p>
            <w:pPr>
              <w:spacing w:after="0"/>
              <w:rPr>
                <w:sz w:val="20"/>
                <w:szCs w:val="20"/>
                <w:color w:val="auto"/>
              </w:rPr>
            </w:pPr>
            <w:r>
              <w:rPr>
                <w:rFonts w:ascii="Arial" w:cs="Arial" w:eastAsia="Arial" w:hAnsi="Arial"/>
                <w:sz w:val="11"/>
                <w:szCs w:val="11"/>
                <w:b w:val="1"/>
                <w:bCs w:val="1"/>
                <w:color w:val="auto"/>
              </w:rPr>
              <w:t>Date</w:t>
            </w:r>
          </w:p>
        </w:tc>
        <w:tc>
          <w:tcPr>
            <w:tcW w:w="960" w:type="dxa"/>
            <w:vAlign w:val="bottom"/>
            <w:tcBorders>
              <w:right w:val="single" w:sz="8" w:color="DBE5F1"/>
            </w:tcBorders>
            <w:gridSpan w:val="3"/>
          </w:tcPr>
          <w:p>
            <w:pPr>
              <w:ind w:left="160"/>
              <w:spacing w:after="0" w:line="136" w:lineRule="exact"/>
              <w:rPr>
                <w:sz w:val="20"/>
                <w:szCs w:val="20"/>
                <w:color w:val="auto"/>
              </w:rPr>
            </w:pPr>
            <w:r>
              <w:rPr>
                <w:rFonts w:ascii="Arial" w:cs="Arial" w:eastAsia="Arial" w:hAnsi="Arial"/>
                <w:sz w:val="10"/>
                <w:szCs w:val="10"/>
                <w:b w:val="1"/>
                <w:bCs w:val="1"/>
                <w:color w:val="auto"/>
              </w:rPr>
              <w:t xml:space="preserve">Vested </w:t>
            </w:r>
            <w:r>
              <w:rPr>
                <w:rFonts w:ascii="Arial" w:cs="Arial" w:eastAsia="Arial" w:hAnsi="Arial"/>
                <w:sz w:val="15"/>
                <w:szCs w:val="15"/>
                <w:b w:val="1"/>
                <w:bCs w:val="1"/>
                <w:color w:val="auto"/>
                <w:vertAlign w:val="superscript"/>
              </w:rPr>
              <w:t>(1)</w:t>
            </w:r>
          </w:p>
        </w:tc>
        <w:tc>
          <w:tcPr>
            <w:tcW w:w="160" w:type="dxa"/>
            <w:vAlign w:val="bottom"/>
          </w:tcPr>
          <w:p>
            <w:pPr>
              <w:spacing w:after="0"/>
              <w:rPr>
                <w:sz w:val="11"/>
                <w:szCs w:val="11"/>
                <w:color w:val="auto"/>
              </w:rPr>
            </w:pPr>
          </w:p>
        </w:tc>
        <w:tc>
          <w:tcPr>
            <w:tcW w:w="940" w:type="dxa"/>
            <w:vAlign w:val="bottom"/>
          </w:tcPr>
          <w:p>
            <w:pPr>
              <w:spacing w:after="0" w:line="136" w:lineRule="exact"/>
              <w:rPr>
                <w:sz w:val="20"/>
                <w:szCs w:val="20"/>
                <w:color w:val="auto"/>
              </w:rPr>
            </w:pPr>
            <w:r>
              <w:rPr>
                <w:rFonts w:ascii="Arial" w:cs="Arial" w:eastAsia="Arial" w:hAnsi="Arial"/>
                <w:sz w:val="10"/>
                <w:szCs w:val="10"/>
                <w:b w:val="1"/>
                <w:bCs w:val="1"/>
                <w:color w:val="auto"/>
              </w:rPr>
              <w:t>Not Vested</w:t>
            </w:r>
            <w:r>
              <w:rPr>
                <w:rFonts w:ascii="Arial" w:cs="Arial" w:eastAsia="Arial" w:hAnsi="Arial"/>
                <w:sz w:val="15"/>
                <w:szCs w:val="15"/>
                <w:b w:val="1"/>
                <w:bCs w:val="1"/>
                <w:color w:val="auto"/>
                <w:vertAlign w:val="superscript"/>
              </w:rPr>
              <w:t>(2)</w:t>
            </w:r>
          </w:p>
        </w:tc>
      </w:tr>
      <w:tr>
        <w:trPr>
          <w:trHeight w:val="20"/>
        </w:trPr>
        <w:tc>
          <w:tcPr>
            <w:tcW w:w="620" w:type="dxa"/>
            <w:vAlign w:val="bottom"/>
            <w:shd w:val="clear" w:color="auto" w:fill="95B3D7"/>
          </w:tcPr>
          <w:p>
            <w:pPr>
              <w:spacing w:after="0" w:line="20" w:lineRule="exact"/>
              <w:rPr>
                <w:sz w:val="1"/>
                <w:szCs w:val="1"/>
                <w:color w:val="auto"/>
              </w:rPr>
            </w:pPr>
          </w:p>
        </w:tc>
        <w:tc>
          <w:tcPr>
            <w:tcW w:w="60" w:type="dxa"/>
            <w:vAlign w:val="bottom"/>
            <w:tcBorders>
              <w:right w:val="single" w:sz="8" w:color="DBE5F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95B3D7"/>
          </w:tcPr>
          <w:p>
            <w:pPr>
              <w:spacing w:after="0" w:line="20" w:lineRule="exact"/>
              <w:rPr>
                <w:sz w:val="1"/>
                <w:szCs w:val="1"/>
                <w:color w:val="auto"/>
              </w:rPr>
            </w:pPr>
          </w:p>
        </w:tc>
        <w:tc>
          <w:tcPr>
            <w:tcW w:w="60" w:type="dxa"/>
            <w:vAlign w:val="bottom"/>
            <w:tcBorders>
              <w:right w:val="single" w:sz="8" w:color="DBE5F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95B3D7"/>
          </w:tcPr>
          <w:p>
            <w:pPr>
              <w:spacing w:after="0" w:line="20" w:lineRule="exact"/>
              <w:rPr>
                <w:sz w:val="1"/>
                <w:szCs w:val="1"/>
                <w:color w:val="auto"/>
              </w:rPr>
            </w:pPr>
          </w:p>
        </w:tc>
        <w:tc>
          <w:tcPr>
            <w:tcW w:w="80" w:type="dxa"/>
            <w:vAlign w:val="bottom"/>
            <w:tcBorders>
              <w:right w:val="single" w:sz="8" w:color="DBE5F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95B3D7"/>
          </w:tcPr>
          <w:p>
            <w:pPr>
              <w:spacing w:after="0" w:line="20" w:lineRule="exact"/>
              <w:rPr>
                <w:sz w:val="1"/>
                <w:szCs w:val="1"/>
                <w:color w:val="auto"/>
              </w:rPr>
            </w:pPr>
          </w:p>
        </w:tc>
        <w:tc>
          <w:tcPr>
            <w:tcW w:w="60" w:type="dxa"/>
            <w:vAlign w:val="bottom"/>
            <w:tcBorders>
              <w:right w:val="single" w:sz="8" w:color="DBE5F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95B3D7"/>
          </w:tcPr>
          <w:p>
            <w:pPr>
              <w:spacing w:after="0" w:line="20" w:lineRule="exact"/>
              <w:rPr>
                <w:sz w:val="1"/>
                <w:szCs w:val="1"/>
                <w:color w:val="auto"/>
              </w:rPr>
            </w:pPr>
          </w:p>
        </w:tc>
        <w:tc>
          <w:tcPr>
            <w:tcW w:w="60" w:type="dxa"/>
            <w:vAlign w:val="bottom"/>
            <w:tcBorders>
              <w:right w:val="single" w:sz="8" w:color="DBE5F1"/>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shd w:val="clear" w:color="auto" w:fill="95B3D7"/>
          </w:tcPr>
          <w:p>
            <w:pPr>
              <w:spacing w:after="0" w:line="20" w:lineRule="exact"/>
              <w:rPr>
                <w:sz w:val="1"/>
                <w:szCs w:val="1"/>
                <w:color w:val="auto"/>
              </w:rPr>
            </w:pPr>
          </w:p>
        </w:tc>
        <w:tc>
          <w:tcPr>
            <w:tcW w:w="60" w:type="dxa"/>
            <w:vAlign w:val="bottom"/>
            <w:tcBorders>
              <w:right w:val="single" w:sz="8" w:color="DBE5F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95B3D7"/>
          </w:tcPr>
          <w:p>
            <w:pPr>
              <w:spacing w:after="0" w:line="20" w:lineRule="exact"/>
              <w:rPr>
                <w:sz w:val="1"/>
                <w:szCs w:val="1"/>
                <w:color w:val="auto"/>
              </w:rPr>
            </w:pPr>
          </w:p>
        </w:tc>
        <w:tc>
          <w:tcPr>
            <w:tcW w:w="60" w:type="dxa"/>
            <w:vAlign w:val="bottom"/>
            <w:tcBorders>
              <w:right w:val="single" w:sz="8" w:color="DBE5F1"/>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shd w:val="clear" w:color="auto" w:fill="95B3D7"/>
          </w:tcPr>
          <w:p>
            <w:pPr>
              <w:spacing w:after="0" w:line="20" w:lineRule="exact"/>
              <w:rPr>
                <w:sz w:val="1"/>
                <w:szCs w:val="1"/>
                <w:color w:val="auto"/>
              </w:rPr>
            </w:pPr>
          </w:p>
        </w:tc>
      </w:tr>
      <w:tr>
        <w:trPr>
          <w:trHeight w:val="122"/>
        </w:trPr>
        <w:tc>
          <w:tcPr>
            <w:tcW w:w="620" w:type="dxa"/>
            <w:vAlign w:val="bottom"/>
          </w:tcPr>
          <w:p>
            <w:pPr>
              <w:spacing w:after="0" w:line="115" w:lineRule="exact"/>
              <w:rPr>
                <w:sz w:val="20"/>
                <w:szCs w:val="20"/>
                <w:color w:val="auto"/>
              </w:rPr>
            </w:pPr>
            <w:r>
              <w:rPr>
                <w:rFonts w:ascii="Arial" w:cs="Arial" w:eastAsia="Arial" w:hAnsi="Arial"/>
                <w:sz w:val="11"/>
                <w:szCs w:val="11"/>
                <w:b w:val="1"/>
                <w:bCs w:val="1"/>
                <w:color w:val="auto"/>
              </w:rPr>
              <w:t>Grant Date</w:t>
            </w: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Borders>
              <w:bottom w:val="single" w:sz="8" w:color="95B3D7"/>
            </w:tcBorders>
          </w:tcPr>
          <w:p>
            <w:pPr>
              <w:spacing w:after="0" w:line="115" w:lineRule="exact"/>
              <w:rPr>
                <w:sz w:val="20"/>
                <w:szCs w:val="20"/>
                <w:color w:val="auto"/>
              </w:rPr>
            </w:pPr>
            <w:r>
              <w:rPr>
                <w:rFonts w:ascii="Arial" w:cs="Arial" w:eastAsia="Arial" w:hAnsi="Arial"/>
                <w:sz w:val="11"/>
                <w:szCs w:val="11"/>
                <w:b w:val="1"/>
                <w:bCs w:val="1"/>
                <w:color w:val="auto"/>
                <w:w w:val="97"/>
              </w:rPr>
              <w:t>(#) Exercisable</w:t>
            </w:r>
          </w:p>
        </w:tc>
        <w:tc>
          <w:tcPr>
            <w:tcW w:w="60" w:type="dxa"/>
            <w:vAlign w:val="bottom"/>
            <w:tcBorders>
              <w:bottom w:val="single" w:sz="8" w:color="95B3D7"/>
              <w:right w:val="single" w:sz="8" w:color="DBE5F1"/>
            </w:tcBorders>
          </w:tcPr>
          <w:p>
            <w:pPr>
              <w:spacing w:after="0"/>
              <w:rPr>
                <w:sz w:val="10"/>
                <w:szCs w:val="10"/>
                <w:color w:val="auto"/>
              </w:rPr>
            </w:pPr>
          </w:p>
        </w:tc>
        <w:tc>
          <w:tcPr>
            <w:tcW w:w="160" w:type="dxa"/>
            <w:vAlign w:val="bottom"/>
            <w:tcBorders>
              <w:bottom w:val="single" w:sz="8" w:color="95B3D7"/>
            </w:tcBorders>
          </w:tcPr>
          <w:p>
            <w:pPr>
              <w:spacing w:after="0"/>
              <w:rPr>
                <w:sz w:val="10"/>
                <w:szCs w:val="10"/>
                <w:color w:val="auto"/>
              </w:rPr>
            </w:pPr>
          </w:p>
        </w:tc>
        <w:tc>
          <w:tcPr>
            <w:tcW w:w="900" w:type="dxa"/>
            <w:vAlign w:val="bottom"/>
            <w:tcBorders>
              <w:bottom w:val="single" w:sz="8" w:color="95B3D7"/>
            </w:tcBorders>
          </w:tcPr>
          <w:p>
            <w:pPr>
              <w:spacing w:after="0" w:line="115" w:lineRule="exact"/>
              <w:rPr>
                <w:sz w:val="20"/>
                <w:szCs w:val="20"/>
                <w:color w:val="auto"/>
              </w:rPr>
            </w:pPr>
            <w:r>
              <w:rPr>
                <w:rFonts w:ascii="Arial" w:cs="Arial" w:eastAsia="Arial" w:hAnsi="Arial"/>
                <w:sz w:val="11"/>
                <w:szCs w:val="11"/>
                <w:b w:val="1"/>
                <w:bCs w:val="1"/>
                <w:color w:val="auto"/>
                <w:w w:val="96"/>
              </w:rPr>
              <w:t>(#) Unexercisable</w:t>
            </w:r>
          </w:p>
        </w:tc>
        <w:tc>
          <w:tcPr>
            <w:tcW w:w="80" w:type="dxa"/>
            <w:vAlign w:val="bottom"/>
            <w:tcBorders>
              <w:bottom w:val="single" w:sz="8" w:color="95B3D7"/>
              <w:right w:val="single" w:sz="8" w:color="DBE5F1"/>
            </w:tcBorders>
          </w:tcPr>
          <w:p>
            <w:pPr>
              <w:spacing w:after="0"/>
              <w:rPr>
                <w:sz w:val="10"/>
                <w:szCs w:val="10"/>
                <w:color w:val="auto"/>
              </w:rPr>
            </w:pPr>
          </w:p>
        </w:tc>
        <w:tc>
          <w:tcPr>
            <w:tcW w:w="800" w:type="dxa"/>
            <w:vAlign w:val="bottom"/>
            <w:tcBorders>
              <w:bottom w:val="single" w:sz="8" w:color="95B3D7"/>
            </w:tcBorders>
            <w:gridSpan w:val="2"/>
          </w:tcPr>
          <w:p>
            <w:pPr>
              <w:ind w:left="160"/>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Borders>
              <w:bottom w:val="single" w:sz="8" w:color="95B3D7"/>
              <w:right w:val="single" w:sz="8" w:color="DBE5F1"/>
            </w:tcBorders>
          </w:tcPr>
          <w:p>
            <w:pPr>
              <w:spacing w:after="0"/>
              <w:rPr>
                <w:sz w:val="10"/>
                <w:szCs w:val="10"/>
                <w:color w:val="auto"/>
              </w:rPr>
            </w:pPr>
          </w:p>
        </w:tc>
        <w:tc>
          <w:tcPr>
            <w:tcW w:w="180" w:type="dxa"/>
            <w:vAlign w:val="bottom"/>
            <w:tcBorders>
              <w:bottom w:val="single" w:sz="8" w:color="95B3D7"/>
            </w:tcBorders>
          </w:tcPr>
          <w:p>
            <w:pPr>
              <w:spacing w:after="0"/>
              <w:rPr>
                <w:sz w:val="10"/>
                <w:szCs w:val="10"/>
                <w:color w:val="auto"/>
              </w:rPr>
            </w:pPr>
          </w:p>
        </w:tc>
        <w:tc>
          <w:tcPr>
            <w:tcW w:w="440" w:type="dxa"/>
            <w:vAlign w:val="bottom"/>
            <w:tcBorders>
              <w:bottom w:val="single" w:sz="8" w:color="95B3D7"/>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Borders>
              <w:bottom w:val="single" w:sz="8" w:color="95B3D7"/>
              <w:right w:val="single" w:sz="8" w:color="DBE5F1"/>
            </w:tcBorders>
          </w:tcPr>
          <w:p>
            <w:pPr>
              <w:spacing w:after="0"/>
              <w:rPr>
                <w:sz w:val="10"/>
                <w:szCs w:val="10"/>
                <w:color w:val="auto"/>
              </w:rPr>
            </w:pPr>
          </w:p>
        </w:tc>
        <w:tc>
          <w:tcPr>
            <w:tcW w:w="180" w:type="dxa"/>
            <w:vAlign w:val="bottom"/>
            <w:tcBorders>
              <w:bottom w:val="single" w:sz="8" w:color="95B3D7"/>
            </w:tcBorders>
          </w:tcPr>
          <w:p>
            <w:pPr>
              <w:spacing w:after="0"/>
              <w:rPr>
                <w:sz w:val="10"/>
                <w:szCs w:val="10"/>
                <w:color w:val="auto"/>
              </w:rPr>
            </w:pPr>
          </w:p>
        </w:tc>
        <w:tc>
          <w:tcPr>
            <w:tcW w:w="540" w:type="dxa"/>
            <w:vAlign w:val="bottom"/>
            <w:tcBorders>
              <w:bottom w:val="single" w:sz="8" w:color="95B3D7"/>
            </w:tcBorders>
          </w:tcPr>
          <w:p>
            <w:pPr>
              <w:spacing w:after="0"/>
              <w:rPr>
                <w:sz w:val="10"/>
                <w:szCs w:val="10"/>
                <w:color w:val="auto"/>
              </w:rPr>
            </w:pPr>
          </w:p>
        </w:tc>
        <w:tc>
          <w:tcPr>
            <w:tcW w:w="60" w:type="dxa"/>
            <w:vAlign w:val="bottom"/>
            <w:tcBorders>
              <w:right w:val="single" w:sz="8" w:color="DBE5F1"/>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bottom w:val="single" w:sz="8" w:color="95B3D7"/>
            </w:tcBorders>
          </w:tcPr>
          <w:p>
            <w:pPr>
              <w:spacing w:after="0" w:line="115" w:lineRule="exact"/>
              <w:rPr>
                <w:sz w:val="20"/>
                <w:szCs w:val="20"/>
                <w:color w:val="auto"/>
              </w:rPr>
            </w:pPr>
            <w:r>
              <w:rPr>
                <w:rFonts w:ascii="Arial" w:cs="Arial" w:eastAsia="Arial" w:hAnsi="Arial"/>
                <w:sz w:val="11"/>
                <w:szCs w:val="11"/>
                <w:b w:val="1"/>
                <w:bCs w:val="1"/>
                <w:color w:val="auto"/>
              </w:rPr>
              <w:t>(#)</w:t>
            </w:r>
          </w:p>
        </w:tc>
        <w:tc>
          <w:tcPr>
            <w:tcW w:w="60" w:type="dxa"/>
            <w:vAlign w:val="bottom"/>
            <w:tcBorders>
              <w:bottom w:val="single" w:sz="8" w:color="95B3D7"/>
              <w:right w:val="single" w:sz="8" w:color="DBE5F1"/>
            </w:tcBorders>
          </w:tcPr>
          <w:p>
            <w:pPr>
              <w:spacing w:after="0"/>
              <w:rPr>
                <w:sz w:val="10"/>
                <w:szCs w:val="10"/>
                <w:color w:val="auto"/>
              </w:rPr>
            </w:pPr>
          </w:p>
        </w:tc>
        <w:tc>
          <w:tcPr>
            <w:tcW w:w="160" w:type="dxa"/>
            <w:vAlign w:val="bottom"/>
            <w:tcBorders>
              <w:bottom w:val="single" w:sz="8" w:color="95B3D7"/>
            </w:tcBorders>
          </w:tcPr>
          <w:p>
            <w:pPr>
              <w:spacing w:after="0"/>
              <w:rPr>
                <w:sz w:val="10"/>
                <w:szCs w:val="10"/>
                <w:color w:val="auto"/>
              </w:rPr>
            </w:pPr>
          </w:p>
        </w:tc>
        <w:tc>
          <w:tcPr>
            <w:tcW w:w="940" w:type="dxa"/>
            <w:vAlign w:val="bottom"/>
            <w:tcBorders>
              <w:bottom w:val="single" w:sz="8" w:color="95B3D7"/>
            </w:tcBorders>
          </w:tcPr>
          <w:p>
            <w:pPr>
              <w:spacing w:after="0" w:line="115" w:lineRule="exact"/>
              <w:rPr>
                <w:sz w:val="20"/>
                <w:szCs w:val="20"/>
                <w:color w:val="auto"/>
              </w:rPr>
            </w:pPr>
            <w:r>
              <w:rPr>
                <w:rFonts w:ascii="Arial" w:cs="Arial" w:eastAsia="Arial" w:hAnsi="Arial"/>
                <w:sz w:val="11"/>
                <w:szCs w:val="11"/>
                <w:b w:val="1"/>
                <w:bCs w:val="1"/>
                <w:color w:val="auto"/>
              </w:rPr>
              <w:t>($)</w:t>
            </w:r>
          </w:p>
        </w:tc>
      </w:tr>
      <w:tr>
        <w:trPr>
          <w:trHeight w:val="243"/>
        </w:trPr>
        <w:tc>
          <w:tcPr>
            <w:tcW w:w="680" w:type="dxa"/>
            <w:vAlign w:val="bottom"/>
            <w:gridSpan w:val="2"/>
          </w:tcPr>
          <w:p>
            <w:pPr>
              <w:jc w:val="right"/>
              <w:ind w:right="60"/>
              <w:spacing w:after="0"/>
              <w:rPr>
                <w:sz w:val="20"/>
                <w:szCs w:val="20"/>
                <w:color w:val="auto"/>
              </w:rPr>
            </w:pPr>
            <w:r>
              <w:rPr>
                <w:rFonts w:ascii="Arial" w:cs="Arial" w:eastAsia="Arial" w:hAnsi="Arial"/>
                <w:sz w:val="11"/>
                <w:szCs w:val="11"/>
                <w:color w:val="auto"/>
              </w:rPr>
              <w:t>9/14/2023</w:t>
            </w: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1"/>
                <w:szCs w:val="11"/>
                <w:color w:val="auto"/>
              </w:rPr>
              <w:t>873,667</w:t>
            </w: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7,522,273</w:t>
            </w:r>
          </w:p>
        </w:tc>
      </w:tr>
      <w:tr>
        <w:trPr>
          <w:trHeight w:val="122"/>
        </w:trPr>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9/12/2022</w:t>
            </w:r>
          </w:p>
        </w:tc>
        <w:tc>
          <w:tcPr>
            <w:tcW w:w="160" w:type="dxa"/>
            <w:vAlign w:val="bottom"/>
          </w:tcPr>
          <w:p>
            <w:pPr>
              <w:spacing w:after="0"/>
              <w:rPr>
                <w:sz w:val="10"/>
                <w:szCs w:val="10"/>
                <w:color w:val="auto"/>
              </w:rPr>
            </w:pP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80" w:type="dxa"/>
            <w:vAlign w:val="bottom"/>
            <w:gridSpan w:val="3"/>
          </w:tcPr>
          <w:p>
            <w:pPr>
              <w:ind w:left="5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319,179</w:t>
            </w:r>
          </w:p>
        </w:tc>
        <w:tc>
          <w:tcPr>
            <w:tcW w:w="1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2,748,131</w:t>
            </w:r>
          </w:p>
        </w:tc>
      </w:tr>
      <w:tr>
        <w:trPr>
          <w:trHeight w:val="121"/>
        </w:trPr>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3/8/2022</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25,092</w:t>
            </w:r>
          </w:p>
        </w:tc>
        <w:tc>
          <w:tcPr>
            <w:tcW w:w="114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75,273</w:t>
            </w:r>
          </w:p>
        </w:tc>
        <w:tc>
          <w:tcPr>
            <w:tcW w:w="160" w:type="dxa"/>
            <w:vAlign w:val="bottom"/>
          </w:tcPr>
          <w:p>
            <w:pPr>
              <w:spacing w:after="0"/>
              <w:rPr>
                <w:sz w:val="10"/>
                <w:szCs w:val="10"/>
                <w:color w:val="auto"/>
              </w:rPr>
            </w:pPr>
          </w:p>
        </w:tc>
        <w:tc>
          <w:tcPr>
            <w:tcW w:w="880" w:type="dxa"/>
            <w:vAlign w:val="bottom"/>
            <w:gridSpan w:val="3"/>
          </w:tcPr>
          <w:p>
            <w:pPr>
              <w:ind w:left="5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9.06</w:t>
            </w:r>
          </w:p>
        </w:tc>
        <w:tc>
          <w:tcPr>
            <w:tcW w:w="1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3/8/2032</w:t>
            </w:r>
          </w:p>
        </w:tc>
        <w:tc>
          <w:tcPr>
            <w:tcW w:w="160" w:type="dxa"/>
            <w:vAlign w:val="bottom"/>
          </w:tcPr>
          <w:p>
            <w:pPr>
              <w:spacing w:after="0"/>
              <w:rPr>
                <w:sz w:val="10"/>
                <w:szCs w:val="10"/>
                <w:color w:val="auto"/>
              </w:rPr>
            </w:pPr>
          </w:p>
        </w:tc>
        <w:tc>
          <w:tcPr>
            <w:tcW w:w="9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3/8/2022</w:t>
            </w:r>
          </w:p>
        </w:tc>
        <w:tc>
          <w:tcPr>
            <w:tcW w:w="160" w:type="dxa"/>
            <w:vAlign w:val="bottom"/>
          </w:tcPr>
          <w:p>
            <w:pPr>
              <w:spacing w:after="0"/>
              <w:rPr>
                <w:sz w:val="10"/>
                <w:szCs w:val="10"/>
                <w:color w:val="auto"/>
              </w:rPr>
            </w:pPr>
          </w:p>
        </w:tc>
        <w:tc>
          <w:tcPr>
            <w:tcW w:w="84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80" w:type="dxa"/>
            <w:vAlign w:val="bottom"/>
            <w:gridSpan w:val="3"/>
          </w:tcPr>
          <w:p>
            <w:pPr>
              <w:ind w:left="540"/>
              <w:spacing w:after="0" w:line="122"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240"/>
              <w:spacing w:after="0" w:line="122"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w:t>
            </w:r>
          </w:p>
        </w:tc>
        <w:tc>
          <w:tcPr>
            <w:tcW w:w="96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102,411</w:t>
            </w:r>
          </w:p>
        </w:tc>
        <w:tc>
          <w:tcPr>
            <w:tcW w:w="160" w:type="dxa"/>
            <w:vAlign w:val="bottom"/>
          </w:tcPr>
          <w:p>
            <w:pPr>
              <w:spacing w:after="0"/>
              <w:rPr>
                <w:sz w:val="10"/>
                <w:szCs w:val="10"/>
                <w:color w:val="auto"/>
              </w:rPr>
            </w:pP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882,017</w:t>
            </w:r>
          </w:p>
        </w:tc>
      </w:tr>
      <w:tr>
        <w:trPr>
          <w:trHeight w:val="122"/>
        </w:trPr>
        <w:tc>
          <w:tcPr>
            <w:tcW w:w="68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3/25/2021</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381,360</w:t>
            </w:r>
          </w:p>
        </w:tc>
        <w:tc>
          <w:tcPr>
            <w:tcW w:w="114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381,360</w:t>
            </w:r>
          </w:p>
        </w:tc>
        <w:tc>
          <w:tcPr>
            <w:tcW w:w="160" w:type="dxa"/>
            <w:vAlign w:val="bottom"/>
          </w:tcPr>
          <w:p>
            <w:pPr>
              <w:spacing w:after="0"/>
              <w:rPr>
                <w:sz w:val="10"/>
                <w:szCs w:val="10"/>
                <w:color w:val="auto"/>
              </w:rPr>
            </w:pPr>
          </w:p>
        </w:tc>
        <w:tc>
          <w:tcPr>
            <w:tcW w:w="880" w:type="dxa"/>
            <w:vAlign w:val="bottom"/>
            <w:gridSpan w:val="3"/>
          </w:tcPr>
          <w:p>
            <w:pPr>
              <w:ind w:left="540"/>
              <w:spacing w:after="0" w:line="122" w:lineRule="exact"/>
              <w:rPr>
                <w:sz w:val="20"/>
                <w:szCs w:val="20"/>
                <w:color w:val="auto"/>
              </w:rPr>
            </w:pPr>
            <w:r>
              <w:rPr>
                <w:rFonts w:ascii="Arial" w:cs="Arial" w:eastAsia="Arial" w:hAnsi="Arial"/>
                <w:sz w:val="11"/>
                <w:szCs w:val="11"/>
                <w:color w:val="auto"/>
              </w:rPr>
              <w:t>—</w:t>
            </w:r>
          </w:p>
        </w:tc>
        <w:tc>
          <w:tcPr>
            <w:tcW w:w="5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18.00</w:t>
            </w:r>
          </w:p>
        </w:tc>
        <w:tc>
          <w:tcPr>
            <w:tcW w:w="180" w:type="dxa"/>
            <w:vAlign w:val="bottom"/>
          </w:tcPr>
          <w:p>
            <w:pPr>
              <w:spacing w:after="0"/>
              <w:rPr>
                <w:sz w:val="10"/>
                <w:szCs w:val="10"/>
                <w:color w:val="auto"/>
              </w:rPr>
            </w:pPr>
          </w:p>
        </w:tc>
        <w:tc>
          <w:tcPr>
            <w:tcW w:w="600" w:type="dxa"/>
            <w:vAlign w:val="bottom"/>
            <w:gridSpan w:val="2"/>
          </w:tcPr>
          <w:p>
            <w:pPr>
              <w:jc w:val="right"/>
              <w:ind w:right="60"/>
              <w:spacing w:after="0" w:line="122" w:lineRule="exact"/>
              <w:rPr>
                <w:sz w:val="20"/>
                <w:szCs w:val="20"/>
                <w:color w:val="auto"/>
              </w:rPr>
            </w:pPr>
            <w:r>
              <w:rPr>
                <w:rFonts w:ascii="Arial" w:cs="Arial" w:eastAsia="Arial" w:hAnsi="Arial"/>
                <w:sz w:val="11"/>
                <w:szCs w:val="11"/>
                <w:color w:val="auto"/>
              </w:rPr>
              <w:t>3/25/2031</w:t>
            </w:r>
          </w:p>
        </w:tc>
        <w:tc>
          <w:tcPr>
            <w:tcW w:w="160" w:type="dxa"/>
            <w:vAlign w:val="bottom"/>
          </w:tcPr>
          <w:p>
            <w:pPr>
              <w:spacing w:after="0"/>
              <w:rPr>
                <w:sz w:val="10"/>
                <w:szCs w:val="10"/>
                <w:color w:val="auto"/>
              </w:rPr>
            </w:pPr>
          </w:p>
        </w:tc>
        <w:tc>
          <w:tcPr>
            <w:tcW w:w="960" w:type="dxa"/>
            <w:vAlign w:val="bottom"/>
            <w:gridSpan w:val="3"/>
          </w:tcPr>
          <w:p>
            <w:pPr>
              <w:jc w:val="right"/>
              <w:ind w:right="220"/>
              <w:spacing w:after="0" w:line="122" w:lineRule="exact"/>
              <w:rPr>
                <w:sz w:val="20"/>
                <w:szCs w:val="20"/>
                <w:color w:val="auto"/>
              </w:rPr>
            </w:pPr>
            <w:r>
              <w:rPr>
                <w:rFonts w:ascii="Arial" w:cs="Arial" w:eastAsia="Arial" w:hAnsi="Arial"/>
                <w:sz w:val="11"/>
                <w:szCs w:val="11"/>
                <w:color w:val="auto"/>
              </w:rPr>
              <w:t>—</w:t>
            </w:r>
          </w:p>
        </w:tc>
        <w:tc>
          <w:tcPr>
            <w:tcW w:w="94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1"/>
        </w:trPr>
        <w:tc>
          <w:tcPr>
            <w:tcW w:w="68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3/25/2021</w:t>
            </w:r>
          </w:p>
        </w:tc>
        <w:tc>
          <w:tcPr>
            <w:tcW w:w="160" w:type="dxa"/>
            <w:vAlign w:val="bottom"/>
          </w:tcPr>
          <w:p>
            <w:pPr>
              <w:spacing w:after="0"/>
              <w:rPr>
                <w:sz w:val="10"/>
                <w:szCs w:val="10"/>
                <w:color w:val="auto"/>
              </w:rPr>
            </w:pPr>
          </w:p>
        </w:tc>
        <w:tc>
          <w:tcPr>
            <w:tcW w:w="84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98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160" w:type="dxa"/>
            <w:vAlign w:val="bottom"/>
          </w:tcPr>
          <w:p>
            <w:pPr>
              <w:spacing w:after="0"/>
              <w:rPr>
                <w:sz w:val="10"/>
                <w:szCs w:val="10"/>
                <w:color w:val="auto"/>
              </w:rPr>
            </w:pPr>
          </w:p>
        </w:tc>
        <w:tc>
          <w:tcPr>
            <w:tcW w:w="880" w:type="dxa"/>
            <w:vAlign w:val="bottom"/>
            <w:gridSpan w:val="3"/>
          </w:tcPr>
          <w:p>
            <w:pPr>
              <w:ind w:left="540"/>
              <w:spacing w:after="0" w:line="121" w:lineRule="exact"/>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240"/>
              <w:spacing w:after="0" w:line="121" w:lineRule="exact"/>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line="121" w:lineRule="exact"/>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line="121" w:lineRule="exact"/>
              <w:rPr>
                <w:sz w:val="20"/>
                <w:szCs w:val="20"/>
                <w:color w:val="auto"/>
              </w:rPr>
            </w:pPr>
            <w:r>
              <w:rPr>
                <w:rFonts w:ascii="Arial" w:cs="Arial" w:eastAsia="Arial" w:hAnsi="Arial"/>
                <w:sz w:val="11"/>
                <w:szCs w:val="11"/>
                <w:color w:val="auto"/>
              </w:rPr>
              <w:t>30,283</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40" w:type="dxa"/>
            <w:vAlign w:val="bottom"/>
          </w:tcPr>
          <w:p>
            <w:pPr>
              <w:jc w:val="right"/>
              <w:spacing w:after="0" w:line="121" w:lineRule="exact"/>
              <w:rPr>
                <w:sz w:val="20"/>
                <w:szCs w:val="20"/>
                <w:color w:val="auto"/>
              </w:rPr>
            </w:pPr>
            <w:r>
              <w:rPr>
                <w:rFonts w:ascii="Arial" w:cs="Arial" w:eastAsia="Arial" w:hAnsi="Arial"/>
                <w:sz w:val="11"/>
                <w:szCs w:val="11"/>
                <w:color w:val="auto"/>
              </w:rPr>
              <w:t>260,737</w:t>
            </w:r>
          </w:p>
        </w:tc>
      </w:tr>
      <w:tr>
        <w:trPr>
          <w:trHeight w:val="133"/>
        </w:trPr>
        <w:tc>
          <w:tcPr>
            <w:tcW w:w="680" w:type="dxa"/>
            <w:vAlign w:val="bottom"/>
            <w:gridSpan w:val="2"/>
          </w:tcPr>
          <w:p>
            <w:pPr>
              <w:jc w:val="right"/>
              <w:ind w:right="60"/>
              <w:spacing w:after="0" w:line="133" w:lineRule="exact"/>
              <w:rPr>
                <w:sz w:val="20"/>
                <w:szCs w:val="20"/>
                <w:color w:val="auto"/>
              </w:rPr>
            </w:pPr>
            <w:r>
              <w:rPr>
                <w:rFonts w:ascii="Arial" w:cs="Arial" w:eastAsia="Arial" w:hAnsi="Arial"/>
                <w:sz w:val="10"/>
                <w:szCs w:val="10"/>
                <w:color w:val="auto"/>
              </w:rPr>
              <w:t>9/25/2020</w:t>
            </w:r>
            <w:r>
              <w:rPr>
                <w:rFonts w:ascii="Arial" w:cs="Arial" w:eastAsia="Arial" w:hAnsi="Arial"/>
                <w:sz w:val="15"/>
                <w:szCs w:val="15"/>
                <w:color w:val="auto"/>
                <w:vertAlign w:val="superscript"/>
              </w:rPr>
              <w:t>(4)</w:t>
            </w:r>
          </w:p>
        </w:tc>
        <w:tc>
          <w:tcPr>
            <w:tcW w:w="160" w:type="dxa"/>
            <w:vAlign w:val="bottom"/>
          </w:tcPr>
          <w:p>
            <w:pPr>
              <w:spacing w:after="0"/>
              <w:rPr>
                <w:sz w:val="11"/>
                <w:szCs w:val="1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1"/>
                <w:szCs w:val="11"/>
                <w:color w:val="auto"/>
              </w:rPr>
            </w:pPr>
          </w:p>
        </w:tc>
        <w:tc>
          <w:tcPr>
            <w:tcW w:w="880" w:type="dxa"/>
            <w:vAlign w:val="bottom"/>
            <w:gridSpan w:val="3"/>
          </w:tcPr>
          <w:p>
            <w:pPr>
              <w:ind w:left="540"/>
              <w:spacing w:after="0"/>
              <w:rPr>
                <w:sz w:val="20"/>
                <w:szCs w:val="20"/>
                <w:color w:val="auto"/>
              </w:rPr>
            </w:pPr>
            <w:r>
              <w:rPr>
                <w:rFonts w:ascii="Arial" w:cs="Arial" w:eastAsia="Arial" w:hAnsi="Arial"/>
                <w:sz w:val="11"/>
                <w:szCs w:val="11"/>
                <w:color w:val="auto"/>
              </w:rPr>
              <w:t>—</w:t>
            </w:r>
          </w:p>
        </w:tc>
        <w:tc>
          <w:tcPr>
            <w:tcW w:w="680" w:type="dxa"/>
            <w:vAlign w:val="bottom"/>
            <w:gridSpan w:val="3"/>
          </w:tcPr>
          <w:p>
            <w:pPr>
              <w:jc w:val="right"/>
              <w:ind w:right="240"/>
              <w:spacing w:after="0"/>
              <w:rPr>
                <w:sz w:val="20"/>
                <w:szCs w:val="20"/>
                <w:color w:val="auto"/>
              </w:rPr>
            </w:pPr>
            <w:r>
              <w:rPr>
                <w:rFonts w:ascii="Arial" w:cs="Arial" w:eastAsia="Arial" w:hAnsi="Arial"/>
                <w:sz w:val="11"/>
                <w:szCs w:val="11"/>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1"/>
                <w:szCs w:val="11"/>
                <w:color w:val="auto"/>
              </w:rPr>
              <w:t>—</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61,127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526,303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-2402205</wp:posOffset>
            </wp:positionH>
            <wp:positionV relativeFrom="paragraph">
              <wp:posOffset>-546735</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060" w:space="720"/>
            <w:col w:w="7240"/>
          </w:cols>
          <w:pgMar w:left="440" w:top="315" w:right="439" w:bottom="1440" w:gutter="0" w:footer="0" w:header="0"/>
          <w:type w:val="continuous"/>
        </w:sectPr>
      </w:pPr>
    </w:p>
    <w:tbl>
      <w:tblPr>
        <w:tblLayout w:type="fixed"/>
        <w:tblInd w:w="0" w:type="dxa"/>
        <w:tblCellMar>
          <w:top w:w="0" w:type="dxa"/>
          <w:left w:w="0" w:type="dxa"/>
          <w:bottom w:w="0" w:type="dxa"/>
          <w:right w:w="0" w:type="dxa"/>
        </w:tblCellMar>
      </w:tblPr>
      <w:tr>
        <w:trPr>
          <w:trHeight w:val="104"/>
        </w:trPr>
        <w:tc>
          <w:tcPr>
            <w:tcW w:w="3580" w:type="dxa"/>
            <w:vAlign w:val="bottom"/>
            <w:tcBorders>
              <w:top w:val="single" w:sz="8" w:color="95B3D7"/>
            </w:tcBorders>
            <w:shd w:val="clear" w:color="auto" w:fill="DBE5F1"/>
          </w:tcPr>
          <w:p>
            <w:pPr>
              <w:spacing w:after="0" w:line="104" w:lineRule="exact"/>
              <w:rPr>
                <w:sz w:val="20"/>
                <w:szCs w:val="20"/>
                <w:color w:val="auto"/>
              </w:rPr>
            </w:pPr>
            <w:r>
              <w:rPr>
                <w:rFonts w:ascii="Arial" w:cs="Arial" w:eastAsia="Arial" w:hAnsi="Arial"/>
                <w:sz w:val="11"/>
                <w:szCs w:val="11"/>
                <w:color w:val="auto"/>
              </w:rPr>
              <w:t>Dawn Maroney</w:t>
            </w:r>
          </w:p>
        </w:tc>
        <w:tc>
          <w:tcPr>
            <w:tcW w:w="860" w:type="dxa"/>
            <w:vAlign w:val="bottom"/>
            <w:tcBorders>
              <w:top w:val="single" w:sz="8" w:color="95B3D7"/>
            </w:tcBorders>
            <w:shd w:val="clear" w:color="auto" w:fill="DBE5F1"/>
          </w:tcPr>
          <w:p>
            <w:pPr>
              <w:jc w:val="right"/>
              <w:spacing w:after="0" w:line="104" w:lineRule="exact"/>
              <w:rPr>
                <w:sz w:val="20"/>
                <w:szCs w:val="20"/>
                <w:color w:val="auto"/>
              </w:rPr>
            </w:pPr>
            <w:r>
              <w:rPr>
                <w:rFonts w:ascii="Arial" w:cs="Arial" w:eastAsia="Arial" w:hAnsi="Arial"/>
                <w:sz w:val="11"/>
                <w:szCs w:val="11"/>
                <w:color w:val="auto"/>
              </w:rPr>
              <w:t>9/14/23</w:t>
            </w:r>
          </w:p>
        </w:tc>
        <w:tc>
          <w:tcPr>
            <w:tcW w:w="1320" w:type="dxa"/>
            <w:vAlign w:val="bottom"/>
            <w:tcBorders>
              <w:top w:val="single" w:sz="8" w:color="95B3D7"/>
            </w:tcBorders>
            <w:shd w:val="clear" w:color="auto" w:fill="DBE5F1"/>
          </w:tcPr>
          <w:p>
            <w:pPr>
              <w:jc w:val="right"/>
              <w:ind w:right="306"/>
              <w:spacing w:after="0" w:line="104" w:lineRule="exact"/>
              <w:rPr>
                <w:sz w:val="20"/>
                <w:szCs w:val="20"/>
                <w:color w:val="auto"/>
              </w:rPr>
            </w:pPr>
            <w:r>
              <w:rPr>
                <w:rFonts w:ascii="Arial" w:cs="Arial" w:eastAsia="Arial" w:hAnsi="Arial"/>
                <w:sz w:val="11"/>
                <w:szCs w:val="11"/>
                <w:color w:val="auto"/>
              </w:rPr>
              <w:t>—</w:t>
            </w:r>
          </w:p>
        </w:tc>
        <w:tc>
          <w:tcPr>
            <w:tcW w:w="1160" w:type="dxa"/>
            <w:vAlign w:val="bottom"/>
            <w:tcBorders>
              <w:top w:val="single" w:sz="8" w:color="95B3D7"/>
            </w:tcBorders>
            <w:shd w:val="clear" w:color="auto" w:fill="DBE5F1"/>
          </w:tcPr>
          <w:p>
            <w:pPr>
              <w:jc w:val="right"/>
              <w:ind w:right="326"/>
              <w:spacing w:after="0" w:line="104" w:lineRule="exact"/>
              <w:rPr>
                <w:sz w:val="20"/>
                <w:szCs w:val="20"/>
                <w:color w:val="auto"/>
              </w:rPr>
            </w:pPr>
            <w:r>
              <w:rPr>
                <w:rFonts w:ascii="Arial" w:cs="Arial" w:eastAsia="Arial" w:hAnsi="Arial"/>
                <w:sz w:val="11"/>
                <w:szCs w:val="11"/>
                <w:color w:val="auto"/>
              </w:rPr>
              <w:t>—</w:t>
            </w:r>
          </w:p>
        </w:tc>
        <w:tc>
          <w:tcPr>
            <w:tcW w:w="680" w:type="dxa"/>
            <w:vAlign w:val="bottom"/>
            <w:tcBorders>
              <w:top w:val="single" w:sz="8" w:color="95B3D7"/>
            </w:tcBorders>
            <w:shd w:val="clear" w:color="auto" w:fill="DBE5F1"/>
          </w:tcPr>
          <w:p>
            <w:pPr>
              <w:ind w:left="380"/>
              <w:spacing w:after="0" w:line="104" w:lineRule="exact"/>
              <w:rPr>
                <w:sz w:val="20"/>
                <w:szCs w:val="20"/>
                <w:color w:val="auto"/>
              </w:rPr>
            </w:pPr>
            <w:r>
              <w:rPr>
                <w:rFonts w:ascii="Arial" w:cs="Arial" w:eastAsia="Arial" w:hAnsi="Arial"/>
                <w:sz w:val="11"/>
                <w:szCs w:val="11"/>
                <w:color w:val="auto"/>
              </w:rPr>
              <w:t>—</w:t>
            </w:r>
          </w:p>
        </w:tc>
        <w:tc>
          <w:tcPr>
            <w:tcW w:w="620" w:type="dxa"/>
            <w:vAlign w:val="bottom"/>
            <w:tcBorders>
              <w:top w:val="single" w:sz="8" w:color="95B3D7"/>
            </w:tcBorders>
            <w:shd w:val="clear" w:color="auto" w:fill="DBE5F1"/>
          </w:tcPr>
          <w:p>
            <w:pPr>
              <w:jc w:val="right"/>
              <w:ind w:right="86"/>
              <w:spacing w:after="0" w:line="104" w:lineRule="exact"/>
              <w:rPr>
                <w:sz w:val="20"/>
                <w:szCs w:val="20"/>
                <w:color w:val="auto"/>
              </w:rPr>
            </w:pPr>
            <w:r>
              <w:rPr>
                <w:rFonts w:ascii="Arial" w:cs="Arial" w:eastAsia="Arial" w:hAnsi="Arial"/>
                <w:sz w:val="11"/>
                <w:szCs w:val="11"/>
                <w:color w:val="auto"/>
              </w:rPr>
              <w:t>—</w:t>
            </w:r>
          </w:p>
        </w:tc>
        <w:tc>
          <w:tcPr>
            <w:tcW w:w="920" w:type="dxa"/>
            <w:vAlign w:val="bottom"/>
            <w:tcBorders>
              <w:top w:val="single" w:sz="8" w:color="95B3D7"/>
            </w:tcBorders>
            <w:shd w:val="clear" w:color="auto" w:fill="DBE5F1"/>
          </w:tcPr>
          <w:p>
            <w:pPr>
              <w:jc w:val="right"/>
              <w:ind w:right="226"/>
              <w:spacing w:after="0" w:line="104" w:lineRule="exact"/>
              <w:rPr>
                <w:sz w:val="20"/>
                <w:szCs w:val="20"/>
                <w:color w:val="auto"/>
              </w:rPr>
            </w:pPr>
            <w:r>
              <w:rPr>
                <w:rFonts w:ascii="Arial" w:cs="Arial" w:eastAsia="Arial" w:hAnsi="Arial"/>
                <w:sz w:val="11"/>
                <w:szCs w:val="11"/>
                <w:color w:val="auto"/>
              </w:rPr>
              <w:t>—</w:t>
            </w:r>
          </w:p>
        </w:tc>
        <w:tc>
          <w:tcPr>
            <w:tcW w:w="1020" w:type="dxa"/>
            <w:vAlign w:val="bottom"/>
            <w:tcBorders>
              <w:top w:val="single" w:sz="8" w:color="95B3D7"/>
            </w:tcBorders>
            <w:shd w:val="clear" w:color="auto" w:fill="DBE5F1"/>
          </w:tcPr>
          <w:p>
            <w:pPr>
              <w:jc w:val="right"/>
              <w:ind w:right="286"/>
              <w:spacing w:after="0" w:line="104" w:lineRule="exact"/>
              <w:rPr>
                <w:sz w:val="20"/>
                <w:szCs w:val="20"/>
                <w:color w:val="auto"/>
              </w:rPr>
            </w:pPr>
            <w:r>
              <w:rPr>
                <w:rFonts w:ascii="Arial" w:cs="Arial" w:eastAsia="Arial" w:hAnsi="Arial"/>
                <w:sz w:val="11"/>
                <w:szCs w:val="11"/>
                <w:color w:val="auto"/>
              </w:rPr>
              <w:t>873,667</w:t>
            </w:r>
          </w:p>
        </w:tc>
        <w:tc>
          <w:tcPr>
            <w:tcW w:w="860" w:type="dxa"/>
            <w:vAlign w:val="bottom"/>
            <w:tcBorders>
              <w:top w:val="single" w:sz="8" w:color="95B3D7"/>
            </w:tcBorders>
            <w:shd w:val="clear" w:color="auto" w:fill="DBE5F1"/>
          </w:tcPr>
          <w:p>
            <w:pPr>
              <w:jc w:val="right"/>
              <w:spacing w:after="0" w:line="104" w:lineRule="exact"/>
              <w:rPr>
                <w:sz w:val="20"/>
                <w:szCs w:val="20"/>
                <w:color w:val="auto"/>
              </w:rPr>
            </w:pPr>
            <w:r>
              <w:rPr>
                <w:rFonts w:ascii="Arial" w:cs="Arial" w:eastAsia="Arial" w:hAnsi="Arial"/>
                <w:sz w:val="11"/>
                <w:szCs w:val="11"/>
                <w:color w:val="auto"/>
              </w:rPr>
              <w:t>7,522,273</w:t>
            </w:r>
          </w:p>
        </w:tc>
      </w:tr>
      <w:tr>
        <w:trPr>
          <w:trHeight w:val="121"/>
        </w:trPr>
        <w:tc>
          <w:tcPr>
            <w:tcW w:w="3580" w:type="dxa"/>
            <w:vAlign w:val="bottom"/>
            <w:shd w:val="clear" w:color="auto" w:fill="DBE5F1"/>
          </w:tcPr>
          <w:p>
            <w:pPr>
              <w:spacing w:after="0"/>
              <w:rPr>
                <w:sz w:val="10"/>
                <w:szCs w:val="10"/>
                <w:color w:val="auto"/>
              </w:rPr>
            </w:pP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9/12/2022</w:t>
            </w:r>
          </w:p>
        </w:tc>
        <w:tc>
          <w:tcPr>
            <w:tcW w:w="1320" w:type="dxa"/>
            <w:vAlign w:val="bottom"/>
            <w:shd w:val="clear" w:color="auto" w:fill="DBE5F1"/>
          </w:tcPr>
          <w:p>
            <w:pPr>
              <w:jc w:val="right"/>
              <w:ind w:right="30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DBE5F1"/>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DBE5F1"/>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DBE5F1"/>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DBE5F1"/>
          </w:tcPr>
          <w:p>
            <w:pPr>
              <w:jc w:val="right"/>
              <w:ind w:right="286"/>
              <w:spacing w:after="0" w:line="122" w:lineRule="exact"/>
              <w:rPr>
                <w:sz w:val="20"/>
                <w:szCs w:val="20"/>
                <w:color w:val="auto"/>
              </w:rPr>
            </w:pPr>
            <w:r>
              <w:rPr>
                <w:rFonts w:ascii="Arial" w:cs="Arial" w:eastAsia="Arial" w:hAnsi="Arial"/>
                <w:sz w:val="11"/>
                <w:szCs w:val="11"/>
                <w:color w:val="auto"/>
              </w:rPr>
              <w:t>431,323</w:t>
            </w: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3,713,691</w:t>
            </w:r>
          </w:p>
        </w:tc>
      </w:tr>
      <w:tr>
        <w:trPr>
          <w:trHeight w:val="122"/>
        </w:trPr>
        <w:tc>
          <w:tcPr>
            <w:tcW w:w="3580" w:type="dxa"/>
            <w:vAlign w:val="bottom"/>
            <w:shd w:val="clear" w:color="auto" w:fill="DBE5F1"/>
          </w:tcPr>
          <w:p>
            <w:pPr>
              <w:spacing w:after="0"/>
              <w:rPr>
                <w:sz w:val="10"/>
                <w:szCs w:val="10"/>
                <w:color w:val="auto"/>
              </w:rPr>
            </w:pP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3/8/2022</w:t>
            </w:r>
          </w:p>
        </w:tc>
        <w:tc>
          <w:tcPr>
            <w:tcW w:w="1320" w:type="dxa"/>
            <w:vAlign w:val="bottom"/>
            <w:shd w:val="clear" w:color="auto" w:fill="DBE5F1"/>
          </w:tcPr>
          <w:p>
            <w:pPr>
              <w:jc w:val="right"/>
              <w:ind w:right="306"/>
              <w:spacing w:after="0" w:line="122" w:lineRule="exact"/>
              <w:rPr>
                <w:sz w:val="20"/>
                <w:szCs w:val="20"/>
                <w:color w:val="auto"/>
              </w:rPr>
            </w:pPr>
            <w:r>
              <w:rPr>
                <w:rFonts w:ascii="Arial" w:cs="Arial" w:eastAsia="Arial" w:hAnsi="Arial"/>
                <w:sz w:val="11"/>
                <w:szCs w:val="11"/>
                <w:color w:val="auto"/>
              </w:rPr>
              <w:t>38,017</w:t>
            </w:r>
          </w:p>
        </w:tc>
        <w:tc>
          <w:tcPr>
            <w:tcW w:w="1160" w:type="dxa"/>
            <w:vAlign w:val="bottom"/>
            <w:shd w:val="clear" w:color="auto" w:fill="DBE5F1"/>
          </w:tcPr>
          <w:p>
            <w:pPr>
              <w:jc w:val="right"/>
              <w:ind w:right="326"/>
              <w:spacing w:after="0" w:line="122" w:lineRule="exact"/>
              <w:rPr>
                <w:sz w:val="20"/>
                <w:szCs w:val="20"/>
                <w:color w:val="auto"/>
              </w:rPr>
            </w:pPr>
            <w:r>
              <w:rPr>
                <w:rFonts w:ascii="Arial" w:cs="Arial" w:eastAsia="Arial" w:hAnsi="Arial"/>
                <w:sz w:val="11"/>
                <w:szCs w:val="11"/>
                <w:color w:val="auto"/>
              </w:rPr>
              <w:t>114,051</w:t>
            </w:r>
          </w:p>
        </w:tc>
        <w:tc>
          <w:tcPr>
            <w:tcW w:w="680" w:type="dxa"/>
            <w:vAlign w:val="bottom"/>
            <w:shd w:val="clear" w:color="auto" w:fill="DBE5F1"/>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DBE5F1"/>
          </w:tcPr>
          <w:p>
            <w:pPr>
              <w:jc w:val="right"/>
              <w:ind w:right="86"/>
              <w:spacing w:after="0" w:line="122" w:lineRule="exact"/>
              <w:rPr>
                <w:sz w:val="20"/>
                <w:szCs w:val="20"/>
                <w:color w:val="auto"/>
              </w:rPr>
            </w:pPr>
            <w:r>
              <w:rPr>
                <w:rFonts w:ascii="Arial" w:cs="Arial" w:eastAsia="Arial" w:hAnsi="Arial"/>
                <w:sz w:val="11"/>
                <w:szCs w:val="11"/>
                <w:color w:val="auto"/>
              </w:rPr>
              <w:t>9.06</w:t>
            </w:r>
          </w:p>
        </w:tc>
        <w:tc>
          <w:tcPr>
            <w:tcW w:w="920" w:type="dxa"/>
            <w:vAlign w:val="bottom"/>
            <w:shd w:val="clear" w:color="auto" w:fill="DBE5F1"/>
          </w:tcPr>
          <w:p>
            <w:pPr>
              <w:jc w:val="right"/>
              <w:ind w:right="226"/>
              <w:spacing w:after="0" w:line="122" w:lineRule="exact"/>
              <w:rPr>
                <w:sz w:val="20"/>
                <w:szCs w:val="20"/>
                <w:color w:val="auto"/>
              </w:rPr>
            </w:pPr>
            <w:r>
              <w:rPr>
                <w:rFonts w:ascii="Arial" w:cs="Arial" w:eastAsia="Arial" w:hAnsi="Arial"/>
                <w:sz w:val="11"/>
                <w:szCs w:val="11"/>
                <w:color w:val="auto"/>
              </w:rPr>
              <w:t>3/8/2032</w:t>
            </w:r>
          </w:p>
        </w:tc>
        <w:tc>
          <w:tcPr>
            <w:tcW w:w="1020" w:type="dxa"/>
            <w:vAlign w:val="bottom"/>
            <w:shd w:val="clear" w:color="auto" w:fill="DBE5F1"/>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580" w:type="dxa"/>
            <w:vAlign w:val="bottom"/>
            <w:shd w:val="clear" w:color="auto" w:fill="DBE5F1"/>
          </w:tcPr>
          <w:p>
            <w:pPr>
              <w:spacing w:after="0"/>
              <w:rPr>
                <w:sz w:val="10"/>
                <w:szCs w:val="10"/>
                <w:color w:val="auto"/>
              </w:rPr>
            </w:pP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3/8/2022</w:t>
            </w:r>
          </w:p>
        </w:tc>
        <w:tc>
          <w:tcPr>
            <w:tcW w:w="1320" w:type="dxa"/>
            <w:vAlign w:val="bottom"/>
            <w:shd w:val="clear" w:color="auto" w:fill="DBE5F1"/>
          </w:tcPr>
          <w:p>
            <w:pPr>
              <w:spacing w:after="0"/>
              <w:rPr>
                <w:sz w:val="10"/>
                <w:szCs w:val="10"/>
                <w:color w:val="auto"/>
              </w:rPr>
            </w:pPr>
          </w:p>
        </w:tc>
        <w:tc>
          <w:tcPr>
            <w:tcW w:w="1160" w:type="dxa"/>
            <w:vAlign w:val="bottom"/>
            <w:shd w:val="clear" w:color="auto" w:fill="DBE5F1"/>
          </w:tcPr>
          <w:p>
            <w:pPr>
              <w:spacing w:after="0"/>
              <w:rPr>
                <w:sz w:val="10"/>
                <w:szCs w:val="10"/>
                <w:color w:val="auto"/>
              </w:rPr>
            </w:pPr>
          </w:p>
        </w:tc>
        <w:tc>
          <w:tcPr>
            <w:tcW w:w="680" w:type="dxa"/>
            <w:vAlign w:val="bottom"/>
            <w:shd w:val="clear" w:color="auto" w:fill="DBE5F1"/>
          </w:tcPr>
          <w:p>
            <w:pPr>
              <w:spacing w:after="0"/>
              <w:rPr>
                <w:sz w:val="10"/>
                <w:szCs w:val="10"/>
                <w:color w:val="auto"/>
              </w:rPr>
            </w:pPr>
          </w:p>
        </w:tc>
        <w:tc>
          <w:tcPr>
            <w:tcW w:w="620" w:type="dxa"/>
            <w:vAlign w:val="bottom"/>
            <w:shd w:val="clear" w:color="auto" w:fill="DBE5F1"/>
          </w:tcPr>
          <w:p>
            <w:pPr>
              <w:spacing w:after="0"/>
              <w:rPr>
                <w:sz w:val="10"/>
                <w:szCs w:val="10"/>
                <w:color w:val="auto"/>
              </w:rPr>
            </w:pPr>
          </w:p>
        </w:tc>
        <w:tc>
          <w:tcPr>
            <w:tcW w:w="920" w:type="dxa"/>
            <w:vAlign w:val="bottom"/>
            <w:shd w:val="clear" w:color="auto" w:fill="DBE5F1"/>
          </w:tcPr>
          <w:p>
            <w:pPr>
              <w:spacing w:after="0"/>
              <w:rPr>
                <w:sz w:val="10"/>
                <w:szCs w:val="10"/>
                <w:color w:val="auto"/>
              </w:rPr>
            </w:pPr>
          </w:p>
        </w:tc>
        <w:tc>
          <w:tcPr>
            <w:tcW w:w="1020" w:type="dxa"/>
            <w:vAlign w:val="bottom"/>
            <w:shd w:val="clear" w:color="auto" w:fill="DBE5F1"/>
          </w:tcPr>
          <w:p>
            <w:pPr>
              <w:jc w:val="right"/>
              <w:ind w:right="286"/>
              <w:spacing w:after="0" w:line="122" w:lineRule="exact"/>
              <w:rPr>
                <w:sz w:val="20"/>
                <w:szCs w:val="20"/>
                <w:color w:val="auto"/>
              </w:rPr>
            </w:pPr>
            <w:r>
              <w:rPr>
                <w:rFonts w:ascii="Arial" w:cs="Arial" w:eastAsia="Arial" w:hAnsi="Arial"/>
                <w:sz w:val="11"/>
                <w:szCs w:val="11"/>
                <w:color w:val="auto"/>
              </w:rPr>
              <w:t>155,215</w:t>
            </w: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1,336,401</w:t>
            </w:r>
          </w:p>
        </w:tc>
      </w:tr>
      <w:tr>
        <w:trPr>
          <w:trHeight w:val="122"/>
        </w:trPr>
        <w:tc>
          <w:tcPr>
            <w:tcW w:w="3580" w:type="dxa"/>
            <w:vAlign w:val="bottom"/>
            <w:shd w:val="clear" w:color="auto" w:fill="DBE5F1"/>
          </w:tcPr>
          <w:p>
            <w:pPr>
              <w:spacing w:after="0"/>
              <w:rPr>
                <w:sz w:val="10"/>
                <w:szCs w:val="10"/>
                <w:color w:val="auto"/>
              </w:rPr>
            </w:pP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3/25/2021</w:t>
            </w:r>
          </w:p>
        </w:tc>
        <w:tc>
          <w:tcPr>
            <w:tcW w:w="1320" w:type="dxa"/>
            <w:vAlign w:val="bottom"/>
            <w:shd w:val="clear" w:color="auto" w:fill="DBE5F1"/>
          </w:tcPr>
          <w:p>
            <w:pPr>
              <w:jc w:val="right"/>
              <w:ind w:right="306"/>
              <w:spacing w:after="0" w:line="122" w:lineRule="exact"/>
              <w:rPr>
                <w:sz w:val="20"/>
                <w:szCs w:val="20"/>
                <w:color w:val="auto"/>
              </w:rPr>
            </w:pPr>
            <w:r>
              <w:rPr>
                <w:rFonts w:ascii="Arial" w:cs="Arial" w:eastAsia="Arial" w:hAnsi="Arial"/>
                <w:sz w:val="11"/>
                <w:szCs w:val="11"/>
                <w:color w:val="auto"/>
              </w:rPr>
              <w:t>515,352</w:t>
            </w:r>
          </w:p>
        </w:tc>
        <w:tc>
          <w:tcPr>
            <w:tcW w:w="1160" w:type="dxa"/>
            <w:vAlign w:val="bottom"/>
            <w:shd w:val="clear" w:color="auto" w:fill="DBE5F1"/>
          </w:tcPr>
          <w:p>
            <w:pPr>
              <w:jc w:val="right"/>
              <w:ind w:right="326"/>
              <w:spacing w:after="0" w:line="122" w:lineRule="exact"/>
              <w:rPr>
                <w:sz w:val="20"/>
                <w:szCs w:val="20"/>
                <w:color w:val="auto"/>
              </w:rPr>
            </w:pPr>
            <w:r>
              <w:rPr>
                <w:rFonts w:ascii="Arial" w:cs="Arial" w:eastAsia="Arial" w:hAnsi="Arial"/>
                <w:sz w:val="11"/>
                <w:szCs w:val="11"/>
                <w:color w:val="auto"/>
              </w:rPr>
              <w:t>515,350</w:t>
            </w:r>
          </w:p>
        </w:tc>
        <w:tc>
          <w:tcPr>
            <w:tcW w:w="680" w:type="dxa"/>
            <w:vAlign w:val="bottom"/>
            <w:shd w:val="clear" w:color="auto" w:fill="DBE5F1"/>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DBE5F1"/>
          </w:tcPr>
          <w:p>
            <w:pPr>
              <w:jc w:val="right"/>
              <w:ind w:right="86"/>
              <w:spacing w:after="0" w:line="122" w:lineRule="exact"/>
              <w:rPr>
                <w:sz w:val="20"/>
                <w:szCs w:val="20"/>
                <w:color w:val="auto"/>
              </w:rPr>
            </w:pPr>
            <w:r>
              <w:rPr>
                <w:rFonts w:ascii="Arial" w:cs="Arial" w:eastAsia="Arial" w:hAnsi="Arial"/>
                <w:sz w:val="11"/>
                <w:szCs w:val="11"/>
                <w:color w:val="auto"/>
              </w:rPr>
              <w:t>18.00</w:t>
            </w:r>
          </w:p>
        </w:tc>
        <w:tc>
          <w:tcPr>
            <w:tcW w:w="920" w:type="dxa"/>
            <w:vAlign w:val="bottom"/>
            <w:shd w:val="clear" w:color="auto" w:fill="DBE5F1"/>
          </w:tcPr>
          <w:p>
            <w:pPr>
              <w:jc w:val="right"/>
              <w:ind w:right="226"/>
              <w:spacing w:after="0" w:line="122" w:lineRule="exact"/>
              <w:rPr>
                <w:sz w:val="20"/>
                <w:szCs w:val="20"/>
                <w:color w:val="auto"/>
              </w:rPr>
            </w:pPr>
            <w:r>
              <w:rPr>
                <w:rFonts w:ascii="Arial" w:cs="Arial" w:eastAsia="Arial" w:hAnsi="Arial"/>
                <w:sz w:val="11"/>
                <w:szCs w:val="11"/>
                <w:color w:val="auto"/>
              </w:rPr>
              <w:t>3/25/2031</w:t>
            </w:r>
          </w:p>
        </w:tc>
        <w:tc>
          <w:tcPr>
            <w:tcW w:w="1020" w:type="dxa"/>
            <w:vAlign w:val="bottom"/>
            <w:shd w:val="clear" w:color="auto" w:fill="DBE5F1"/>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580" w:type="dxa"/>
            <w:vAlign w:val="bottom"/>
            <w:shd w:val="clear" w:color="auto" w:fill="DBE5F1"/>
          </w:tcPr>
          <w:p>
            <w:pPr>
              <w:spacing w:after="0"/>
              <w:rPr>
                <w:sz w:val="10"/>
                <w:szCs w:val="10"/>
                <w:color w:val="auto"/>
              </w:rPr>
            </w:pP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3/25/2021</w:t>
            </w:r>
          </w:p>
        </w:tc>
        <w:tc>
          <w:tcPr>
            <w:tcW w:w="1320" w:type="dxa"/>
            <w:vAlign w:val="bottom"/>
            <w:shd w:val="clear" w:color="auto" w:fill="DBE5F1"/>
          </w:tcPr>
          <w:p>
            <w:pPr>
              <w:jc w:val="right"/>
              <w:ind w:right="306"/>
              <w:spacing w:after="0" w:line="122" w:lineRule="exact"/>
              <w:rPr>
                <w:sz w:val="20"/>
                <w:szCs w:val="20"/>
                <w:color w:val="auto"/>
              </w:rPr>
            </w:pPr>
            <w:r>
              <w:rPr>
                <w:rFonts w:ascii="Arial" w:cs="Arial" w:eastAsia="Arial" w:hAnsi="Arial"/>
                <w:sz w:val="11"/>
                <w:szCs w:val="11"/>
                <w:color w:val="auto"/>
              </w:rPr>
              <w:t>—</w:t>
            </w:r>
          </w:p>
        </w:tc>
        <w:tc>
          <w:tcPr>
            <w:tcW w:w="1160" w:type="dxa"/>
            <w:vAlign w:val="bottom"/>
            <w:shd w:val="clear" w:color="auto" w:fill="DBE5F1"/>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680" w:type="dxa"/>
            <w:vAlign w:val="bottom"/>
            <w:shd w:val="clear" w:color="auto" w:fill="DBE5F1"/>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shd w:val="clear" w:color="auto" w:fill="DBE5F1"/>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DBE5F1"/>
          </w:tcPr>
          <w:p>
            <w:pPr>
              <w:jc w:val="right"/>
              <w:ind w:right="286"/>
              <w:spacing w:after="0" w:line="122" w:lineRule="exact"/>
              <w:rPr>
                <w:sz w:val="20"/>
                <w:szCs w:val="20"/>
                <w:color w:val="auto"/>
              </w:rPr>
            </w:pPr>
            <w:r>
              <w:rPr>
                <w:rFonts w:ascii="Arial" w:cs="Arial" w:eastAsia="Arial" w:hAnsi="Arial"/>
                <w:sz w:val="11"/>
                <w:szCs w:val="11"/>
                <w:color w:val="auto"/>
              </w:rPr>
              <w:t>40,924</w:t>
            </w:r>
          </w:p>
        </w:tc>
        <w:tc>
          <w:tcPr>
            <w:tcW w:w="86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352,356</w:t>
            </w:r>
          </w:p>
        </w:tc>
      </w:tr>
      <w:tr>
        <w:trPr>
          <w:trHeight w:val="135"/>
        </w:trPr>
        <w:tc>
          <w:tcPr>
            <w:tcW w:w="3580" w:type="dxa"/>
            <w:vAlign w:val="bottom"/>
            <w:tcBorders>
              <w:bottom w:val="single" w:sz="8" w:color="95B3D7"/>
            </w:tcBorders>
            <w:shd w:val="clear" w:color="auto" w:fill="DBE5F1"/>
          </w:tcPr>
          <w:p>
            <w:pPr>
              <w:spacing w:after="0"/>
              <w:rPr>
                <w:sz w:val="11"/>
                <w:szCs w:val="11"/>
                <w:color w:val="auto"/>
              </w:rPr>
            </w:pP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9/25/2020</w:t>
            </w:r>
          </w:p>
        </w:tc>
        <w:tc>
          <w:tcPr>
            <w:tcW w:w="1320" w:type="dxa"/>
            <w:vAlign w:val="bottom"/>
            <w:tcBorders>
              <w:bottom w:val="single" w:sz="8" w:color="95B3D7"/>
            </w:tcBorders>
            <w:shd w:val="clear" w:color="auto" w:fill="DBE5F1"/>
          </w:tcPr>
          <w:p>
            <w:pPr>
              <w:jc w:val="right"/>
              <w:ind w:right="30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95B3D7"/>
            </w:tcBorders>
            <w:shd w:val="clear" w:color="auto" w:fill="DBE5F1"/>
          </w:tcPr>
          <w:p>
            <w:pPr>
              <w:jc w:val="right"/>
              <w:ind w:right="32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95B3D7"/>
            </w:tcBorders>
            <w:shd w:val="clear" w:color="auto" w:fill="DBE5F1"/>
          </w:tcPr>
          <w:p>
            <w:pPr>
              <w:ind w:left="3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95B3D7"/>
            </w:tcBorders>
            <w:shd w:val="clear" w:color="auto" w:fill="DBE5F1"/>
          </w:tcPr>
          <w:p>
            <w:pPr>
              <w:jc w:val="right"/>
              <w:ind w:right="8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95B3D7"/>
            </w:tcBorders>
            <w:shd w:val="clear" w:color="auto" w:fill="DBE5F1"/>
          </w:tcPr>
          <w:p>
            <w:pPr>
              <w:jc w:val="right"/>
              <w:ind w:right="22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95B3D7"/>
            </w:tcBorders>
            <w:shd w:val="clear" w:color="auto" w:fill="DBE5F1"/>
          </w:tcPr>
          <w:p>
            <w:pPr>
              <w:jc w:val="right"/>
              <w:ind w:right="286"/>
              <w:spacing w:after="0"/>
              <w:rPr>
                <w:sz w:val="20"/>
                <w:szCs w:val="20"/>
                <w:color w:val="auto"/>
              </w:rPr>
            </w:pPr>
            <w:r>
              <w:rPr>
                <w:rFonts w:ascii="Arial" w:cs="Arial" w:eastAsia="Arial" w:hAnsi="Arial"/>
                <w:sz w:val="11"/>
                <w:szCs w:val="11"/>
                <w:color w:val="auto"/>
              </w:rPr>
              <w:t>81,503</w:t>
            </w: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701,741</w:t>
            </w:r>
          </w:p>
        </w:tc>
      </w:tr>
      <w:tr>
        <w:trPr>
          <w:trHeight w:val="102"/>
        </w:trPr>
        <w:tc>
          <w:tcPr>
            <w:tcW w:w="3580" w:type="dxa"/>
            <w:vAlign w:val="bottom"/>
          </w:tcPr>
          <w:p>
            <w:pPr>
              <w:spacing w:after="0" w:line="102" w:lineRule="exact"/>
              <w:rPr>
                <w:sz w:val="20"/>
                <w:szCs w:val="20"/>
                <w:color w:val="auto"/>
              </w:rPr>
            </w:pPr>
            <w:r>
              <w:rPr>
                <w:rFonts w:ascii="Arial" w:cs="Arial" w:eastAsia="Arial" w:hAnsi="Arial"/>
                <w:sz w:val="11"/>
                <w:szCs w:val="11"/>
                <w:color w:val="auto"/>
              </w:rPr>
              <w:t>Hakan Kardes</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auto"/>
              </w:rPr>
              <w:t>9/14/2023</w:t>
            </w:r>
          </w:p>
        </w:tc>
        <w:tc>
          <w:tcPr>
            <w:tcW w:w="1320" w:type="dxa"/>
            <w:vAlign w:val="bottom"/>
          </w:tcPr>
          <w:p>
            <w:pPr>
              <w:jc w:val="right"/>
              <w:ind w:right="306"/>
              <w:spacing w:after="0" w:line="10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326"/>
              <w:spacing w:after="0" w:line="102" w:lineRule="exact"/>
              <w:rPr>
                <w:sz w:val="20"/>
                <w:szCs w:val="20"/>
                <w:color w:val="auto"/>
              </w:rPr>
            </w:pPr>
            <w:r>
              <w:rPr>
                <w:rFonts w:ascii="Arial" w:cs="Arial" w:eastAsia="Arial" w:hAnsi="Arial"/>
                <w:sz w:val="11"/>
                <w:szCs w:val="11"/>
                <w:color w:val="auto"/>
              </w:rPr>
              <w:t>—</w:t>
            </w:r>
          </w:p>
        </w:tc>
        <w:tc>
          <w:tcPr>
            <w:tcW w:w="680" w:type="dxa"/>
            <w:vAlign w:val="bottom"/>
          </w:tcPr>
          <w:p>
            <w:pPr>
              <w:ind w:left="380"/>
              <w:spacing w:after="0" w:line="10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line="10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226"/>
              <w:spacing w:after="0" w:line="10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86"/>
              <w:spacing w:after="0" w:line="102" w:lineRule="exact"/>
              <w:rPr>
                <w:sz w:val="20"/>
                <w:szCs w:val="20"/>
                <w:color w:val="auto"/>
              </w:rPr>
            </w:pPr>
            <w:r>
              <w:rPr>
                <w:rFonts w:ascii="Arial" w:cs="Arial" w:eastAsia="Arial" w:hAnsi="Arial"/>
                <w:sz w:val="11"/>
                <w:szCs w:val="11"/>
                <w:color w:val="auto"/>
              </w:rPr>
              <w:t>406,000</w:t>
            </w:r>
          </w:p>
        </w:tc>
        <w:tc>
          <w:tcPr>
            <w:tcW w:w="860" w:type="dxa"/>
            <w:vAlign w:val="bottom"/>
          </w:tcPr>
          <w:p>
            <w:pPr>
              <w:jc w:val="right"/>
              <w:spacing w:after="0" w:line="102" w:lineRule="exact"/>
              <w:rPr>
                <w:sz w:val="20"/>
                <w:szCs w:val="20"/>
                <w:color w:val="auto"/>
              </w:rPr>
            </w:pPr>
            <w:r>
              <w:rPr>
                <w:rFonts w:ascii="Arial" w:cs="Arial" w:eastAsia="Arial" w:hAnsi="Arial"/>
                <w:sz w:val="11"/>
                <w:szCs w:val="11"/>
                <w:color w:val="auto"/>
              </w:rPr>
              <w:t>3,495,660</w:t>
            </w:r>
          </w:p>
        </w:tc>
      </w:tr>
      <w:tr>
        <w:trPr>
          <w:trHeight w:val="122"/>
        </w:trPr>
        <w:tc>
          <w:tcPr>
            <w:tcW w:w="35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9/12/2022</w:t>
            </w:r>
          </w:p>
        </w:tc>
        <w:tc>
          <w:tcPr>
            <w:tcW w:w="13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2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44,482</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382,990</w:t>
            </w:r>
          </w:p>
        </w:tc>
      </w:tr>
      <w:tr>
        <w:trPr>
          <w:trHeight w:val="122"/>
        </w:trPr>
        <w:tc>
          <w:tcPr>
            <w:tcW w:w="35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3/8/2022</w:t>
            </w:r>
          </w:p>
        </w:tc>
        <w:tc>
          <w:tcPr>
            <w:tcW w:w="13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9,124</w:t>
            </w:r>
          </w:p>
        </w:tc>
        <w:tc>
          <w:tcPr>
            <w:tcW w:w="116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27,372</w:t>
            </w:r>
          </w:p>
        </w:tc>
        <w:tc>
          <w:tcPr>
            <w:tcW w:w="68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9.06</w:t>
            </w:r>
          </w:p>
        </w:tc>
        <w:tc>
          <w:tcPr>
            <w:tcW w:w="92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3/8/2032</w:t>
            </w:r>
          </w:p>
        </w:tc>
        <w:tc>
          <w:tcPr>
            <w:tcW w:w="102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5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3/8/2022</w:t>
            </w:r>
          </w:p>
        </w:tc>
        <w:tc>
          <w:tcPr>
            <w:tcW w:w="13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37,251</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320,731</w:t>
            </w:r>
          </w:p>
        </w:tc>
      </w:tr>
      <w:tr>
        <w:trPr>
          <w:trHeight w:val="121"/>
        </w:trPr>
        <w:tc>
          <w:tcPr>
            <w:tcW w:w="35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4/9/2021</w:t>
            </w:r>
          </w:p>
        </w:tc>
        <w:tc>
          <w:tcPr>
            <w:tcW w:w="13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33,000</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284,130</w:t>
            </w:r>
          </w:p>
        </w:tc>
      </w:tr>
      <w:tr>
        <w:trPr>
          <w:trHeight w:val="122"/>
        </w:trPr>
        <w:tc>
          <w:tcPr>
            <w:tcW w:w="35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3/25/2021</w:t>
            </w:r>
          </w:p>
        </w:tc>
        <w:tc>
          <w:tcPr>
            <w:tcW w:w="13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34,630</w:t>
            </w:r>
          </w:p>
        </w:tc>
        <w:tc>
          <w:tcPr>
            <w:tcW w:w="116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34,629</w:t>
            </w:r>
          </w:p>
        </w:tc>
        <w:tc>
          <w:tcPr>
            <w:tcW w:w="68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18.00</w:t>
            </w:r>
          </w:p>
        </w:tc>
        <w:tc>
          <w:tcPr>
            <w:tcW w:w="92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3/25/2031</w:t>
            </w:r>
          </w:p>
        </w:tc>
        <w:tc>
          <w:tcPr>
            <w:tcW w:w="102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w:t>
            </w:r>
          </w:p>
        </w:tc>
      </w:tr>
      <w:tr>
        <w:trPr>
          <w:trHeight w:val="122"/>
        </w:trPr>
        <w:tc>
          <w:tcPr>
            <w:tcW w:w="358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3/25/2021</w:t>
            </w:r>
          </w:p>
        </w:tc>
        <w:tc>
          <w:tcPr>
            <w:tcW w:w="1320" w:type="dxa"/>
            <w:vAlign w:val="bottom"/>
          </w:tcPr>
          <w:p>
            <w:pPr>
              <w:jc w:val="right"/>
              <w:ind w:right="306"/>
              <w:spacing w:after="0" w:line="122" w:lineRule="exact"/>
              <w:rPr>
                <w:sz w:val="20"/>
                <w:szCs w:val="20"/>
                <w:color w:val="auto"/>
              </w:rPr>
            </w:pPr>
            <w:r>
              <w:rPr>
                <w:rFonts w:ascii="Arial" w:cs="Arial" w:eastAsia="Arial" w:hAnsi="Arial"/>
                <w:sz w:val="11"/>
                <w:szCs w:val="11"/>
                <w:color w:val="auto"/>
              </w:rPr>
              <w:t>—</w:t>
            </w:r>
          </w:p>
        </w:tc>
        <w:tc>
          <w:tcPr>
            <w:tcW w:w="116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680" w:type="dxa"/>
            <w:vAlign w:val="bottom"/>
          </w:tcPr>
          <w:p>
            <w:pPr>
              <w:ind w:left="380"/>
              <w:spacing w:after="0" w:line="122" w:lineRule="exact"/>
              <w:rPr>
                <w:sz w:val="20"/>
                <w:szCs w:val="20"/>
                <w:color w:val="auto"/>
              </w:rPr>
            </w:pPr>
            <w:r>
              <w:rPr>
                <w:rFonts w:ascii="Arial" w:cs="Arial" w:eastAsia="Arial" w:hAnsi="Arial"/>
                <w:sz w:val="11"/>
                <w:szCs w:val="11"/>
                <w:color w:val="auto"/>
              </w:rPr>
              <w:t>—</w:t>
            </w:r>
          </w:p>
        </w:tc>
        <w:tc>
          <w:tcPr>
            <w:tcW w:w="620" w:type="dxa"/>
            <w:vAlign w:val="bottom"/>
          </w:tcPr>
          <w:p>
            <w:pPr>
              <w:jc w:val="right"/>
              <w:ind w:right="86"/>
              <w:spacing w:after="0" w:line="122" w:lineRule="exact"/>
              <w:rPr>
                <w:sz w:val="20"/>
                <w:szCs w:val="20"/>
                <w:color w:val="auto"/>
              </w:rPr>
            </w:pPr>
            <w:r>
              <w:rPr>
                <w:rFonts w:ascii="Arial" w:cs="Arial" w:eastAsia="Arial" w:hAnsi="Arial"/>
                <w:sz w:val="11"/>
                <w:szCs w:val="11"/>
                <w:color w:val="auto"/>
              </w:rPr>
              <w:t>—</w:t>
            </w:r>
          </w:p>
        </w:tc>
        <w:tc>
          <w:tcPr>
            <w:tcW w:w="920" w:type="dxa"/>
            <w:vAlign w:val="bottom"/>
          </w:tcPr>
          <w:p>
            <w:pPr>
              <w:jc w:val="right"/>
              <w:ind w:right="226"/>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ind w:right="286"/>
              <w:spacing w:after="0" w:line="122" w:lineRule="exact"/>
              <w:rPr>
                <w:sz w:val="20"/>
                <w:szCs w:val="20"/>
                <w:color w:val="auto"/>
              </w:rPr>
            </w:pPr>
            <w:r>
              <w:rPr>
                <w:rFonts w:ascii="Arial" w:cs="Arial" w:eastAsia="Arial" w:hAnsi="Arial"/>
                <w:sz w:val="11"/>
                <w:szCs w:val="11"/>
                <w:color w:val="auto"/>
              </w:rPr>
              <w:t>2,750</w:t>
            </w:r>
          </w:p>
        </w:tc>
        <w:tc>
          <w:tcPr>
            <w:tcW w:w="860" w:type="dxa"/>
            <w:vAlign w:val="bottom"/>
          </w:tcPr>
          <w:p>
            <w:pPr>
              <w:jc w:val="right"/>
              <w:spacing w:after="0" w:line="122" w:lineRule="exact"/>
              <w:rPr>
                <w:sz w:val="20"/>
                <w:szCs w:val="20"/>
                <w:color w:val="auto"/>
              </w:rPr>
            </w:pPr>
            <w:r>
              <w:rPr>
                <w:rFonts w:ascii="Arial" w:cs="Arial" w:eastAsia="Arial" w:hAnsi="Arial"/>
                <w:sz w:val="11"/>
                <w:szCs w:val="11"/>
                <w:color w:val="auto"/>
              </w:rPr>
              <w:t>23,678</w:t>
            </w:r>
          </w:p>
        </w:tc>
      </w:tr>
      <w:tr>
        <w:trPr>
          <w:trHeight w:val="135"/>
        </w:trPr>
        <w:tc>
          <w:tcPr>
            <w:tcW w:w="3580" w:type="dxa"/>
            <w:vAlign w:val="bottom"/>
            <w:tcBorders>
              <w:bottom w:val="single" w:sz="8" w:color="95B3D7"/>
            </w:tcBorders>
          </w:tcPr>
          <w:p>
            <w:pPr>
              <w:spacing w:after="0"/>
              <w:rPr>
                <w:sz w:val="11"/>
                <w:szCs w:val="11"/>
                <w:color w:val="auto"/>
              </w:rPr>
            </w:pPr>
          </w:p>
        </w:tc>
        <w:tc>
          <w:tcPr>
            <w:tcW w:w="860" w:type="dxa"/>
            <w:vAlign w:val="bottom"/>
            <w:tcBorders>
              <w:bottom w:val="single" w:sz="8" w:color="95B3D7"/>
            </w:tcBorders>
          </w:tcPr>
          <w:p>
            <w:pPr>
              <w:jc w:val="right"/>
              <w:spacing w:after="0"/>
              <w:rPr>
                <w:sz w:val="20"/>
                <w:szCs w:val="20"/>
                <w:color w:val="auto"/>
              </w:rPr>
            </w:pPr>
            <w:r>
              <w:rPr>
                <w:rFonts w:ascii="Arial" w:cs="Arial" w:eastAsia="Arial" w:hAnsi="Arial"/>
                <w:sz w:val="11"/>
                <w:szCs w:val="11"/>
                <w:color w:val="auto"/>
              </w:rPr>
              <w:t>9/25/2020</w:t>
            </w:r>
          </w:p>
        </w:tc>
        <w:tc>
          <w:tcPr>
            <w:tcW w:w="1320" w:type="dxa"/>
            <w:vAlign w:val="bottom"/>
            <w:tcBorders>
              <w:bottom w:val="single" w:sz="8" w:color="95B3D7"/>
            </w:tcBorders>
          </w:tcPr>
          <w:p>
            <w:pPr>
              <w:jc w:val="right"/>
              <w:ind w:right="30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95B3D7"/>
            </w:tcBorders>
          </w:tcPr>
          <w:p>
            <w:pPr>
              <w:jc w:val="right"/>
              <w:ind w:right="32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95B3D7"/>
            </w:tcBorders>
          </w:tcPr>
          <w:p>
            <w:pPr>
              <w:ind w:left="3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95B3D7"/>
            </w:tcBorders>
          </w:tcPr>
          <w:p>
            <w:pPr>
              <w:jc w:val="right"/>
              <w:ind w:right="8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95B3D7"/>
            </w:tcBorders>
          </w:tcPr>
          <w:p>
            <w:pPr>
              <w:jc w:val="right"/>
              <w:ind w:right="22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95B3D7"/>
            </w:tcBorders>
          </w:tcPr>
          <w:p>
            <w:pPr>
              <w:jc w:val="right"/>
              <w:ind w:right="286"/>
              <w:spacing w:after="0"/>
              <w:rPr>
                <w:sz w:val="20"/>
                <w:szCs w:val="20"/>
                <w:color w:val="auto"/>
              </w:rPr>
            </w:pPr>
            <w:r>
              <w:rPr>
                <w:rFonts w:ascii="Arial" w:cs="Arial" w:eastAsia="Arial" w:hAnsi="Arial"/>
                <w:sz w:val="11"/>
                <w:szCs w:val="11"/>
                <w:color w:val="auto"/>
              </w:rPr>
              <w:t>10,188</w:t>
            </w:r>
          </w:p>
        </w:tc>
        <w:tc>
          <w:tcPr>
            <w:tcW w:w="860" w:type="dxa"/>
            <w:vAlign w:val="bottom"/>
            <w:tcBorders>
              <w:bottom w:val="single" w:sz="8" w:color="95B3D7"/>
            </w:tcBorders>
          </w:tcPr>
          <w:p>
            <w:pPr>
              <w:jc w:val="right"/>
              <w:spacing w:after="0"/>
              <w:rPr>
                <w:sz w:val="20"/>
                <w:szCs w:val="20"/>
                <w:color w:val="auto"/>
              </w:rPr>
            </w:pPr>
            <w:r>
              <w:rPr>
                <w:rFonts w:ascii="Arial" w:cs="Arial" w:eastAsia="Arial" w:hAnsi="Arial"/>
                <w:sz w:val="11"/>
                <w:szCs w:val="11"/>
                <w:color w:val="auto"/>
              </w:rPr>
              <w:t>87,719</w:t>
            </w:r>
          </w:p>
        </w:tc>
      </w:tr>
      <w:tr>
        <w:trPr>
          <w:trHeight w:val="102"/>
        </w:trPr>
        <w:tc>
          <w:tcPr>
            <w:tcW w:w="3580" w:type="dxa"/>
            <w:vAlign w:val="bottom"/>
            <w:shd w:val="clear" w:color="auto" w:fill="DBE5F1"/>
          </w:tcPr>
          <w:p>
            <w:pPr>
              <w:spacing w:after="0" w:line="102" w:lineRule="exact"/>
              <w:rPr>
                <w:sz w:val="20"/>
                <w:szCs w:val="20"/>
                <w:color w:val="auto"/>
              </w:rPr>
            </w:pPr>
            <w:r>
              <w:rPr>
                <w:rFonts w:ascii="Arial" w:cs="Arial" w:eastAsia="Arial" w:hAnsi="Arial"/>
                <w:sz w:val="11"/>
                <w:szCs w:val="11"/>
                <w:color w:val="auto"/>
              </w:rPr>
              <w:t>Hyong (Ken) Kim, M.D.</w:t>
            </w:r>
          </w:p>
        </w:tc>
        <w:tc>
          <w:tcPr>
            <w:tcW w:w="860" w:type="dxa"/>
            <w:vAlign w:val="bottom"/>
            <w:shd w:val="clear" w:color="auto" w:fill="DBE5F1"/>
          </w:tcPr>
          <w:p>
            <w:pPr>
              <w:jc w:val="right"/>
              <w:spacing w:after="0" w:line="102" w:lineRule="exact"/>
              <w:rPr>
                <w:sz w:val="20"/>
                <w:szCs w:val="20"/>
                <w:color w:val="auto"/>
              </w:rPr>
            </w:pPr>
            <w:r>
              <w:rPr>
                <w:rFonts w:ascii="Arial" w:cs="Arial" w:eastAsia="Arial" w:hAnsi="Arial"/>
                <w:sz w:val="11"/>
                <w:szCs w:val="11"/>
                <w:color w:val="auto"/>
              </w:rPr>
              <w:t>10/4/2023</w:t>
            </w:r>
          </w:p>
        </w:tc>
        <w:tc>
          <w:tcPr>
            <w:tcW w:w="1320" w:type="dxa"/>
            <w:vAlign w:val="bottom"/>
            <w:shd w:val="clear" w:color="auto" w:fill="DBE5F1"/>
          </w:tcPr>
          <w:p>
            <w:pPr>
              <w:jc w:val="right"/>
              <w:ind w:right="306"/>
              <w:spacing w:after="0" w:line="102" w:lineRule="exact"/>
              <w:rPr>
                <w:sz w:val="20"/>
                <w:szCs w:val="20"/>
                <w:color w:val="auto"/>
              </w:rPr>
            </w:pPr>
            <w:r>
              <w:rPr>
                <w:rFonts w:ascii="Arial" w:cs="Arial" w:eastAsia="Arial" w:hAnsi="Arial"/>
                <w:sz w:val="11"/>
                <w:szCs w:val="11"/>
                <w:color w:val="auto"/>
              </w:rPr>
              <w:t>—</w:t>
            </w:r>
          </w:p>
        </w:tc>
        <w:tc>
          <w:tcPr>
            <w:tcW w:w="1160" w:type="dxa"/>
            <w:vAlign w:val="bottom"/>
            <w:shd w:val="clear" w:color="auto" w:fill="DBE5F1"/>
          </w:tcPr>
          <w:p>
            <w:pPr>
              <w:jc w:val="right"/>
              <w:ind w:right="326"/>
              <w:spacing w:after="0" w:line="102" w:lineRule="exact"/>
              <w:rPr>
                <w:sz w:val="20"/>
                <w:szCs w:val="20"/>
                <w:color w:val="auto"/>
              </w:rPr>
            </w:pPr>
            <w:r>
              <w:rPr>
                <w:rFonts w:ascii="Arial" w:cs="Arial" w:eastAsia="Arial" w:hAnsi="Arial"/>
                <w:sz w:val="11"/>
                <w:szCs w:val="11"/>
                <w:color w:val="auto"/>
              </w:rPr>
              <w:t>—</w:t>
            </w:r>
          </w:p>
        </w:tc>
        <w:tc>
          <w:tcPr>
            <w:tcW w:w="680" w:type="dxa"/>
            <w:vAlign w:val="bottom"/>
            <w:shd w:val="clear" w:color="auto" w:fill="DBE5F1"/>
          </w:tcPr>
          <w:p>
            <w:pPr>
              <w:ind w:left="380"/>
              <w:spacing w:after="0" w:line="102" w:lineRule="exact"/>
              <w:rPr>
                <w:sz w:val="20"/>
                <w:szCs w:val="20"/>
                <w:color w:val="auto"/>
              </w:rPr>
            </w:pPr>
            <w:r>
              <w:rPr>
                <w:rFonts w:ascii="Arial" w:cs="Arial" w:eastAsia="Arial" w:hAnsi="Arial"/>
                <w:sz w:val="11"/>
                <w:szCs w:val="11"/>
                <w:color w:val="auto"/>
              </w:rPr>
              <w:t>—</w:t>
            </w:r>
          </w:p>
        </w:tc>
        <w:tc>
          <w:tcPr>
            <w:tcW w:w="620" w:type="dxa"/>
            <w:vAlign w:val="bottom"/>
            <w:shd w:val="clear" w:color="auto" w:fill="DBE5F1"/>
          </w:tcPr>
          <w:p>
            <w:pPr>
              <w:jc w:val="right"/>
              <w:ind w:right="86"/>
              <w:spacing w:after="0" w:line="102" w:lineRule="exact"/>
              <w:rPr>
                <w:sz w:val="20"/>
                <w:szCs w:val="20"/>
                <w:color w:val="auto"/>
              </w:rPr>
            </w:pPr>
            <w:r>
              <w:rPr>
                <w:rFonts w:ascii="Arial" w:cs="Arial" w:eastAsia="Arial" w:hAnsi="Arial"/>
                <w:sz w:val="11"/>
                <w:szCs w:val="11"/>
                <w:color w:val="auto"/>
              </w:rPr>
              <w:t>—</w:t>
            </w:r>
          </w:p>
        </w:tc>
        <w:tc>
          <w:tcPr>
            <w:tcW w:w="920" w:type="dxa"/>
            <w:vAlign w:val="bottom"/>
            <w:shd w:val="clear" w:color="auto" w:fill="DBE5F1"/>
          </w:tcPr>
          <w:p>
            <w:pPr>
              <w:jc w:val="right"/>
              <w:ind w:right="226"/>
              <w:spacing w:after="0" w:line="102" w:lineRule="exact"/>
              <w:rPr>
                <w:sz w:val="20"/>
                <w:szCs w:val="20"/>
                <w:color w:val="auto"/>
              </w:rPr>
            </w:pPr>
            <w:r>
              <w:rPr>
                <w:rFonts w:ascii="Arial" w:cs="Arial" w:eastAsia="Arial" w:hAnsi="Arial"/>
                <w:sz w:val="11"/>
                <w:szCs w:val="11"/>
                <w:color w:val="auto"/>
              </w:rPr>
              <w:t>—</w:t>
            </w:r>
          </w:p>
        </w:tc>
        <w:tc>
          <w:tcPr>
            <w:tcW w:w="1020" w:type="dxa"/>
            <w:vAlign w:val="bottom"/>
            <w:shd w:val="clear" w:color="auto" w:fill="DBE5F1"/>
          </w:tcPr>
          <w:p>
            <w:pPr>
              <w:jc w:val="right"/>
              <w:ind w:right="286"/>
              <w:spacing w:after="0" w:line="102" w:lineRule="exact"/>
              <w:rPr>
                <w:sz w:val="20"/>
                <w:szCs w:val="20"/>
                <w:color w:val="auto"/>
              </w:rPr>
            </w:pPr>
            <w:r>
              <w:rPr>
                <w:rFonts w:ascii="Arial" w:cs="Arial" w:eastAsia="Arial" w:hAnsi="Arial"/>
                <w:sz w:val="11"/>
                <w:szCs w:val="11"/>
                <w:color w:val="auto"/>
              </w:rPr>
              <w:t>340,136</w:t>
            </w:r>
          </w:p>
        </w:tc>
        <w:tc>
          <w:tcPr>
            <w:tcW w:w="860" w:type="dxa"/>
            <w:vAlign w:val="bottom"/>
            <w:shd w:val="clear" w:color="auto" w:fill="DBE5F1"/>
          </w:tcPr>
          <w:p>
            <w:pPr>
              <w:jc w:val="right"/>
              <w:spacing w:after="0" w:line="102" w:lineRule="exact"/>
              <w:rPr>
                <w:sz w:val="20"/>
                <w:szCs w:val="20"/>
                <w:color w:val="auto"/>
              </w:rPr>
            </w:pPr>
            <w:r>
              <w:rPr>
                <w:rFonts w:ascii="Arial" w:cs="Arial" w:eastAsia="Arial" w:hAnsi="Arial"/>
                <w:sz w:val="11"/>
                <w:szCs w:val="11"/>
                <w:color w:val="auto"/>
              </w:rPr>
              <w:t>2,928,571</w:t>
            </w:r>
          </w:p>
        </w:tc>
      </w:tr>
      <w:tr>
        <w:trPr>
          <w:trHeight w:val="135"/>
        </w:trPr>
        <w:tc>
          <w:tcPr>
            <w:tcW w:w="3580" w:type="dxa"/>
            <w:vAlign w:val="bottom"/>
            <w:tcBorders>
              <w:bottom w:val="single" w:sz="8" w:color="95B3D7"/>
            </w:tcBorders>
            <w:shd w:val="clear" w:color="auto" w:fill="DBE5F1"/>
          </w:tcPr>
          <w:p>
            <w:pPr>
              <w:spacing w:after="0"/>
              <w:rPr>
                <w:sz w:val="11"/>
                <w:szCs w:val="11"/>
                <w:color w:val="auto"/>
              </w:rPr>
            </w:pP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9/14/2023</w:t>
            </w:r>
          </w:p>
        </w:tc>
        <w:tc>
          <w:tcPr>
            <w:tcW w:w="1320" w:type="dxa"/>
            <w:vAlign w:val="bottom"/>
            <w:tcBorders>
              <w:bottom w:val="single" w:sz="8" w:color="95B3D7"/>
            </w:tcBorders>
            <w:shd w:val="clear" w:color="auto" w:fill="DBE5F1"/>
          </w:tcPr>
          <w:p>
            <w:pPr>
              <w:jc w:val="right"/>
              <w:ind w:right="306"/>
              <w:spacing w:after="0"/>
              <w:rPr>
                <w:sz w:val="20"/>
                <w:szCs w:val="20"/>
                <w:color w:val="auto"/>
              </w:rPr>
            </w:pPr>
            <w:r>
              <w:rPr>
                <w:rFonts w:ascii="Arial" w:cs="Arial" w:eastAsia="Arial" w:hAnsi="Arial"/>
                <w:sz w:val="11"/>
                <w:szCs w:val="11"/>
                <w:color w:val="auto"/>
              </w:rPr>
              <w:t>—</w:t>
            </w:r>
          </w:p>
        </w:tc>
        <w:tc>
          <w:tcPr>
            <w:tcW w:w="1160" w:type="dxa"/>
            <w:vAlign w:val="bottom"/>
            <w:tcBorders>
              <w:bottom w:val="single" w:sz="8" w:color="95B3D7"/>
            </w:tcBorders>
            <w:shd w:val="clear" w:color="auto" w:fill="DBE5F1"/>
          </w:tcPr>
          <w:p>
            <w:pPr>
              <w:jc w:val="right"/>
              <w:ind w:right="326"/>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95B3D7"/>
            </w:tcBorders>
            <w:shd w:val="clear" w:color="auto" w:fill="DBE5F1"/>
          </w:tcPr>
          <w:p>
            <w:pPr>
              <w:ind w:left="38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95B3D7"/>
            </w:tcBorders>
            <w:shd w:val="clear" w:color="auto" w:fill="DBE5F1"/>
          </w:tcPr>
          <w:p>
            <w:pPr>
              <w:jc w:val="right"/>
              <w:ind w:right="86"/>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95B3D7"/>
            </w:tcBorders>
            <w:shd w:val="clear" w:color="auto" w:fill="DBE5F1"/>
          </w:tcPr>
          <w:p>
            <w:pPr>
              <w:jc w:val="right"/>
              <w:ind w:right="226"/>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95B3D7"/>
            </w:tcBorders>
            <w:shd w:val="clear" w:color="auto" w:fill="DBE5F1"/>
          </w:tcPr>
          <w:p>
            <w:pPr>
              <w:jc w:val="right"/>
              <w:ind w:right="286"/>
              <w:spacing w:after="0"/>
              <w:rPr>
                <w:sz w:val="20"/>
                <w:szCs w:val="20"/>
                <w:color w:val="auto"/>
              </w:rPr>
            </w:pPr>
            <w:r>
              <w:rPr>
                <w:rFonts w:ascii="Arial" w:cs="Arial" w:eastAsia="Arial" w:hAnsi="Arial"/>
                <w:sz w:val="11"/>
                <w:szCs w:val="11"/>
                <w:color w:val="auto"/>
              </w:rPr>
              <w:t>50,000</w:t>
            </w: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1"/>
                <w:szCs w:val="11"/>
                <w:color w:val="auto"/>
              </w:rPr>
              <w:t>430,500</w:t>
            </w:r>
          </w:p>
        </w:tc>
      </w:tr>
    </w:tbl>
    <w:p>
      <w:pPr>
        <w:spacing w:after="0" w:line="103" w:lineRule="exact"/>
        <w:rPr>
          <w:sz w:val="20"/>
          <w:szCs w:val="20"/>
          <w:color w:val="auto"/>
        </w:rPr>
      </w:pPr>
    </w:p>
    <w:p>
      <w:pPr>
        <w:ind w:left="960" w:right="60" w:hanging="532"/>
        <w:spacing w:after="0" w:line="255" w:lineRule="auto"/>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Represents unvested options, RSUs, PSUs, restricted shares converted from service-based incentive units and SARs (which remain subject to the same vesting schedules as in effect prior to our IPO) and restricted shares converted from performance-based incentive units and SARs (which vest (i) 50% on the later of (x) the fourth anniversary of the initial vesting date and</w:t>
      </w:r>
    </w:p>
    <w:p>
      <w:pPr>
        <w:spacing w:after="0" w:line="2" w:lineRule="exact"/>
        <w:rPr>
          <w:rFonts w:ascii="Arial" w:cs="Arial" w:eastAsia="Arial" w:hAnsi="Arial"/>
          <w:sz w:val="17"/>
          <w:szCs w:val="17"/>
          <w:color w:val="auto"/>
        </w:rPr>
      </w:pPr>
    </w:p>
    <w:p>
      <w:pPr>
        <w:ind w:left="960" w:right="40"/>
        <w:spacing w:after="0" w:line="238" w:lineRule="auto"/>
        <w:rPr>
          <w:rFonts w:ascii="Arial" w:cs="Arial" w:eastAsia="Arial" w:hAnsi="Arial"/>
          <w:sz w:val="17"/>
          <w:szCs w:val="17"/>
          <w:color w:val="auto"/>
        </w:rPr>
      </w:pPr>
      <w:r>
        <w:rPr>
          <w:rFonts w:ascii="Arial" w:cs="Arial" w:eastAsia="Arial" w:hAnsi="Arial"/>
          <w:sz w:val="18"/>
          <w:szCs w:val="18"/>
          <w:color w:val="auto"/>
        </w:rPr>
        <w:t>(y) the first anniversary of our IPO and (ii) 50% on the later of (x) the fourth anniversary of the initial vesting date and (y) the second anniversary of our IPO, in each case, subject to continued employment or service on each such vesting date). PSUs disclosed above assume target-level achievement. Actual shares delivered under PSU awards are subject to performance conditions in respect of fiscal year 2024 and therefore may vary from the target units reported here. The vesting schedules of the options, RSUs, PSUs and restricted shares are as follows (subject to the named executive officer’s continued employment through each applicable vesting date):</w:t>
      </w:r>
    </w:p>
    <w:p>
      <w:pPr>
        <w:spacing w:after="0" w:line="209" w:lineRule="exact"/>
        <w:rPr>
          <w:sz w:val="20"/>
          <w:szCs w:val="20"/>
          <w:color w:val="auto"/>
        </w:rPr>
      </w:pPr>
    </w:p>
    <w:tbl>
      <w:tblPr>
        <w:tblLayout w:type="fixed"/>
        <w:tblInd w:w="88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Grant</w:t>
            </w:r>
          </w:p>
        </w:tc>
        <w:tc>
          <w:tcPr>
            <w:tcW w:w="740" w:type="dxa"/>
            <w:vAlign w:val="bottom"/>
          </w:tcPr>
          <w:p>
            <w:pPr>
              <w:ind w:left="180"/>
              <w:spacing w:after="0"/>
              <w:rPr>
                <w:sz w:val="20"/>
                <w:szCs w:val="20"/>
                <w:color w:val="auto"/>
              </w:rPr>
            </w:pPr>
            <w:r>
              <w:rPr>
                <w:rFonts w:ascii="Arial" w:cs="Arial" w:eastAsia="Arial" w:hAnsi="Arial"/>
                <w:sz w:val="11"/>
                <w:szCs w:val="11"/>
                <w:b w:val="1"/>
                <w:bCs w:val="1"/>
                <w:color w:val="auto"/>
              </w:rPr>
              <w:t>Grant</w:t>
            </w:r>
          </w:p>
        </w:tc>
        <w:tc>
          <w:tcPr>
            <w:tcW w:w="6640" w:type="dxa"/>
            <w:vAlign w:val="bottom"/>
          </w:tcPr>
          <w:p>
            <w:pPr>
              <w:spacing w:after="0"/>
              <w:rPr>
                <w:sz w:val="10"/>
                <w:szCs w:val="10"/>
                <w:color w:val="auto"/>
              </w:rPr>
            </w:pPr>
          </w:p>
        </w:tc>
      </w:tr>
      <w:tr>
        <w:trPr>
          <w:trHeight w:val="148"/>
        </w:trPr>
        <w:tc>
          <w:tcPr>
            <w:tcW w:w="1280" w:type="dxa"/>
            <w:vAlign w:val="bottom"/>
            <w:gridSpan w:val="2"/>
          </w:tcPr>
          <w:p>
            <w:pPr>
              <w:spacing w:after="0"/>
              <w:rPr>
                <w:sz w:val="20"/>
                <w:szCs w:val="20"/>
                <w:color w:val="auto"/>
              </w:rPr>
            </w:pPr>
            <w:r>
              <w:rPr>
                <w:rFonts w:ascii="Arial" w:cs="Arial" w:eastAsia="Arial" w:hAnsi="Arial"/>
                <w:sz w:val="11"/>
                <w:szCs w:val="11"/>
                <w:b w:val="1"/>
                <w:bCs w:val="1"/>
                <w:color w:val="auto"/>
              </w:rPr>
              <w:t>Name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80"/>
              <w:spacing w:after="0"/>
              <w:rPr>
                <w:sz w:val="20"/>
                <w:szCs w:val="20"/>
                <w:color w:val="auto"/>
              </w:rPr>
            </w:pPr>
            <w:r>
              <w:rPr>
                <w:rFonts w:ascii="Arial" w:cs="Arial" w:eastAsia="Arial" w:hAnsi="Arial"/>
                <w:sz w:val="11"/>
                <w:szCs w:val="11"/>
                <w:b w:val="1"/>
                <w:bCs w:val="1"/>
                <w:color w:val="auto"/>
              </w:rPr>
              <w:t>Type</w:t>
            </w:r>
          </w:p>
        </w:tc>
        <w:tc>
          <w:tcPr>
            <w:tcW w:w="6640" w:type="dxa"/>
            <w:vAlign w:val="bottom"/>
          </w:tcPr>
          <w:p>
            <w:pPr>
              <w:ind w:left="60"/>
              <w:spacing w:after="0"/>
              <w:rPr>
                <w:sz w:val="20"/>
                <w:szCs w:val="20"/>
                <w:color w:val="auto"/>
              </w:rPr>
            </w:pPr>
            <w:r>
              <w:rPr>
                <w:rFonts w:ascii="Arial" w:cs="Arial" w:eastAsia="Arial" w:hAnsi="Arial"/>
                <w:sz w:val="11"/>
                <w:szCs w:val="11"/>
                <w:b w:val="1"/>
                <w:bCs w:val="1"/>
                <w:color w:val="auto"/>
              </w:rPr>
              <w:t>Service-based Vesting Schedule</w:t>
            </w:r>
          </w:p>
        </w:tc>
      </w:tr>
      <w:tr>
        <w:trPr>
          <w:trHeight w:val="102"/>
        </w:trPr>
        <w:tc>
          <w:tcPr>
            <w:tcW w:w="20" w:type="dxa"/>
            <w:vAlign w:val="bottom"/>
          </w:tcPr>
          <w:p>
            <w:pPr>
              <w:spacing w:after="0"/>
              <w:rPr>
                <w:sz w:val="8"/>
                <w:szCs w:val="8"/>
                <w:color w:val="auto"/>
              </w:rPr>
            </w:pPr>
          </w:p>
        </w:tc>
        <w:tc>
          <w:tcPr>
            <w:tcW w:w="1260" w:type="dxa"/>
            <w:vAlign w:val="bottom"/>
            <w:tcBorders>
              <w:top w:val="single" w:sz="8" w:color="95B3D7"/>
            </w:tcBorders>
            <w:shd w:val="clear" w:color="auto" w:fill="DBE5F1"/>
          </w:tcPr>
          <w:p>
            <w:pPr>
              <w:spacing w:after="0" w:line="102" w:lineRule="exact"/>
              <w:rPr>
                <w:sz w:val="20"/>
                <w:szCs w:val="20"/>
                <w:color w:val="auto"/>
              </w:rPr>
            </w:pPr>
            <w:r>
              <w:rPr>
                <w:rFonts w:ascii="Arial" w:cs="Arial" w:eastAsia="Arial" w:hAnsi="Arial"/>
                <w:sz w:val="11"/>
                <w:szCs w:val="11"/>
                <w:color w:val="auto"/>
              </w:rPr>
              <w:t>John Kao</w:t>
            </w:r>
          </w:p>
        </w:tc>
        <w:tc>
          <w:tcPr>
            <w:tcW w:w="600" w:type="dxa"/>
            <w:vAlign w:val="bottom"/>
            <w:tcBorders>
              <w:top w:val="single" w:sz="8" w:color="95B3D7"/>
            </w:tcBorders>
            <w:shd w:val="clear" w:color="auto" w:fill="DBE5F1"/>
          </w:tcPr>
          <w:p>
            <w:pPr>
              <w:jc w:val="right"/>
              <w:spacing w:after="0" w:line="102" w:lineRule="exact"/>
              <w:rPr>
                <w:sz w:val="20"/>
                <w:szCs w:val="20"/>
                <w:color w:val="auto"/>
              </w:rPr>
            </w:pPr>
            <w:r>
              <w:rPr>
                <w:rFonts w:ascii="Arial" w:cs="Arial" w:eastAsia="Arial" w:hAnsi="Arial"/>
                <w:sz w:val="11"/>
                <w:szCs w:val="11"/>
                <w:color w:val="auto"/>
              </w:rPr>
              <w:t>9/14/2023</w:t>
            </w:r>
          </w:p>
        </w:tc>
        <w:tc>
          <w:tcPr>
            <w:tcW w:w="740" w:type="dxa"/>
            <w:vAlign w:val="bottom"/>
            <w:tcBorders>
              <w:top w:val="single" w:sz="8" w:color="95B3D7"/>
            </w:tcBorders>
            <w:shd w:val="clear" w:color="auto" w:fill="DBE5F1"/>
          </w:tcPr>
          <w:p>
            <w:pPr>
              <w:ind w:left="180"/>
              <w:spacing w:after="0" w:line="102" w:lineRule="exact"/>
              <w:rPr>
                <w:sz w:val="20"/>
                <w:szCs w:val="20"/>
                <w:color w:val="auto"/>
              </w:rPr>
            </w:pPr>
            <w:r>
              <w:rPr>
                <w:rFonts w:ascii="Arial" w:cs="Arial" w:eastAsia="Arial" w:hAnsi="Arial"/>
                <w:sz w:val="11"/>
                <w:szCs w:val="11"/>
                <w:color w:val="auto"/>
              </w:rPr>
              <w:t>PSUs</w:t>
            </w:r>
          </w:p>
        </w:tc>
        <w:tc>
          <w:tcPr>
            <w:tcW w:w="6640" w:type="dxa"/>
            <w:vAlign w:val="bottom"/>
            <w:tcBorders>
              <w:top w:val="single" w:sz="8" w:color="95B3D7"/>
            </w:tcBorders>
            <w:shd w:val="clear" w:color="auto" w:fill="DBE5F1"/>
          </w:tcPr>
          <w:p>
            <w:pPr>
              <w:ind w:left="60"/>
              <w:spacing w:after="0" w:line="102" w:lineRule="exact"/>
              <w:rPr>
                <w:sz w:val="20"/>
                <w:szCs w:val="20"/>
                <w:color w:val="auto"/>
              </w:rPr>
            </w:pPr>
            <w:r>
              <w:rPr>
                <w:rFonts w:ascii="Arial" w:cs="Arial" w:eastAsia="Arial" w:hAnsi="Arial"/>
                <w:sz w:val="11"/>
                <w:szCs w:val="11"/>
                <w:color w:val="auto"/>
              </w:rPr>
              <w:t>Vests, if earned, 50% on the performance certification date and 50% on 12/31/25</w:t>
            </w:r>
          </w:p>
        </w:tc>
      </w:tr>
      <w:tr>
        <w:trPr>
          <w:trHeight w:val="121"/>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9/12/2022</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819,514 shares on 9/7/2025 and 819,513 shares on 9/7/2026</w:t>
            </w:r>
          </w:p>
        </w:tc>
      </w:tr>
      <w:tr>
        <w:trPr>
          <w:trHeight w:val="122"/>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ind w:right="46"/>
              <w:spacing w:after="0" w:line="122" w:lineRule="exact"/>
              <w:rPr>
                <w:sz w:val="20"/>
                <w:szCs w:val="20"/>
                <w:color w:val="auto"/>
              </w:rPr>
            </w:pPr>
            <w:r>
              <w:rPr>
                <w:rFonts w:ascii="Arial" w:cs="Arial" w:eastAsia="Arial" w:hAnsi="Arial"/>
                <w:sz w:val="11"/>
                <w:szCs w:val="11"/>
                <w:color w:val="auto"/>
              </w:rPr>
              <w:t>3/8/2022</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25% per year over 4 years with approximately 124,172 vesting on each of 3/8/2023, 3/8/2024, 3/8/2025 and 3/8/2026</w:t>
            </w:r>
          </w:p>
        </w:tc>
      </w:tr>
      <w:tr>
        <w:trPr>
          <w:trHeight w:val="121"/>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ind w:right="46"/>
              <w:spacing w:after="0" w:line="122" w:lineRule="exact"/>
              <w:rPr>
                <w:sz w:val="20"/>
                <w:szCs w:val="20"/>
                <w:color w:val="auto"/>
              </w:rPr>
            </w:pPr>
            <w:r>
              <w:rPr>
                <w:rFonts w:ascii="Arial" w:cs="Arial" w:eastAsia="Arial" w:hAnsi="Arial"/>
                <w:sz w:val="11"/>
                <w:szCs w:val="11"/>
                <w:color w:val="auto"/>
              </w:rPr>
              <w:t>3/8/2022</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Options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25% per year over 4 years with 91,241 vesting on each of 3/8/2023, 3/8/2024, 3/8/2025 and 3/8/2026</w:t>
            </w:r>
          </w:p>
        </w:tc>
      </w:tr>
      <w:tr>
        <w:trPr>
          <w:trHeight w:val="122"/>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3/25/2021</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Options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25% per year over 4 years with 979,167 vesting on each of 3/25/2022, 2023, 2024, and 2025</w:t>
            </w:r>
          </w:p>
        </w:tc>
      </w:tr>
      <w:tr>
        <w:trPr>
          <w:trHeight w:val="121"/>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3/25/2021</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shd w:val="clear" w:color="auto" w:fill="DBE5F1"/>
          </w:tcPr>
          <w:p>
            <w:pPr>
              <w:ind w:left="80"/>
              <w:spacing w:after="0" w:line="122" w:lineRule="exact"/>
              <w:rPr>
                <w:sz w:val="20"/>
                <w:szCs w:val="20"/>
                <w:color w:val="auto"/>
              </w:rPr>
            </w:pPr>
            <w:r>
              <w:rPr>
                <w:rFonts w:ascii="Arial" w:cs="Arial" w:eastAsia="Arial" w:hAnsi="Arial"/>
                <w:sz w:val="11"/>
                <w:szCs w:val="11"/>
                <w:color w:val="auto"/>
              </w:rPr>
              <w:t>Vests 25% per year over 4 years with approximately 77,758 vesting on each of 3/25/2022, 2023, 2024, and 2025</w:t>
            </w:r>
          </w:p>
        </w:tc>
      </w:tr>
      <w:tr>
        <w:trPr>
          <w:trHeight w:val="122"/>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9/25/2020</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Restricted</w:t>
            </w:r>
          </w:p>
        </w:tc>
        <w:tc>
          <w:tcPr>
            <w:tcW w:w="6640" w:type="dxa"/>
            <w:vAlign w:val="bottom"/>
            <w:shd w:val="clear" w:color="auto" w:fill="DBE5F1"/>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95B3D7"/>
            </w:tcBorders>
            <w:shd w:val="clear" w:color="auto" w:fill="DBE5F1"/>
          </w:tcPr>
          <w:p>
            <w:pPr>
              <w:spacing w:after="0"/>
              <w:rPr>
                <w:sz w:val="11"/>
                <w:szCs w:val="11"/>
                <w:color w:val="auto"/>
              </w:rPr>
            </w:pPr>
          </w:p>
        </w:tc>
        <w:tc>
          <w:tcPr>
            <w:tcW w:w="600" w:type="dxa"/>
            <w:vAlign w:val="bottom"/>
            <w:tcBorders>
              <w:bottom w:val="single" w:sz="8" w:color="95B3D7"/>
            </w:tcBorders>
            <w:shd w:val="clear" w:color="auto" w:fill="DBE5F1"/>
          </w:tcPr>
          <w:p>
            <w:pPr>
              <w:spacing w:after="0"/>
              <w:rPr>
                <w:sz w:val="11"/>
                <w:szCs w:val="11"/>
                <w:color w:val="auto"/>
              </w:rPr>
            </w:pPr>
          </w:p>
        </w:tc>
        <w:tc>
          <w:tcPr>
            <w:tcW w:w="740" w:type="dxa"/>
            <w:vAlign w:val="bottom"/>
            <w:tcBorders>
              <w:bottom w:val="single" w:sz="8" w:color="95B3D7"/>
            </w:tcBorders>
            <w:shd w:val="clear" w:color="auto" w:fill="DBE5F1"/>
          </w:tcPr>
          <w:p>
            <w:pPr>
              <w:ind w:left="180"/>
              <w:spacing w:after="0"/>
              <w:rPr>
                <w:sz w:val="20"/>
                <w:szCs w:val="20"/>
                <w:color w:val="auto"/>
              </w:rPr>
            </w:pPr>
            <w:r>
              <w:rPr>
                <w:rFonts w:ascii="Arial" w:cs="Arial" w:eastAsia="Arial" w:hAnsi="Arial"/>
                <w:sz w:val="11"/>
                <w:szCs w:val="11"/>
                <w:color w:val="auto"/>
              </w:rPr>
              <w:t>Shares</w:t>
            </w:r>
          </w:p>
        </w:tc>
        <w:tc>
          <w:tcPr>
            <w:tcW w:w="6640" w:type="dxa"/>
            <w:vAlign w:val="bottom"/>
            <w:tcBorders>
              <w:bottom w:val="single" w:sz="8" w:color="95B3D7"/>
            </w:tcBorders>
            <w:shd w:val="clear" w:color="auto" w:fill="DBE5F1"/>
          </w:tcPr>
          <w:p>
            <w:pPr>
              <w:ind w:left="80"/>
              <w:spacing w:after="0"/>
              <w:rPr>
                <w:sz w:val="20"/>
                <w:szCs w:val="20"/>
                <w:color w:val="auto"/>
              </w:rPr>
            </w:pPr>
            <w:r>
              <w:rPr>
                <w:rFonts w:ascii="Arial" w:cs="Arial" w:eastAsia="Arial" w:hAnsi="Arial"/>
                <w:sz w:val="11"/>
                <w:szCs w:val="11"/>
                <w:color w:val="auto"/>
              </w:rPr>
              <w:t>Vests over 3 years with approximately 227,143 vesting on each of 8/1/2022, 2023, and 2024</w:t>
            </w:r>
          </w:p>
        </w:tc>
      </w:tr>
      <w:tr>
        <w:trPr>
          <w:trHeight w:val="102"/>
        </w:trPr>
        <w:tc>
          <w:tcPr>
            <w:tcW w:w="20" w:type="dxa"/>
            <w:vAlign w:val="bottom"/>
          </w:tcPr>
          <w:p>
            <w:pPr>
              <w:spacing w:after="0"/>
              <w:rPr>
                <w:sz w:val="8"/>
                <w:szCs w:val="8"/>
                <w:color w:val="auto"/>
              </w:rPr>
            </w:pPr>
          </w:p>
        </w:tc>
        <w:tc>
          <w:tcPr>
            <w:tcW w:w="1260" w:type="dxa"/>
            <w:vAlign w:val="bottom"/>
          </w:tcPr>
          <w:p>
            <w:pPr>
              <w:spacing w:after="0" w:line="102" w:lineRule="exact"/>
              <w:rPr>
                <w:sz w:val="20"/>
                <w:szCs w:val="20"/>
                <w:color w:val="auto"/>
              </w:rPr>
            </w:pPr>
            <w:r>
              <w:rPr>
                <w:rFonts w:ascii="Arial" w:cs="Arial" w:eastAsia="Arial" w:hAnsi="Arial"/>
                <w:sz w:val="11"/>
                <w:szCs w:val="11"/>
                <w:color w:val="auto"/>
              </w:rPr>
              <w:t>Thomas Freeman</w:t>
            </w:r>
          </w:p>
        </w:tc>
        <w:tc>
          <w:tcPr>
            <w:tcW w:w="600" w:type="dxa"/>
            <w:vAlign w:val="bottom"/>
          </w:tcPr>
          <w:p>
            <w:pPr>
              <w:jc w:val="right"/>
              <w:spacing w:after="0" w:line="102" w:lineRule="exact"/>
              <w:rPr>
                <w:sz w:val="20"/>
                <w:szCs w:val="20"/>
                <w:color w:val="auto"/>
              </w:rPr>
            </w:pPr>
            <w:r>
              <w:rPr>
                <w:rFonts w:ascii="Arial" w:cs="Arial" w:eastAsia="Arial" w:hAnsi="Arial"/>
                <w:sz w:val="11"/>
                <w:szCs w:val="11"/>
                <w:color w:val="auto"/>
              </w:rPr>
              <w:t>9/14/2023</w:t>
            </w:r>
          </w:p>
        </w:tc>
        <w:tc>
          <w:tcPr>
            <w:tcW w:w="740" w:type="dxa"/>
            <w:vAlign w:val="bottom"/>
          </w:tcPr>
          <w:p>
            <w:pPr>
              <w:ind w:left="180"/>
              <w:spacing w:after="0" w:line="102" w:lineRule="exact"/>
              <w:rPr>
                <w:sz w:val="20"/>
                <w:szCs w:val="20"/>
                <w:color w:val="auto"/>
              </w:rPr>
            </w:pPr>
            <w:r>
              <w:rPr>
                <w:rFonts w:ascii="Arial" w:cs="Arial" w:eastAsia="Arial" w:hAnsi="Arial"/>
                <w:sz w:val="11"/>
                <w:szCs w:val="11"/>
                <w:color w:val="auto"/>
              </w:rPr>
              <w:t>PSUs</w:t>
            </w:r>
          </w:p>
        </w:tc>
        <w:tc>
          <w:tcPr>
            <w:tcW w:w="6640" w:type="dxa"/>
            <w:vAlign w:val="bottom"/>
          </w:tcPr>
          <w:p>
            <w:pPr>
              <w:ind w:left="60"/>
              <w:spacing w:after="0" w:line="102" w:lineRule="exact"/>
              <w:rPr>
                <w:sz w:val="20"/>
                <w:szCs w:val="20"/>
                <w:color w:val="auto"/>
              </w:rPr>
            </w:pPr>
            <w:r>
              <w:rPr>
                <w:rFonts w:ascii="Arial" w:cs="Arial" w:eastAsia="Arial" w:hAnsi="Arial"/>
                <w:sz w:val="11"/>
                <w:szCs w:val="11"/>
                <w:color w:val="auto"/>
              </w:rPr>
              <w:t>Vests, if earned, 50% on the performance certification date and 50% on 12/31/25</w:t>
            </w:r>
          </w:p>
        </w:tc>
      </w:tr>
      <w:tr>
        <w:trPr>
          <w:trHeight w:val="121"/>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9/12/2022</w:t>
            </w:r>
          </w:p>
        </w:tc>
        <w:tc>
          <w:tcPr>
            <w:tcW w:w="740" w:type="dxa"/>
            <w:vAlign w:val="bottom"/>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tcPr>
          <w:p>
            <w:pPr>
              <w:ind w:left="60"/>
              <w:spacing w:after="0" w:line="122" w:lineRule="exact"/>
              <w:rPr>
                <w:sz w:val="20"/>
                <w:szCs w:val="20"/>
                <w:color w:val="auto"/>
              </w:rPr>
            </w:pPr>
            <w:r>
              <w:rPr>
                <w:rFonts w:ascii="Arial" w:cs="Arial" w:eastAsia="Arial" w:hAnsi="Arial"/>
                <w:sz w:val="11"/>
                <w:szCs w:val="11"/>
                <w:color w:val="auto"/>
              </w:rPr>
              <w:t>Vests 159,590 shares on 9/7/2025 and 159,589 shares on 9/7/2026.</w:t>
            </w: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3/8/2022</w:t>
            </w:r>
          </w:p>
        </w:tc>
        <w:tc>
          <w:tcPr>
            <w:tcW w:w="740" w:type="dxa"/>
            <w:vAlign w:val="bottom"/>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tcPr>
          <w:p>
            <w:pPr>
              <w:ind w:left="60"/>
              <w:spacing w:after="0" w:line="122" w:lineRule="exact"/>
              <w:rPr>
                <w:sz w:val="20"/>
                <w:szCs w:val="20"/>
                <w:color w:val="auto"/>
              </w:rPr>
            </w:pPr>
            <w:r>
              <w:rPr>
                <w:rFonts w:ascii="Arial" w:cs="Arial" w:eastAsia="Arial" w:hAnsi="Arial"/>
                <w:sz w:val="11"/>
                <w:szCs w:val="11"/>
                <w:color w:val="auto"/>
              </w:rPr>
              <w:t>Vests 25% per year over 4 years with approximately 34,147 vesting on each of 3/8/2023, 3/8/2024, 3/8/2025 and 3/8/2026</w:t>
            </w:r>
          </w:p>
        </w:tc>
      </w:tr>
      <w:tr>
        <w:trPr>
          <w:trHeight w:val="121"/>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jc w:val="right"/>
              <w:ind w:right="46"/>
              <w:spacing w:after="0" w:line="122" w:lineRule="exact"/>
              <w:rPr>
                <w:sz w:val="20"/>
                <w:szCs w:val="20"/>
                <w:color w:val="auto"/>
              </w:rPr>
            </w:pPr>
            <w:r>
              <w:rPr>
                <w:rFonts w:ascii="Arial" w:cs="Arial" w:eastAsia="Arial" w:hAnsi="Arial"/>
                <w:sz w:val="11"/>
                <w:szCs w:val="11"/>
                <w:color w:val="auto"/>
              </w:rPr>
              <w:t>3/8/2022</w:t>
            </w:r>
          </w:p>
        </w:tc>
        <w:tc>
          <w:tcPr>
            <w:tcW w:w="740" w:type="dxa"/>
            <w:vAlign w:val="bottom"/>
          </w:tcPr>
          <w:p>
            <w:pPr>
              <w:ind w:left="180"/>
              <w:spacing w:after="0" w:line="122" w:lineRule="exact"/>
              <w:rPr>
                <w:sz w:val="20"/>
                <w:szCs w:val="20"/>
                <w:color w:val="auto"/>
              </w:rPr>
            </w:pPr>
            <w:r>
              <w:rPr>
                <w:rFonts w:ascii="Arial" w:cs="Arial" w:eastAsia="Arial" w:hAnsi="Arial"/>
                <w:sz w:val="11"/>
                <w:szCs w:val="11"/>
                <w:color w:val="auto"/>
              </w:rPr>
              <w:t>Options</w:t>
            </w:r>
          </w:p>
        </w:tc>
        <w:tc>
          <w:tcPr>
            <w:tcW w:w="6640" w:type="dxa"/>
            <w:vAlign w:val="bottom"/>
          </w:tcPr>
          <w:p>
            <w:pPr>
              <w:ind w:left="60"/>
              <w:spacing w:after="0" w:line="122" w:lineRule="exact"/>
              <w:rPr>
                <w:sz w:val="20"/>
                <w:szCs w:val="20"/>
                <w:color w:val="auto"/>
              </w:rPr>
            </w:pPr>
            <w:r>
              <w:rPr>
                <w:rFonts w:ascii="Arial" w:cs="Arial" w:eastAsia="Arial" w:hAnsi="Arial"/>
                <w:sz w:val="11"/>
                <w:szCs w:val="11"/>
                <w:color w:val="auto"/>
              </w:rPr>
              <w:t>Vests 25% per year over 4 years with approximately 25,091 vesting on each of 3/8/2023, 3/8/2024, 3/8/2025 and 3/8/2026.</w:t>
            </w: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3/25/2021</w:t>
            </w:r>
          </w:p>
        </w:tc>
        <w:tc>
          <w:tcPr>
            <w:tcW w:w="740" w:type="dxa"/>
            <w:vAlign w:val="bottom"/>
          </w:tcPr>
          <w:p>
            <w:pPr>
              <w:ind w:left="180"/>
              <w:spacing w:after="0" w:line="122" w:lineRule="exact"/>
              <w:rPr>
                <w:sz w:val="20"/>
                <w:szCs w:val="20"/>
                <w:color w:val="auto"/>
              </w:rPr>
            </w:pPr>
            <w:r>
              <w:rPr>
                <w:rFonts w:ascii="Arial" w:cs="Arial" w:eastAsia="Arial" w:hAnsi="Arial"/>
                <w:sz w:val="11"/>
                <w:szCs w:val="11"/>
                <w:color w:val="auto"/>
              </w:rPr>
              <w:t>Options</w:t>
            </w:r>
          </w:p>
        </w:tc>
        <w:tc>
          <w:tcPr>
            <w:tcW w:w="6640" w:type="dxa"/>
            <w:vAlign w:val="bottom"/>
          </w:tcPr>
          <w:p>
            <w:pPr>
              <w:ind w:left="60"/>
              <w:spacing w:after="0" w:line="122" w:lineRule="exact"/>
              <w:rPr>
                <w:sz w:val="20"/>
                <w:szCs w:val="20"/>
                <w:color w:val="auto"/>
              </w:rPr>
            </w:pPr>
            <w:r>
              <w:rPr>
                <w:rFonts w:ascii="Arial" w:cs="Arial" w:eastAsia="Arial" w:hAnsi="Arial"/>
                <w:sz w:val="11"/>
                <w:szCs w:val="11"/>
                <w:color w:val="auto"/>
              </w:rPr>
              <w:t>Vests 25% per year over 4 years with 190,680 vesting on each of 3/25/2022, 2023, 2024, and 2025</w:t>
            </w:r>
          </w:p>
        </w:tc>
      </w:tr>
      <w:tr>
        <w:trPr>
          <w:trHeight w:val="121"/>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3/25/2021</w:t>
            </w:r>
          </w:p>
        </w:tc>
        <w:tc>
          <w:tcPr>
            <w:tcW w:w="740" w:type="dxa"/>
            <w:vAlign w:val="bottom"/>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tcPr>
          <w:p>
            <w:pPr>
              <w:ind w:left="60"/>
              <w:spacing w:after="0" w:line="122" w:lineRule="exact"/>
              <w:rPr>
                <w:sz w:val="20"/>
                <w:szCs w:val="20"/>
                <w:color w:val="auto"/>
              </w:rPr>
            </w:pPr>
            <w:r>
              <w:rPr>
                <w:rFonts w:ascii="Arial" w:cs="Arial" w:eastAsia="Arial" w:hAnsi="Arial"/>
                <w:sz w:val="11"/>
                <w:szCs w:val="11"/>
                <w:color w:val="auto"/>
              </w:rPr>
              <w:t>Vests 25% per year over 4 years with approximately 15,143 vesting on each of 3/25/2022, 2023, 2024, and 2025</w:t>
            </w:r>
          </w:p>
        </w:tc>
      </w:tr>
      <w:tr>
        <w:trPr>
          <w:trHeight w:val="122"/>
        </w:trPr>
        <w:tc>
          <w:tcPr>
            <w:tcW w:w="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0" w:type="dxa"/>
            <w:vAlign w:val="bottom"/>
          </w:tcPr>
          <w:p>
            <w:pPr>
              <w:jc w:val="right"/>
              <w:spacing w:after="0" w:line="122" w:lineRule="exact"/>
              <w:rPr>
                <w:sz w:val="20"/>
                <w:szCs w:val="20"/>
                <w:color w:val="auto"/>
              </w:rPr>
            </w:pPr>
            <w:r>
              <w:rPr>
                <w:rFonts w:ascii="Arial" w:cs="Arial" w:eastAsia="Arial" w:hAnsi="Arial"/>
                <w:sz w:val="11"/>
                <w:szCs w:val="11"/>
                <w:color w:val="auto"/>
              </w:rPr>
              <w:t>9/25/2020</w:t>
            </w:r>
          </w:p>
        </w:tc>
        <w:tc>
          <w:tcPr>
            <w:tcW w:w="740" w:type="dxa"/>
            <w:vAlign w:val="bottom"/>
          </w:tcPr>
          <w:p>
            <w:pPr>
              <w:ind w:left="180"/>
              <w:spacing w:after="0" w:line="122" w:lineRule="exact"/>
              <w:rPr>
                <w:sz w:val="20"/>
                <w:szCs w:val="20"/>
                <w:color w:val="auto"/>
              </w:rPr>
            </w:pPr>
            <w:r>
              <w:rPr>
                <w:rFonts w:ascii="Arial" w:cs="Arial" w:eastAsia="Arial" w:hAnsi="Arial"/>
                <w:sz w:val="11"/>
                <w:szCs w:val="11"/>
                <w:color w:val="auto"/>
              </w:rPr>
              <w:t>Restricted</w:t>
            </w:r>
          </w:p>
        </w:tc>
        <w:tc>
          <w:tcPr>
            <w:tcW w:w="6640" w:type="dxa"/>
            <w:vAlign w:val="bottom"/>
          </w:tcPr>
          <w:p>
            <w:pPr>
              <w:spacing w:after="0"/>
              <w:rPr>
                <w:sz w:val="10"/>
                <w:szCs w:val="10"/>
                <w:color w:val="auto"/>
              </w:rPr>
            </w:pPr>
          </w:p>
        </w:tc>
      </w:tr>
      <w:tr>
        <w:trPr>
          <w:trHeight w:val="135"/>
        </w:trPr>
        <w:tc>
          <w:tcPr>
            <w:tcW w:w="20" w:type="dxa"/>
            <w:vAlign w:val="bottom"/>
          </w:tcPr>
          <w:p>
            <w:pPr>
              <w:spacing w:after="0"/>
              <w:rPr>
                <w:sz w:val="11"/>
                <w:szCs w:val="11"/>
                <w:color w:val="auto"/>
              </w:rPr>
            </w:pPr>
          </w:p>
        </w:tc>
        <w:tc>
          <w:tcPr>
            <w:tcW w:w="1260" w:type="dxa"/>
            <w:vAlign w:val="bottom"/>
            <w:tcBorders>
              <w:bottom w:val="single" w:sz="8" w:color="95B3D7"/>
            </w:tcBorders>
          </w:tcPr>
          <w:p>
            <w:pPr>
              <w:spacing w:after="0"/>
              <w:rPr>
                <w:sz w:val="11"/>
                <w:szCs w:val="11"/>
                <w:color w:val="auto"/>
              </w:rPr>
            </w:pPr>
          </w:p>
        </w:tc>
        <w:tc>
          <w:tcPr>
            <w:tcW w:w="600" w:type="dxa"/>
            <w:vAlign w:val="bottom"/>
            <w:tcBorders>
              <w:bottom w:val="single" w:sz="8" w:color="95B3D7"/>
            </w:tcBorders>
          </w:tcPr>
          <w:p>
            <w:pPr>
              <w:spacing w:after="0"/>
              <w:rPr>
                <w:sz w:val="11"/>
                <w:szCs w:val="11"/>
                <w:color w:val="auto"/>
              </w:rPr>
            </w:pPr>
          </w:p>
        </w:tc>
        <w:tc>
          <w:tcPr>
            <w:tcW w:w="740" w:type="dxa"/>
            <w:vAlign w:val="bottom"/>
            <w:tcBorders>
              <w:bottom w:val="single" w:sz="8" w:color="95B3D7"/>
            </w:tcBorders>
          </w:tcPr>
          <w:p>
            <w:pPr>
              <w:ind w:left="180"/>
              <w:spacing w:after="0"/>
              <w:rPr>
                <w:sz w:val="20"/>
                <w:szCs w:val="20"/>
                <w:color w:val="auto"/>
              </w:rPr>
            </w:pPr>
            <w:r>
              <w:rPr>
                <w:rFonts w:ascii="Arial" w:cs="Arial" w:eastAsia="Arial" w:hAnsi="Arial"/>
                <w:sz w:val="11"/>
                <w:szCs w:val="11"/>
                <w:color w:val="auto"/>
              </w:rPr>
              <w:t>Shares</w:t>
            </w:r>
          </w:p>
        </w:tc>
        <w:tc>
          <w:tcPr>
            <w:tcW w:w="6640" w:type="dxa"/>
            <w:vAlign w:val="bottom"/>
            <w:tcBorders>
              <w:bottom w:val="single" w:sz="8" w:color="95B3D7"/>
            </w:tcBorders>
          </w:tcPr>
          <w:p>
            <w:pPr>
              <w:ind w:left="60"/>
              <w:spacing w:after="0"/>
              <w:rPr>
                <w:sz w:val="20"/>
                <w:szCs w:val="20"/>
                <w:color w:val="auto"/>
              </w:rPr>
            </w:pPr>
            <w:r>
              <w:rPr>
                <w:rFonts w:ascii="Arial" w:cs="Arial" w:eastAsia="Arial" w:hAnsi="Arial"/>
                <w:sz w:val="11"/>
                <w:szCs w:val="11"/>
                <w:color w:val="auto"/>
              </w:rPr>
              <w:t>Vests over 3 years with 61,127 vesting on each of 8/1/2022, 2023, and 2024</w:t>
            </w:r>
          </w:p>
        </w:tc>
      </w:tr>
      <w:tr>
        <w:trPr>
          <w:trHeight w:val="102"/>
        </w:trPr>
        <w:tc>
          <w:tcPr>
            <w:tcW w:w="20" w:type="dxa"/>
            <w:vAlign w:val="bottom"/>
          </w:tcPr>
          <w:p>
            <w:pPr>
              <w:spacing w:after="0"/>
              <w:rPr>
                <w:sz w:val="8"/>
                <w:szCs w:val="8"/>
                <w:color w:val="auto"/>
              </w:rPr>
            </w:pPr>
          </w:p>
        </w:tc>
        <w:tc>
          <w:tcPr>
            <w:tcW w:w="1260" w:type="dxa"/>
            <w:vAlign w:val="bottom"/>
            <w:shd w:val="clear" w:color="auto" w:fill="DBE5F1"/>
          </w:tcPr>
          <w:p>
            <w:pPr>
              <w:spacing w:after="0" w:line="102" w:lineRule="exact"/>
              <w:rPr>
                <w:sz w:val="20"/>
                <w:szCs w:val="20"/>
                <w:color w:val="auto"/>
              </w:rPr>
            </w:pPr>
            <w:r>
              <w:rPr>
                <w:rFonts w:ascii="Arial" w:cs="Arial" w:eastAsia="Arial" w:hAnsi="Arial"/>
                <w:sz w:val="11"/>
                <w:szCs w:val="11"/>
                <w:color w:val="auto"/>
              </w:rPr>
              <w:t>Dawn</w:t>
            </w:r>
          </w:p>
        </w:tc>
        <w:tc>
          <w:tcPr>
            <w:tcW w:w="600" w:type="dxa"/>
            <w:vAlign w:val="bottom"/>
            <w:shd w:val="clear" w:color="auto" w:fill="DBE5F1"/>
          </w:tcPr>
          <w:p>
            <w:pPr>
              <w:jc w:val="right"/>
              <w:spacing w:after="0" w:line="102" w:lineRule="exact"/>
              <w:rPr>
                <w:sz w:val="20"/>
                <w:szCs w:val="20"/>
                <w:color w:val="auto"/>
              </w:rPr>
            </w:pPr>
            <w:r>
              <w:rPr>
                <w:rFonts w:ascii="Arial" w:cs="Arial" w:eastAsia="Arial" w:hAnsi="Arial"/>
                <w:sz w:val="11"/>
                <w:szCs w:val="11"/>
                <w:color w:val="auto"/>
              </w:rPr>
              <w:t>9/14/2023</w:t>
            </w:r>
          </w:p>
        </w:tc>
        <w:tc>
          <w:tcPr>
            <w:tcW w:w="740" w:type="dxa"/>
            <w:vAlign w:val="bottom"/>
            <w:shd w:val="clear" w:color="auto" w:fill="DBE5F1"/>
          </w:tcPr>
          <w:p>
            <w:pPr>
              <w:ind w:left="180"/>
              <w:spacing w:after="0" w:line="102" w:lineRule="exact"/>
              <w:rPr>
                <w:sz w:val="20"/>
                <w:szCs w:val="20"/>
                <w:color w:val="auto"/>
              </w:rPr>
            </w:pPr>
            <w:r>
              <w:rPr>
                <w:rFonts w:ascii="Arial" w:cs="Arial" w:eastAsia="Arial" w:hAnsi="Arial"/>
                <w:sz w:val="11"/>
                <w:szCs w:val="11"/>
                <w:color w:val="auto"/>
              </w:rPr>
              <w:t>PSUs</w:t>
            </w:r>
          </w:p>
        </w:tc>
        <w:tc>
          <w:tcPr>
            <w:tcW w:w="6640" w:type="dxa"/>
            <w:vAlign w:val="bottom"/>
            <w:shd w:val="clear" w:color="auto" w:fill="DBE5F1"/>
          </w:tcPr>
          <w:p>
            <w:pPr>
              <w:spacing w:after="0"/>
              <w:rPr>
                <w:sz w:val="8"/>
                <w:szCs w:val="8"/>
                <w:color w:val="auto"/>
              </w:rPr>
            </w:pPr>
          </w:p>
        </w:tc>
      </w:tr>
      <w:tr>
        <w:trPr>
          <w:trHeight w:val="135"/>
        </w:trPr>
        <w:tc>
          <w:tcPr>
            <w:tcW w:w="20" w:type="dxa"/>
            <w:vAlign w:val="bottom"/>
          </w:tcPr>
          <w:p>
            <w:pPr>
              <w:spacing w:after="0"/>
              <w:rPr>
                <w:sz w:val="11"/>
                <w:szCs w:val="11"/>
                <w:color w:val="auto"/>
              </w:rPr>
            </w:pPr>
          </w:p>
        </w:tc>
        <w:tc>
          <w:tcPr>
            <w:tcW w:w="1260" w:type="dxa"/>
            <w:vAlign w:val="bottom"/>
            <w:shd w:val="clear" w:color="auto" w:fill="DBE5F1"/>
          </w:tcPr>
          <w:p>
            <w:pPr>
              <w:spacing w:after="0"/>
              <w:rPr>
                <w:sz w:val="20"/>
                <w:szCs w:val="20"/>
                <w:color w:val="auto"/>
              </w:rPr>
            </w:pPr>
            <w:r>
              <w:rPr>
                <w:rFonts w:ascii="Arial" w:cs="Arial" w:eastAsia="Arial" w:hAnsi="Arial"/>
                <w:sz w:val="11"/>
                <w:szCs w:val="11"/>
                <w:color w:val="auto"/>
              </w:rPr>
              <w:t>Maroney</w:t>
            </w:r>
          </w:p>
        </w:tc>
        <w:tc>
          <w:tcPr>
            <w:tcW w:w="600" w:type="dxa"/>
            <w:vAlign w:val="bottom"/>
            <w:shd w:val="clear" w:color="auto" w:fill="DBE5F1"/>
          </w:tcPr>
          <w:p>
            <w:pPr>
              <w:spacing w:after="0"/>
              <w:rPr>
                <w:sz w:val="11"/>
                <w:szCs w:val="11"/>
                <w:color w:val="auto"/>
              </w:rPr>
            </w:pPr>
          </w:p>
        </w:tc>
        <w:tc>
          <w:tcPr>
            <w:tcW w:w="740" w:type="dxa"/>
            <w:vAlign w:val="bottom"/>
            <w:shd w:val="clear" w:color="auto" w:fill="DBE5F1"/>
          </w:tcPr>
          <w:p>
            <w:pPr>
              <w:spacing w:after="0"/>
              <w:rPr>
                <w:sz w:val="11"/>
                <w:szCs w:val="11"/>
                <w:color w:val="auto"/>
              </w:rPr>
            </w:pPr>
          </w:p>
        </w:tc>
        <w:tc>
          <w:tcPr>
            <w:tcW w:w="66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if earned, 50% on the performance certification date and 50% on 12/31/25</w:t>
            </w:r>
          </w:p>
        </w:tc>
      </w:tr>
      <w:tr>
        <w:trPr>
          <w:trHeight w:val="121"/>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9/12/2022</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215,662 shares on 9/7/2025 and 215,661 shares on 9/7/2026</w:t>
            </w:r>
          </w:p>
        </w:tc>
      </w:tr>
      <w:tr>
        <w:trPr>
          <w:trHeight w:val="122"/>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ind w:right="46"/>
              <w:spacing w:after="0" w:line="122" w:lineRule="exact"/>
              <w:rPr>
                <w:sz w:val="20"/>
                <w:szCs w:val="20"/>
                <w:color w:val="auto"/>
              </w:rPr>
            </w:pPr>
            <w:r>
              <w:rPr>
                <w:rFonts w:ascii="Arial" w:cs="Arial" w:eastAsia="Arial" w:hAnsi="Arial"/>
                <w:sz w:val="11"/>
                <w:szCs w:val="11"/>
                <w:color w:val="auto"/>
              </w:rPr>
              <w:t>3/8/2022</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RSUs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25% per year over 4 years with approximately 51,739 vesting on each of 3/8/2023, 3/8/2024, 3/8/2025 and 3/8/2026</w:t>
            </w:r>
          </w:p>
        </w:tc>
      </w:tr>
      <w:tr>
        <w:trPr>
          <w:trHeight w:val="121"/>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ind w:right="46"/>
              <w:spacing w:after="0" w:line="122" w:lineRule="exact"/>
              <w:rPr>
                <w:sz w:val="20"/>
                <w:szCs w:val="20"/>
                <w:color w:val="auto"/>
              </w:rPr>
            </w:pPr>
            <w:r>
              <w:rPr>
                <w:rFonts w:ascii="Arial" w:cs="Arial" w:eastAsia="Arial" w:hAnsi="Arial"/>
                <w:sz w:val="11"/>
                <w:szCs w:val="11"/>
                <w:color w:val="auto"/>
              </w:rPr>
              <w:t>3/8/2022</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Options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25% per year over 4 years with 38,017 vesting on each of 3/8/2023, 3/8/2024, 3/8/2025 and 3/8/2026</w:t>
            </w:r>
          </w:p>
        </w:tc>
      </w:tr>
      <w:tr>
        <w:trPr>
          <w:trHeight w:val="122"/>
        </w:trPr>
        <w:tc>
          <w:tcPr>
            <w:tcW w:w="20" w:type="dxa"/>
            <w:vAlign w:val="bottom"/>
          </w:tcPr>
          <w:p>
            <w:pPr>
              <w:spacing w:after="0"/>
              <w:rPr>
                <w:sz w:val="10"/>
                <w:szCs w:val="10"/>
                <w:color w:val="auto"/>
              </w:rPr>
            </w:pPr>
          </w:p>
        </w:tc>
        <w:tc>
          <w:tcPr>
            <w:tcW w:w="1260" w:type="dxa"/>
            <w:vAlign w:val="bottom"/>
            <w:shd w:val="clear" w:color="auto" w:fill="DBE5F1"/>
          </w:tcPr>
          <w:p>
            <w:pPr>
              <w:spacing w:after="0"/>
              <w:rPr>
                <w:sz w:val="10"/>
                <w:szCs w:val="10"/>
                <w:color w:val="auto"/>
              </w:rPr>
            </w:pPr>
          </w:p>
        </w:tc>
        <w:tc>
          <w:tcPr>
            <w:tcW w:w="600" w:type="dxa"/>
            <w:vAlign w:val="bottom"/>
            <w:shd w:val="clear" w:color="auto" w:fill="DBE5F1"/>
          </w:tcPr>
          <w:p>
            <w:pPr>
              <w:jc w:val="right"/>
              <w:spacing w:after="0" w:line="122" w:lineRule="exact"/>
              <w:rPr>
                <w:sz w:val="20"/>
                <w:szCs w:val="20"/>
                <w:color w:val="auto"/>
              </w:rPr>
            </w:pPr>
            <w:r>
              <w:rPr>
                <w:rFonts w:ascii="Arial" w:cs="Arial" w:eastAsia="Arial" w:hAnsi="Arial"/>
                <w:sz w:val="11"/>
                <w:szCs w:val="11"/>
                <w:color w:val="auto"/>
              </w:rPr>
              <w:t>3/25/2021</w:t>
            </w:r>
          </w:p>
        </w:tc>
        <w:tc>
          <w:tcPr>
            <w:tcW w:w="740" w:type="dxa"/>
            <w:vAlign w:val="bottom"/>
            <w:shd w:val="clear" w:color="auto" w:fill="DBE5F1"/>
          </w:tcPr>
          <w:p>
            <w:pPr>
              <w:ind w:left="180"/>
              <w:spacing w:after="0" w:line="122" w:lineRule="exact"/>
              <w:rPr>
                <w:sz w:val="20"/>
                <w:szCs w:val="20"/>
                <w:color w:val="auto"/>
              </w:rPr>
            </w:pPr>
            <w:r>
              <w:rPr>
                <w:rFonts w:ascii="Arial" w:cs="Arial" w:eastAsia="Arial" w:hAnsi="Arial"/>
                <w:sz w:val="11"/>
                <w:szCs w:val="11"/>
                <w:color w:val="auto"/>
              </w:rPr>
              <w:t>Options</w:t>
            </w:r>
          </w:p>
        </w:tc>
        <w:tc>
          <w:tcPr>
            <w:tcW w:w="6640" w:type="dxa"/>
            <w:vAlign w:val="bottom"/>
            <w:shd w:val="clear" w:color="auto" w:fill="DBE5F1"/>
          </w:tcPr>
          <w:p>
            <w:pPr>
              <w:ind w:left="60"/>
              <w:spacing w:after="0" w:line="122" w:lineRule="exact"/>
              <w:rPr>
                <w:sz w:val="20"/>
                <w:szCs w:val="20"/>
                <w:color w:val="auto"/>
              </w:rPr>
            </w:pPr>
            <w:r>
              <w:rPr>
                <w:rFonts w:ascii="Arial" w:cs="Arial" w:eastAsia="Arial" w:hAnsi="Arial"/>
                <w:sz w:val="11"/>
                <w:szCs w:val="11"/>
                <w:color w:val="auto"/>
              </w:rPr>
              <w:t>Vests 25% per year over 4 years with approximately 257,676 vesting on each of 3/25/2022, 2023, 2024, and 2025</w:t>
            </w:r>
          </w:p>
        </w:tc>
      </w:tr>
      <w:tr>
        <w:trPr>
          <w:trHeight w:val="135"/>
        </w:trPr>
        <w:tc>
          <w:tcPr>
            <w:tcW w:w="20" w:type="dxa"/>
            <w:vAlign w:val="bottom"/>
          </w:tcPr>
          <w:p>
            <w:pPr>
              <w:spacing w:after="0"/>
              <w:rPr>
                <w:sz w:val="11"/>
                <w:szCs w:val="11"/>
                <w:color w:val="auto"/>
              </w:rPr>
            </w:pPr>
          </w:p>
        </w:tc>
        <w:tc>
          <w:tcPr>
            <w:tcW w:w="1260" w:type="dxa"/>
            <w:vAlign w:val="bottom"/>
            <w:shd w:val="clear" w:color="auto" w:fill="DBE5F1"/>
          </w:tcPr>
          <w:p>
            <w:pPr>
              <w:spacing w:after="0"/>
              <w:rPr>
                <w:sz w:val="11"/>
                <w:szCs w:val="11"/>
                <w:color w:val="auto"/>
              </w:rPr>
            </w:pPr>
          </w:p>
        </w:tc>
        <w:tc>
          <w:tcPr>
            <w:tcW w:w="600" w:type="dxa"/>
            <w:vAlign w:val="bottom"/>
            <w:shd w:val="clear" w:color="auto" w:fill="DBE5F1"/>
          </w:tcPr>
          <w:p>
            <w:pPr>
              <w:jc w:val="right"/>
              <w:spacing w:after="0"/>
              <w:rPr>
                <w:sz w:val="20"/>
                <w:szCs w:val="20"/>
                <w:color w:val="auto"/>
              </w:rPr>
            </w:pPr>
            <w:r>
              <w:rPr>
                <w:rFonts w:ascii="Arial" w:cs="Arial" w:eastAsia="Arial" w:hAnsi="Arial"/>
                <w:sz w:val="11"/>
                <w:szCs w:val="11"/>
                <w:color w:val="auto"/>
              </w:rPr>
              <w:t>3/25/2021</w:t>
            </w:r>
          </w:p>
        </w:tc>
        <w:tc>
          <w:tcPr>
            <w:tcW w:w="740" w:type="dxa"/>
            <w:vAlign w:val="bottom"/>
            <w:shd w:val="clear" w:color="auto" w:fill="DBE5F1"/>
          </w:tcPr>
          <w:p>
            <w:pPr>
              <w:ind w:left="180"/>
              <w:spacing w:after="0"/>
              <w:rPr>
                <w:sz w:val="20"/>
                <w:szCs w:val="20"/>
                <w:color w:val="auto"/>
              </w:rPr>
            </w:pPr>
            <w:r>
              <w:rPr>
                <w:rFonts w:ascii="Arial" w:cs="Arial" w:eastAsia="Arial" w:hAnsi="Arial"/>
                <w:sz w:val="11"/>
                <w:szCs w:val="11"/>
                <w:color w:val="auto"/>
              </w:rPr>
              <w:t>RSUs</w:t>
            </w:r>
          </w:p>
        </w:tc>
        <w:tc>
          <w:tcPr>
            <w:tcW w:w="6640" w:type="dxa"/>
            <w:vAlign w:val="bottom"/>
            <w:shd w:val="clear" w:color="auto" w:fill="DBE5F1"/>
          </w:tcPr>
          <w:p>
            <w:pPr>
              <w:ind w:left="60"/>
              <w:spacing w:after="0"/>
              <w:rPr>
                <w:sz w:val="20"/>
                <w:szCs w:val="20"/>
                <w:color w:val="auto"/>
              </w:rPr>
            </w:pPr>
            <w:r>
              <w:rPr>
                <w:rFonts w:ascii="Arial" w:cs="Arial" w:eastAsia="Arial" w:hAnsi="Arial"/>
                <w:sz w:val="11"/>
                <w:szCs w:val="11"/>
                <w:color w:val="auto"/>
              </w:rPr>
              <w:t>Vests 25% per year over 4 years with approximately 20,463 vesting on each of 3/25/2022, 2023, 2024, and 2025</w:t>
            </w:r>
          </w:p>
        </w:tc>
      </w:tr>
      <w:tr>
        <w:trPr>
          <w:trHeight w:val="36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640" w:type="dxa"/>
            <w:vAlign w:val="bottom"/>
          </w:tcPr>
          <w:p>
            <w:pPr>
              <w:ind w:left="1900"/>
              <w:spacing w:after="0"/>
              <w:rPr>
                <w:sz w:val="20"/>
                <w:szCs w:val="20"/>
                <w:color w:val="auto"/>
              </w:rPr>
            </w:pPr>
            <w:r>
              <w:rPr>
                <w:rFonts w:ascii="Arial" w:cs="Arial" w:eastAsia="Arial" w:hAnsi="Arial"/>
                <w:sz w:val="18"/>
                <w:szCs w:val="18"/>
                <w:color w:val="auto"/>
              </w:rPr>
              <w:t>59</w:t>
            </w:r>
          </w:p>
        </w:tc>
      </w:tr>
    </w:tbl>
    <w:p>
      <w:pPr>
        <w:sectPr>
          <w:pgSz w:w="11900" w:h="16838" w:orient="portrait"/>
          <w:cols w:equalWidth="0" w:num="1">
            <w:col w:w="11020"/>
          </w:cols>
          <w:pgMar w:left="440" w:top="315" w:right="439" w:bottom="1440" w:gutter="0" w:footer="0" w:header="0"/>
          <w:type w:val="continuous"/>
        </w:sectPr>
      </w:pPr>
    </w:p>
    <w:bookmarkStart w:id="67" w:name="page68"/>
    <w:bookmarkEnd w:id="6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880" w:type="dxa"/>
        <w:tblCellMar>
          <w:top w:w="0" w:type="dxa"/>
          <w:left w:w="0" w:type="dxa"/>
          <w:bottom w:w="0" w:type="dxa"/>
          <w:right w:w="0" w:type="dxa"/>
        </w:tblCellMar>
      </w:tblPr>
      <w:tr>
        <w:trPr>
          <w:trHeight w:val="126"/>
        </w:trPr>
        <w:tc>
          <w:tcPr>
            <w:tcW w:w="1280" w:type="dxa"/>
            <w:vAlign w:val="bottom"/>
          </w:tcPr>
          <w:p>
            <w:pPr>
              <w:spacing w:after="0"/>
              <w:rPr>
                <w:sz w:val="10"/>
                <w:szCs w:val="10"/>
                <w:color w:val="auto"/>
              </w:rPr>
            </w:pPr>
          </w:p>
        </w:tc>
        <w:tc>
          <w:tcPr>
            <w:tcW w:w="780" w:type="dxa"/>
            <w:vAlign w:val="bottom"/>
          </w:tcPr>
          <w:p>
            <w:pPr>
              <w:ind w:left="320"/>
              <w:spacing w:after="0"/>
              <w:rPr>
                <w:sz w:val="20"/>
                <w:szCs w:val="20"/>
                <w:color w:val="auto"/>
              </w:rPr>
            </w:pPr>
            <w:r>
              <w:rPr>
                <w:rFonts w:ascii="Arial" w:cs="Arial" w:eastAsia="Arial" w:hAnsi="Arial"/>
                <w:sz w:val="11"/>
                <w:szCs w:val="11"/>
                <w:b w:val="1"/>
                <w:bCs w:val="1"/>
                <w:color w:val="auto"/>
              </w:rPr>
              <w:t>Grant</w:t>
            </w:r>
          </w:p>
        </w:tc>
        <w:tc>
          <w:tcPr>
            <w:tcW w:w="760" w:type="dxa"/>
            <w:vAlign w:val="bottom"/>
          </w:tcPr>
          <w:p>
            <w:pPr>
              <w:ind w:left="300"/>
              <w:spacing w:after="0"/>
              <w:rPr>
                <w:sz w:val="20"/>
                <w:szCs w:val="20"/>
                <w:color w:val="auto"/>
              </w:rPr>
            </w:pPr>
            <w:r>
              <w:rPr>
                <w:rFonts w:ascii="Arial" w:cs="Arial" w:eastAsia="Arial" w:hAnsi="Arial"/>
                <w:sz w:val="11"/>
                <w:szCs w:val="11"/>
                <w:b w:val="1"/>
                <w:bCs w:val="1"/>
                <w:color w:val="auto"/>
              </w:rPr>
              <w:t>Grant</w:t>
            </w:r>
          </w:p>
        </w:tc>
        <w:tc>
          <w:tcPr>
            <w:tcW w:w="6440" w:type="dxa"/>
            <w:vAlign w:val="bottom"/>
          </w:tcPr>
          <w:p>
            <w:pPr>
              <w:spacing w:after="0"/>
              <w:rPr>
                <w:sz w:val="10"/>
                <w:szCs w:val="10"/>
                <w:color w:val="auto"/>
              </w:rPr>
            </w:pPr>
          </w:p>
        </w:tc>
      </w:tr>
      <w:tr>
        <w:trPr>
          <w:trHeight w:val="148"/>
        </w:trPr>
        <w:tc>
          <w:tcPr>
            <w:tcW w:w="1280" w:type="dxa"/>
            <w:vAlign w:val="bottom"/>
            <w:tcBorders>
              <w:bottom w:val="single" w:sz="8" w:color="95B3D7"/>
            </w:tcBorders>
          </w:tcPr>
          <w:p>
            <w:pPr>
              <w:spacing w:after="0"/>
              <w:rPr>
                <w:sz w:val="20"/>
                <w:szCs w:val="20"/>
                <w:color w:val="auto"/>
              </w:rPr>
            </w:pPr>
            <w:r>
              <w:rPr>
                <w:rFonts w:ascii="Arial" w:cs="Arial" w:eastAsia="Arial" w:hAnsi="Arial"/>
                <w:sz w:val="11"/>
                <w:szCs w:val="11"/>
                <w:b w:val="1"/>
                <w:bCs w:val="1"/>
                <w:color w:val="auto"/>
              </w:rPr>
              <w:t>  Name</w:t>
            </w:r>
          </w:p>
        </w:tc>
        <w:tc>
          <w:tcPr>
            <w:tcW w:w="780" w:type="dxa"/>
            <w:vAlign w:val="bottom"/>
            <w:tcBorders>
              <w:bottom w:val="single" w:sz="8" w:color="95B3D7"/>
            </w:tcBorders>
          </w:tcPr>
          <w:p>
            <w:pPr>
              <w:ind w:left="340"/>
              <w:spacing w:after="0"/>
              <w:rPr>
                <w:sz w:val="20"/>
                <w:szCs w:val="20"/>
                <w:color w:val="auto"/>
              </w:rPr>
            </w:pPr>
            <w:r>
              <w:rPr>
                <w:rFonts w:ascii="Arial" w:cs="Arial" w:eastAsia="Arial" w:hAnsi="Arial"/>
                <w:sz w:val="11"/>
                <w:szCs w:val="11"/>
                <w:b w:val="1"/>
                <w:bCs w:val="1"/>
                <w:color w:val="auto"/>
              </w:rPr>
              <w:t>Date</w:t>
            </w:r>
          </w:p>
        </w:tc>
        <w:tc>
          <w:tcPr>
            <w:tcW w:w="760" w:type="dxa"/>
            <w:vAlign w:val="bottom"/>
            <w:tcBorders>
              <w:bottom w:val="single" w:sz="8" w:color="95B3D7"/>
            </w:tcBorders>
          </w:tcPr>
          <w:p>
            <w:pPr>
              <w:ind w:left="320"/>
              <w:spacing w:after="0"/>
              <w:rPr>
                <w:sz w:val="20"/>
                <w:szCs w:val="20"/>
                <w:color w:val="auto"/>
              </w:rPr>
            </w:pPr>
            <w:r>
              <w:rPr>
                <w:rFonts w:ascii="Arial" w:cs="Arial" w:eastAsia="Arial" w:hAnsi="Arial"/>
                <w:sz w:val="11"/>
                <w:szCs w:val="11"/>
                <w:b w:val="1"/>
                <w:bCs w:val="1"/>
                <w:color w:val="auto"/>
              </w:rPr>
              <w:t>Type</w:t>
            </w:r>
          </w:p>
        </w:tc>
        <w:tc>
          <w:tcPr>
            <w:tcW w:w="6440" w:type="dxa"/>
            <w:vAlign w:val="bottom"/>
            <w:tcBorders>
              <w:bottom w:val="single" w:sz="8" w:color="95B3D7"/>
            </w:tcBorders>
          </w:tcPr>
          <w:p>
            <w:pPr>
              <w:ind w:left="2460"/>
              <w:spacing w:after="0"/>
              <w:rPr>
                <w:sz w:val="20"/>
                <w:szCs w:val="20"/>
                <w:color w:val="auto"/>
              </w:rPr>
            </w:pPr>
            <w:r>
              <w:rPr>
                <w:rFonts w:ascii="Arial" w:cs="Arial" w:eastAsia="Arial" w:hAnsi="Arial"/>
                <w:sz w:val="11"/>
                <w:szCs w:val="11"/>
                <w:b w:val="1"/>
                <w:bCs w:val="1"/>
                <w:color w:val="auto"/>
              </w:rPr>
              <w:t>Service-based Vesting Schedule</w:t>
            </w:r>
          </w:p>
        </w:tc>
      </w:tr>
      <w:tr>
        <w:trPr>
          <w:trHeight w:val="129"/>
        </w:trPr>
        <w:tc>
          <w:tcPr>
            <w:tcW w:w="1280" w:type="dxa"/>
            <w:vAlign w:val="bottom"/>
            <w:shd w:val="clear" w:color="auto" w:fill="DBE5F1"/>
          </w:tcPr>
          <w:p>
            <w:pPr>
              <w:spacing w:after="0"/>
              <w:rPr>
                <w:sz w:val="11"/>
                <w:szCs w:val="11"/>
                <w:color w:val="auto"/>
              </w:rPr>
            </w:pPr>
          </w:p>
        </w:tc>
        <w:tc>
          <w:tcPr>
            <w:tcW w:w="780" w:type="dxa"/>
            <w:vAlign w:val="bottom"/>
            <w:shd w:val="clear" w:color="auto" w:fill="DBE5F1"/>
          </w:tcPr>
          <w:p>
            <w:pPr>
              <w:ind w:left="180"/>
              <w:spacing w:after="0"/>
              <w:rPr>
                <w:sz w:val="20"/>
                <w:szCs w:val="20"/>
                <w:color w:val="auto"/>
              </w:rPr>
            </w:pPr>
            <w:r>
              <w:rPr>
                <w:rFonts w:ascii="Arial" w:cs="Arial" w:eastAsia="Arial" w:hAnsi="Arial"/>
                <w:sz w:val="11"/>
                <w:szCs w:val="11"/>
                <w:color w:val="auto"/>
              </w:rPr>
              <w:t>9/25/2020</w:t>
            </w:r>
          </w:p>
        </w:tc>
        <w:tc>
          <w:tcPr>
            <w:tcW w:w="760" w:type="dxa"/>
            <w:vAlign w:val="bottom"/>
            <w:shd w:val="clear" w:color="auto" w:fill="DBE5F1"/>
          </w:tcPr>
          <w:p>
            <w:pPr>
              <w:ind w:left="140"/>
              <w:spacing w:after="0"/>
              <w:rPr>
                <w:sz w:val="20"/>
                <w:szCs w:val="20"/>
                <w:color w:val="auto"/>
              </w:rPr>
            </w:pPr>
            <w:r>
              <w:rPr>
                <w:rFonts w:ascii="Arial" w:cs="Arial" w:eastAsia="Arial" w:hAnsi="Arial"/>
                <w:sz w:val="11"/>
                <w:szCs w:val="11"/>
                <w:color w:val="auto"/>
              </w:rPr>
              <w:t>Restricted</w:t>
            </w:r>
          </w:p>
        </w:tc>
        <w:tc>
          <w:tcPr>
            <w:tcW w:w="6440" w:type="dxa"/>
            <w:vAlign w:val="bottom"/>
            <w:shd w:val="clear" w:color="auto" w:fill="DBE5F1"/>
          </w:tcPr>
          <w:p>
            <w:pPr>
              <w:spacing w:after="0"/>
              <w:rPr>
                <w:sz w:val="11"/>
                <w:szCs w:val="11"/>
                <w:color w:val="auto"/>
              </w:rPr>
            </w:pPr>
          </w:p>
        </w:tc>
      </w:tr>
      <w:tr>
        <w:trPr>
          <w:trHeight w:val="155"/>
        </w:trPr>
        <w:tc>
          <w:tcPr>
            <w:tcW w:w="1280" w:type="dxa"/>
            <w:vAlign w:val="bottom"/>
            <w:tcBorders>
              <w:bottom w:val="single" w:sz="8" w:color="95B3D7"/>
            </w:tcBorders>
            <w:shd w:val="clear" w:color="auto" w:fill="DBE5F1"/>
          </w:tcPr>
          <w:p>
            <w:pPr>
              <w:spacing w:after="0"/>
              <w:rPr>
                <w:sz w:val="13"/>
                <w:szCs w:val="13"/>
                <w:color w:val="auto"/>
              </w:rPr>
            </w:pPr>
          </w:p>
        </w:tc>
        <w:tc>
          <w:tcPr>
            <w:tcW w:w="780" w:type="dxa"/>
            <w:vAlign w:val="bottom"/>
            <w:tcBorders>
              <w:bottom w:val="single" w:sz="8" w:color="95B3D7"/>
            </w:tcBorders>
            <w:shd w:val="clear" w:color="auto" w:fill="DBE5F1"/>
          </w:tcPr>
          <w:p>
            <w:pPr>
              <w:spacing w:after="0"/>
              <w:rPr>
                <w:sz w:val="13"/>
                <w:szCs w:val="13"/>
                <w:color w:val="auto"/>
              </w:rPr>
            </w:pPr>
          </w:p>
        </w:tc>
        <w:tc>
          <w:tcPr>
            <w:tcW w:w="760" w:type="dxa"/>
            <w:vAlign w:val="bottom"/>
            <w:tcBorders>
              <w:bottom w:val="single" w:sz="8" w:color="95B3D7"/>
            </w:tcBorders>
            <w:shd w:val="clear" w:color="auto" w:fill="DBE5F1"/>
          </w:tcPr>
          <w:p>
            <w:pPr>
              <w:ind w:left="140"/>
              <w:spacing w:after="0"/>
              <w:rPr>
                <w:sz w:val="20"/>
                <w:szCs w:val="20"/>
                <w:color w:val="auto"/>
              </w:rPr>
            </w:pPr>
            <w:r>
              <w:rPr>
                <w:rFonts w:ascii="Arial" w:cs="Arial" w:eastAsia="Arial" w:hAnsi="Arial"/>
                <w:sz w:val="11"/>
                <w:szCs w:val="11"/>
                <w:color w:val="auto"/>
              </w:rPr>
              <w:t>Shares</w:t>
            </w:r>
          </w:p>
        </w:tc>
        <w:tc>
          <w:tcPr>
            <w:tcW w:w="6440" w:type="dxa"/>
            <w:vAlign w:val="bottom"/>
            <w:tcBorders>
              <w:bottom w:val="single" w:sz="8" w:color="95B3D7"/>
            </w:tcBorders>
            <w:shd w:val="clear" w:color="auto" w:fill="DBE5F1"/>
          </w:tcPr>
          <w:p>
            <w:pPr>
              <w:ind w:left="160"/>
              <w:spacing w:after="0"/>
              <w:rPr>
                <w:sz w:val="20"/>
                <w:szCs w:val="20"/>
                <w:color w:val="auto"/>
              </w:rPr>
            </w:pPr>
            <w:r>
              <w:rPr>
                <w:rFonts w:ascii="Arial" w:cs="Arial" w:eastAsia="Arial" w:hAnsi="Arial"/>
                <w:sz w:val="11"/>
                <w:szCs w:val="11"/>
                <w:color w:val="auto"/>
              </w:rPr>
              <w:t>Vests over 3 years with 81,503 vesting on each of 8/1/2022, 2023, and 2024</w:t>
            </w:r>
          </w:p>
        </w:tc>
      </w:tr>
      <w:tr>
        <w:trPr>
          <w:trHeight w:val="135"/>
        </w:trPr>
        <w:tc>
          <w:tcPr>
            <w:tcW w:w="1280" w:type="dxa"/>
            <w:vAlign w:val="bottom"/>
          </w:tcPr>
          <w:p>
            <w:pPr>
              <w:spacing w:after="0"/>
              <w:rPr>
                <w:sz w:val="20"/>
                <w:szCs w:val="20"/>
                <w:color w:val="auto"/>
              </w:rPr>
            </w:pPr>
            <w:r>
              <w:rPr>
                <w:rFonts w:ascii="Arial" w:cs="Arial" w:eastAsia="Arial" w:hAnsi="Arial"/>
                <w:sz w:val="11"/>
                <w:szCs w:val="11"/>
                <w:color w:val="auto"/>
              </w:rPr>
              <w:t>  Hakan Kardes</w:t>
            </w:r>
          </w:p>
        </w:tc>
        <w:tc>
          <w:tcPr>
            <w:tcW w:w="780" w:type="dxa"/>
            <w:vAlign w:val="bottom"/>
          </w:tcPr>
          <w:p>
            <w:pPr>
              <w:ind w:left="180"/>
              <w:spacing w:after="0"/>
              <w:rPr>
                <w:sz w:val="20"/>
                <w:szCs w:val="20"/>
                <w:color w:val="auto"/>
              </w:rPr>
            </w:pPr>
            <w:r>
              <w:rPr>
                <w:rFonts w:ascii="Arial" w:cs="Arial" w:eastAsia="Arial" w:hAnsi="Arial"/>
                <w:sz w:val="11"/>
                <w:szCs w:val="11"/>
                <w:color w:val="auto"/>
              </w:rPr>
              <w:t>9/14/2023</w:t>
            </w:r>
          </w:p>
        </w:tc>
        <w:tc>
          <w:tcPr>
            <w:tcW w:w="760" w:type="dxa"/>
            <w:vAlign w:val="bottom"/>
          </w:tcPr>
          <w:p>
            <w:pPr>
              <w:ind w:left="140"/>
              <w:spacing w:after="0"/>
              <w:rPr>
                <w:sz w:val="20"/>
                <w:szCs w:val="20"/>
                <w:color w:val="auto"/>
              </w:rPr>
            </w:pPr>
            <w:r>
              <w:rPr>
                <w:rFonts w:ascii="Arial" w:cs="Arial" w:eastAsia="Arial" w:hAnsi="Arial"/>
                <w:sz w:val="11"/>
                <w:szCs w:val="11"/>
                <w:color w:val="auto"/>
              </w:rPr>
              <w:t>PSUs</w:t>
            </w:r>
          </w:p>
        </w:tc>
        <w:tc>
          <w:tcPr>
            <w:tcW w:w="6440" w:type="dxa"/>
            <w:vAlign w:val="bottom"/>
          </w:tcPr>
          <w:p>
            <w:pPr>
              <w:ind w:left="160"/>
              <w:spacing w:after="0"/>
              <w:rPr>
                <w:sz w:val="20"/>
                <w:szCs w:val="20"/>
                <w:color w:val="auto"/>
              </w:rPr>
            </w:pPr>
            <w:r>
              <w:rPr>
                <w:rFonts w:ascii="Arial" w:cs="Arial" w:eastAsia="Arial" w:hAnsi="Arial"/>
                <w:sz w:val="11"/>
                <w:szCs w:val="11"/>
                <w:color w:val="auto"/>
              </w:rPr>
              <w:t>Vests, if earned, 50% on the performance certification date and 50% on 12/31/25</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9/12/2022</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RSUs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11,121 shares on each of 9/7/2025 and 9/7/2026</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3/8/2022</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Options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25% per year over 4 years with 9,124 vesting on each of 3/8/2023, 3/8/2024, 3/8/2025 and 3/8/2026</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3/8/2022</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RSUs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25% per year over 4 years with approximately 12,417 vesting on each of 3/8/2023, 3/8/2024, 3/8/2025 and 3/8/2026</w:t>
            </w:r>
          </w:p>
        </w:tc>
      </w:tr>
      <w:tr>
        <w:trPr>
          <w:trHeight w:val="121"/>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3/25/2021</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Options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25% per year over 4 years with 17,315 vesting on each of 3/25/2022, 2023, 2024, and 2025</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3/25/2021</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RSUs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25% per year over 4 years with approximately 1,375 vesting on each of 3/25/2022, 2023, 2024, and 2025</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9/25/2020</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Restricted</w:t>
            </w:r>
          </w:p>
        </w:tc>
        <w:tc>
          <w:tcPr>
            <w:tcW w:w="6440" w:type="dxa"/>
            <w:vAlign w:val="bottom"/>
          </w:tcPr>
          <w:p>
            <w:pPr>
              <w:spacing w:after="0"/>
              <w:rPr>
                <w:sz w:val="10"/>
                <w:szCs w:val="10"/>
                <w:color w:val="auto"/>
              </w:rPr>
            </w:pPr>
          </w:p>
        </w:tc>
      </w:tr>
      <w:tr>
        <w:trPr>
          <w:trHeight w:val="122"/>
        </w:trPr>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Shares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over 3 years with 10,188 vesting on each of 8/1/2022, 2023, and 2024</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9/30/2019</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Restricted</w:t>
            </w:r>
          </w:p>
        </w:tc>
        <w:tc>
          <w:tcPr>
            <w:tcW w:w="6440" w:type="dxa"/>
            <w:vAlign w:val="bottom"/>
          </w:tcPr>
          <w:p>
            <w:pPr>
              <w:spacing w:after="0"/>
              <w:rPr>
                <w:sz w:val="10"/>
                <w:szCs w:val="10"/>
                <w:color w:val="auto"/>
              </w:rPr>
            </w:pPr>
          </w:p>
        </w:tc>
      </w:tr>
      <w:tr>
        <w:trPr>
          <w:trHeight w:val="121"/>
        </w:trPr>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Shares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over 2 years with 40,928 vesting on 7/15/2022 and 82,268 vesting on 7/15/2023</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5/2/2019</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Restricted</w:t>
            </w:r>
          </w:p>
        </w:tc>
        <w:tc>
          <w:tcPr>
            <w:tcW w:w="6440" w:type="dxa"/>
            <w:vAlign w:val="bottom"/>
          </w:tcPr>
          <w:p>
            <w:pPr>
              <w:spacing w:after="0"/>
              <w:rPr>
                <w:sz w:val="10"/>
                <w:szCs w:val="10"/>
                <w:color w:val="auto"/>
              </w:rPr>
            </w:pPr>
          </w:p>
        </w:tc>
      </w:tr>
      <w:tr>
        <w:trPr>
          <w:trHeight w:val="122"/>
        </w:trPr>
        <w:tc>
          <w:tcPr>
            <w:tcW w:w="1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Shares</w:t>
            </w:r>
          </w:p>
        </w:tc>
        <w:tc>
          <w:tcPr>
            <w:tcW w:w="6440" w:type="dxa"/>
            <w:vAlign w:val="bottom"/>
          </w:tcPr>
          <w:p>
            <w:pPr>
              <w:ind w:left="160"/>
              <w:spacing w:after="0" w:line="122" w:lineRule="exact"/>
              <w:rPr>
                <w:sz w:val="20"/>
                <w:szCs w:val="20"/>
                <w:color w:val="auto"/>
              </w:rPr>
            </w:pPr>
            <w:r>
              <w:rPr>
                <w:rFonts w:ascii="Arial" w:cs="Arial" w:eastAsia="Arial" w:hAnsi="Arial"/>
                <w:sz w:val="11"/>
                <w:szCs w:val="11"/>
                <w:color w:val="auto"/>
              </w:rPr>
              <w:t>Vests over 2 years with 118,326 vesting on 1/21/2022 and 118,325 vesting on 1/21/2023</w:t>
            </w:r>
          </w:p>
        </w:tc>
      </w:tr>
      <w:tr>
        <w:trPr>
          <w:trHeight w:val="122"/>
        </w:trPr>
        <w:tc>
          <w:tcPr>
            <w:tcW w:w="1280" w:type="dxa"/>
            <w:vAlign w:val="bottom"/>
          </w:tcPr>
          <w:p>
            <w:pPr>
              <w:spacing w:after="0"/>
              <w:rPr>
                <w:sz w:val="10"/>
                <w:szCs w:val="10"/>
                <w:color w:val="auto"/>
              </w:rPr>
            </w:pPr>
          </w:p>
        </w:tc>
        <w:tc>
          <w:tcPr>
            <w:tcW w:w="780" w:type="dxa"/>
            <w:vAlign w:val="bottom"/>
          </w:tcPr>
          <w:p>
            <w:pPr>
              <w:ind w:left="180"/>
              <w:spacing w:after="0" w:line="122" w:lineRule="exact"/>
              <w:rPr>
                <w:sz w:val="20"/>
                <w:szCs w:val="20"/>
                <w:color w:val="auto"/>
              </w:rPr>
            </w:pPr>
            <w:r>
              <w:rPr>
                <w:rFonts w:ascii="Arial" w:cs="Arial" w:eastAsia="Arial" w:hAnsi="Arial"/>
                <w:sz w:val="11"/>
                <w:szCs w:val="11"/>
                <w:color w:val="auto"/>
              </w:rPr>
              <w:t>1/21/2019</w:t>
            </w:r>
          </w:p>
        </w:tc>
        <w:tc>
          <w:tcPr>
            <w:tcW w:w="760" w:type="dxa"/>
            <w:vAlign w:val="bottom"/>
          </w:tcPr>
          <w:p>
            <w:pPr>
              <w:ind w:left="140"/>
              <w:spacing w:after="0" w:line="122" w:lineRule="exact"/>
              <w:rPr>
                <w:sz w:val="20"/>
                <w:szCs w:val="20"/>
                <w:color w:val="auto"/>
              </w:rPr>
            </w:pPr>
            <w:r>
              <w:rPr>
                <w:rFonts w:ascii="Arial" w:cs="Arial" w:eastAsia="Arial" w:hAnsi="Arial"/>
                <w:sz w:val="11"/>
                <w:szCs w:val="11"/>
                <w:color w:val="auto"/>
              </w:rPr>
              <w:t>Restricted</w:t>
            </w:r>
          </w:p>
        </w:tc>
        <w:tc>
          <w:tcPr>
            <w:tcW w:w="6440" w:type="dxa"/>
            <w:vAlign w:val="bottom"/>
          </w:tcPr>
          <w:p>
            <w:pPr>
              <w:spacing w:after="0"/>
              <w:rPr>
                <w:sz w:val="10"/>
                <w:szCs w:val="10"/>
                <w:color w:val="auto"/>
              </w:rPr>
            </w:pPr>
          </w:p>
        </w:tc>
      </w:tr>
      <w:tr>
        <w:trPr>
          <w:trHeight w:val="155"/>
        </w:trPr>
        <w:tc>
          <w:tcPr>
            <w:tcW w:w="1280" w:type="dxa"/>
            <w:vAlign w:val="bottom"/>
            <w:tcBorders>
              <w:bottom w:val="single" w:sz="8" w:color="95B3D7"/>
            </w:tcBorders>
          </w:tcPr>
          <w:p>
            <w:pPr>
              <w:spacing w:after="0"/>
              <w:rPr>
                <w:sz w:val="13"/>
                <w:szCs w:val="13"/>
                <w:color w:val="auto"/>
              </w:rPr>
            </w:pPr>
          </w:p>
        </w:tc>
        <w:tc>
          <w:tcPr>
            <w:tcW w:w="780" w:type="dxa"/>
            <w:vAlign w:val="bottom"/>
            <w:tcBorders>
              <w:bottom w:val="single" w:sz="8" w:color="95B3D7"/>
            </w:tcBorders>
          </w:tcPr>
          <w:p>
            <w:pPr>
              <w:spacing w:after="0"/>
              <w:rPr>
                <w:sz w:val="13"/>
                <w:szCs w:val="13"/>
                <w:color w:val="auto"/>
              </w:rPr>
            </w:pPr>
          </w:p>
        </w:tc>
        <w:tc>
          <w:tcPr>
            <w:tcW w:w="760" w:type="dxa"/>
            <w:vAlign w:val="bottom"/>
            <w:tcBorders>
              <w:bottom w:val="single" w:sz="8" w:color="95B3D7"/>
            </w:tcBorders>
          </w:tcPr>
          <w:p>
            <w:pPr>
              <w:ind w:left="140"/>
              <w:spacing w:after="0"/>
              <w:rPr>
                <w:sz w:val="20"/>
                <w:szCs w:val="20"/>
                <w:color w:val="auto"/>
              </w:rPr>
            </w:pPr>
            <w:r>
              <w:rPr>
                <w:rFonts w:ascii="Arial" w:cs="Arial" w:eastAsia="Arial" w:hAnsi="Arial"/>
                <w:sz w:val="11"/>
                <w:szCs w:val="11"/>
                <w:color w:val="auto"/>
              </w:rPr>
              <w:t>Shares</w:t>
            </w:r>
          </w:p>
        </w:tc>
        <w:tc>
          <w:tcPr>
            <w:tcW w:w="6440" w:type="dxa"/>
            <w:vAlign w:val="bottom"/>
            <w:tcBorders>
              <w:bottom w:val="single" w:sz="8" w:color="95B3D7"/>
            </w:tcBorders>
          </w:tcPr>
          <w:p>
            <w:pPr>
              <w:ind w:left="160"/>
              <w:spacing w:after="0"/>
              <w:rPr>
                <w:sz w:val="20"/>
                <w:szCs w:val="20"/>
                <w:color w:val="auto"/>
              </w:rPr>
            </w:pPr>
            <w:r>
              <w:rPr>
                <w:rFonts w:ascii="Arial" w:cs="Arial" w:eastAsia="Arial" w:hAnsi="Arial"/>
                <w:sz w:val="11"/>
                <w:szCs w:val="11"/>
                <w:color w:val="auto"/>
              </w:rPr>
              <w:t>Vests over 2 years with 59,164 vesting on 3/30/2022 and 59,162 vesting on 3/30/2023</w:t>
            </w:r>
          </w:p>
        </w:tc>
      </w:tr>
      <w:tr>
        <w:trPr>
          <w:trHeight w:val="135"/>
        </w:trPr>
        <w:tc>
          <w:tcPr>
            <w:tcW w:w="1280" w:type="dxa"/>
            <w:vAlign w:val="bottom"/>
            <w:shd w:val="clear" w:color="auto" w:fill="DBE5F1"/>
          </w:tcPr>
          <w:p>
            <w:pPr>
              <w:spacing w:after="0"/>
              <w:rPr>
                <w:sz w:val="20"/>
                <w:szCs w:val="20"/>
                <w:color w:val="auto"/>
              </w:rPr>
            </w:pPr>
            <w:r>
              <w:rPr>
                <w:rFonts w:ascii="Arial" w:cs="Arial" w:eastAsia="Arial" w:hAnsi="Arial"/>
                <w:sz w:val="11"/>
                <w:szCs w:val="11"/>
                <w:color w:val="auto"/>
              </w:rPr>
              <w:t>  Hyong (Ken) Kim, M.D.</w:t>
            </w:r>
          </w:p>
        </w:tc>
        <w:tc>
          <w:tcPr>
            <w:tcW w:w="780" w:type="dxa"/>
            <w:vAlign w:val="bottom"/>
            <w:shd w:val="clear" w:color="auto" w:fill="DBE5F1"/>
          </w:tcPr>
          <w:p>
            <w:pPr>
              <w:ind w:left="180"/>
              <w:spacing w:after="0"/>
              <w:rPr>
                <w:sz w:val="20"/>
                <w:szCs w:val="20"/>
                <w:color w:val="auto"/>
              </w:rPr>
            </w:pPr>
            <w:r>
              <w:rPr>
                <w:rFonts w:ascii="Arial" w:cs="Arial" w:eastAsia="Arial" w:hAnsi="Arial"/>
                <w:sz w:val="11"/>
                <w:szCs w:val="11"/>
                <w:color w:val="auto"/>
              </w:rPr>
              <w:t>10/4/23</w:t>
            </w:r>
          </w:p>
        </w:tc>
        <w:tc>
          <w:tcPr>
            <w:tcW w:w="760" w:type="dxa"/>
            <w:vAlign w:val="bottom"/>
            <w:shd w:val="clear" w:color="auto" w:fill="DBE5F1"/>
          </w:tcPr>
          <w:p>
            <w:pPr>
              <w:ind w:left="140"/>
              <w:spacing w:after="0"/>
              <w:rPr>
                <w:sz w:val="20"/>
                <w:szCs w:val="20"/>
                <w:color w:val="auto"/>
              </w:rPr>
            </w:pPr>
            <w:r>
              <w:rPr>
                <w:rFonts w:ascii="Arial" w:cs="Arial" w:eastAsia="Arial" w:hAnsi="Arial"/>
                <w:sz w:val="11"/>
                <w:szCs w:val="11"/>
                <w:color w:val="auto"/>
              </w:rPr>
              <w:t>RSUs</w:t>
            </w:r>
          </w:p>
        </w:tc>
        <w:tc>
          <w:tcPr>
            <w:tcW w:w="6440" w:type="dxa"/>
            <w:vAlign w:val="bottom"/>
            <w:shd w:val="clear" w:color="auto" w:fill="DBE5F1"/>
          </w:tcPr>
          <w:p>
            <w:pPr>
              <w:ind w:left="160"/>
              <w:spacing w:after="0"/>
              <w:rPr>
                <w:sz w:val="20"/>
                <w:szCs w:val="20"/>
                <w:color w:val="auto"/>
              </w:rPr>
            </w:pPr>
            <w:r>
              <w:rPr>
                <w:rFonts w:ascii="Arial" w:cs="Arial" w:eastAsia="Arial" w:hAnsi="Arial"/>
                <w:sz w:val="11"/>
                <w:szCs w:val="11"/>
                <w:color w:val="auto"/>
              </w:rPr>
              <w:t>Vests 25% per year over 4 years with 70,090 vesting on each of 10/4/24, 2025, 2026, and 2027</w:t>
            </w:r>
          </w:p>
        </w:tc>
      </w:tr>
      <w:tr>
        <w:trPr>
          <w:trHeight w:val="155"/>
        </w:trPr>
        <w:tc>
          <w:tcPr>
            <w:tcW w:w="1280" w:type="dxa"/>
            <w:vAlign w:val="bottom"/>
            <w:tcBorders>
              <w:bottom w:val="single" w:sz="8" w:color="95B3D7"/>
            </w:tcBorders>
            <w:shd w:val="clear" w:color="auto" w:fill="DBE5F1"/>
          </w:tcPr>
          <w:p>
            <w:pPr>
              <w:spacing w:after="0"/>
              <w:rPr>
                <w:sz w:val="13"/>
                <w:szCs w:val="13"/>
                <w:color w:val="auto"/>
              </w:rPr>
            </w:pPr>
          </w:p>
        </w:tc>
        <w:tc>
          <w:tcPr>
            <w:tcW w:w="780" w:type="dxa"/>
            <w:vAlign w:val="bottom"/>
            <w:tcBorders>
              <w:bottom w:val="single" w:sz="8" w:color="95B3D7"/>
            </w:tcBorders>
            <w:shd w:val="clear" w:color="auto" w:fill="DBE5F1"/>
          </w:tcPr>
          <w:p>
            <w:pPr>
              <w:ind w:left="180"/>
              <w:spacing w:after="0"/>
              <w:rPr>
                <w:sz w:val="20"/>
                <w:szCs w:val="20"/>
                <w:color w:val="auto"/>
              </w:rPr>
            </w:pPr>
            <w:r>
              <w:rPr>
                <w:rFonts w:ascii="Arial" w:cs="Arial" w:eastAsia="Arial" w:hAnsi="Arial"/>
                <w:sz w:val="11"/>
                <w:szCs w:val="11"/>
                <w:color w:val="auto"/>
              </w:rPr>
              <w:t>9/14/2023</w:t>
            </w:r>
          </w:p>
        </w:tc>
        <w:tc>
          <w:tcPr>
            <w:tcW w:w="760" w:type="dxa"/>
            <w:vAlign w:val="bottom"/>
            <w:tcBorders>
              <w:bottom w:val="single" w:sz="8" w:color="95B3D7"/>
            </w:tcBorders>
            <w:shd w:val="clear" w:color="auto" w:fill="DBE5F1"/>
          </w:tcPr>
          <w:p>
            <w:pPr>
              <w:ind w:left="140"/>
              <w:spacing w:after="0"/>
              <w:rPr>
                <w:sz w:val="20"/>
                <w:szCs w:val="20"/>
                <w:color w:val="auto"/>
              </w:rPr>
            </w:pPr>
            <w:r>
              <w:rPr>
                <w:rFonts w:ascii="Arial" w:cs="Arial" w:eastAsia="Arial" w:hAnsi="Arial"/>
                <w:sz w:val="11"/>
                <w:szCs w:val="11"/>
                <w:color w:val="auto"/>
              </w:rPr>
              <w:t>PSUs</w:t>
            </w:r>
          </w:p>
        </w:tc>
        <w:tc>
          <w:tcPr>
            <w:tcW w:w="6440" w:type="dxa"/>
            <w:vAlign w:val="bottom"/>
            <w:tcBorders>
              <w:bottom w:val="single" w:sz="8" w:color="95B3D7"/>
            </w:tcBorders>
            <w:shd w:val="clear" w:color="auto" w:fill="DBE5F1"/>
          </w:tcPr>
          <w:p>
            <w:pPr>
              <w:ind w:left="160"/>
              <w:spacing w:after="0"/>
              <w:rPr>
                <w:sz w:val="20"/>
                <w:szCs w:val="20"/>
                <w:color w:val="auto"/>
              </w:rPr>
            </w:pPr>
            <w:r>
              <w:rPr>
                <w:rFonts w:ascii="Arial" w:cs="Arial" w:eastAsia="Arial" w:hAnsi="Arial"/>
                <w:sz w:val="11"/>
                <w:szCs w:val="11"/>
                <w:color w:val="auto"/>
              </w:rPr>
              <w:t>Vests, if earned, 50% on the performance certification date and 50% on 12/31/25</w:t>
            </w:r>
          </w:p>
        </w:tc>
      </w:tr>
    </w:tbl>
    <w:p>
      <w:pPr>
        <w:spacing w:after="0" w:line="234" w:lineRule="exact"/>
        <w:rPr>
          <w:sz w:val="20"/>
          <w:szCs w:val="20"/>
          <w:color w:val="auto"/>
        </w:rPr>
      </w:pPr>
    </w:p>
    <w:p>
      <w:pPr>
        <w:ind w:left="760" w:right="180" w:hanging="332"/>
        <w:spacing w:after="0" w:line="285" w:lineRule="auto"/>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dollar amounts shown in this column are determined by multiplying the number of shares or units reported in the “Number of Shares or Units of Stock That Have Not Vested” column by $8.61, the closing price of our common stock on the last trading day of 2023.</w:t>
      </w:r>
    </w:p>
    <w:p>
      <w:pPr>
        <w:spacing w:after="0" w:line="184" w:lineRule="exact"/>
        <w:rPr>
          <w:rFonts w:ascii="Arial" w:cs="Arial" w:eastAsia="Arial" w:hAnsi="Arial"/>
          <w:sz w:val="14"/>
          <w:szCs w:val="14"/>
          <w:color w:val="auto"/>
        </w:rPr>
      </w:pPr>
    </w:p>
    <w:p>
      <w:pPr>
        <w:ind w:left="760" w:hanging="332"/>
        <w:spacing w:after="0"/>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Held by JEK Trust, dated February 8, 2021, of which Mr. Kao is the trustee.</w:t>
      </w:r>
    </w:p>
    <w:p>
      <w:pPr>
        <w:spacing w:after="0" w:line="244" w:lineRule="exact"/>
        <w:rPr>
          <w:rFonts w:ascii="Arial" w:cs="Arial" w:eastAsia="Arial" w:hAnsi="Arial"/>
          <w:sz w:val="14"/>
          <w:szCs w:val="14"/>
          <w:color w:val="auto"/>
        </w:rPr>
      </w:pPr>
    </w:p>
    <w:p>
      <w:pPr>
        <w:ind w:left="760" w:right="40" w:hanging="332"/>
        <w:spacing w:after="0" w:line="285" w:lineRule="auto"/>
        <w:tabs>
          <w:tab w:leader="none" w:pos="7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15% of each grant is held by Mr. Freeman directly and 85% of each grant is held by FCO Holdings LLC, a limited liability company owned by FCO Holdings Trust One, an irrevocable trust.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Exercises and Stock Vested During Fiscal Year 2023</w:t>
      </w:r>
    </w:p>
    <w:p>
      <w:pPr>
        <w:spacing w:after="0" w:line="104" w:lineRule="exact"/>
        <w:rPr>
          <w:sz w:val="20"/>
          <w:szCs w:val="20"/>
          <w:color w:val="auto"/>
        </w:rPr>
      </w:pPr>
    </w:p>
    <w:p>
      <w:pPr>
        <w:ind w:right="300" w:firstLine="440"/>
        <w:spacing w:after="0" w:line="271" w:lineRule="auto"/>
        <w:rPr>
          <w:sz w:val="20"/>
          <w:szCs w:val="20"/>
          <w:color w:val="auto"/>
        </w:rPr>
      </w:pPr>
      <w:r>
        <w:rPr>
          <w:rFonts w:ascii="Arial" w:cs="Arial" w:eastAsia="Arial" w:hAnsi="Arial"/>
          <w:sz w:val="18"/>
          <w:szCs w:val="18"/>
          <w:color w:val="auto"/>
        </w:rPr>
        <w:t>The following table shows information about exercises and vesting of RSUs, restricted shares and stock options during fiscal year 2023.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40" w:type="dxa"/>
            <w:vAlign w:val="bottom"/>
            <w:tcBorders>
              <w:bottom w:val="single" w:sz="8" w:color="95B3D7"/>
            </w:tcBorders>
          </w:tcPr>
          <w:p>
            <w:pPr>
              <w:spacing w:after="0"/>
              <w:rPr>
                <w:sz w:val="14"/>
                <w:szCs w:val="14"/>
                <w:color w:val="auto"/>
              </w:rPr>
            </w:pPr>
          </w:p>
        </w:tc>
        <w:tc>
          <w:tcPr>
            <w:tcW w:w="1220" w:type="dxa"/>
            <w:vAlign w:val="bottom"/>
            <w:tcBorders>
              <w:bottom w:val="single" w:sz="8" w:color="95B3D7"/>
            </w:tcBorders>
          </w:tcPr>
          <w:p>
            <w:pPr>
              <w:spacing w:after="0"/>
              <w:rPr>
                <w:sz w:val="14"/>
                <w:szCs w:val="14"/>
                <w:color w:val="auto"/>
              </w:rPr>
            </w:pPr>
          </w:p>
        </w:tc>
        <w:tc>
          <w:tcPr>
            <w:tcW w:w="340" w:type="dxa"/>
            <w:vAlign w:val="bottom"/>
            <w:tcBorders>
              <w:bottom w:val="single" w:sz="8" w:color="95B3D7"/>
            </w:tcBorders>
          </w:tcPr>
          <w:p>
            <w:pPr>
              <w:spacing w:after="0"/>
              <w:rPr>
                <w:sz w:val="14"/>
                <w:szCs w:val="14"/>
                <w:color w:val="auto"/>
              </w:rPr>
            </w:pPr>
          </w:p>
        </w:tc>
        <w:tc>
          <w:tcPr>
            <w:tcW w:w="160" w:type="dxa"/>
            <w:vAlign w:val="bottom"/>
            <w:tcBorders>
              <w:bottom w:val="single" w:sz="8" w:color="95B3D7"/>
            </w:tcBorders>
          </w:tcPr>
          <w:p>
            <w:pPr>
              <w:spacing w:after="0"/>
              <w:rPr>
                <w:sz w:val="14"/>
                <w:szCs w:val="14"/>
                <w:color w:val="auto"/>
              </w:rPr>
            </w:pPr>
          </w:p>
        </w:tc>
        <w:tc>
          <w:tcPr>
            <w:tcW w:w="1560" w:type="dxa"/>
            <w:vAlign w:val="bottom"/>
            <w:tcBorders>
              <w:bottom w:val="single" w:sz="8" w:color="95B3D7"/>
            </w:tcBorders>
            <w:gridSpan w:val="2"/>
          </w:tcPr>
          <w:p>
            <w:pPr>
              <w:spacing w:after="0"/>
              <w:rPr>
                <w:sz w:val="20"/>
                <w:szCs w:val="20"/>
                <w:color w:val="auto"/>
              </w:rPr>
            </w:pPr>
            <w:r>
              <w:rPr>
                <w:rFonts w:ascii="Arial" w:cs="Arial" w:eastAsia="Arial" w:hAnsi="Arial"/>
                <w:sz w:val="14"/>
                <w:szCs w:val="14"/>
                <w:b w:val="1"/>
                <w:bCs w:val="1"/>
                <w:color w:val="auto"/>
              </w:rPr>
              <w:t>Option Awards</w:t>
            </w:r>
          </w:p>
        </w:tc>
        <w:tc>
          <w:tcPr>
            <w:tcW w:w="760" w:type="dxa"/>
            <w:vAlign w:val="bottom"/>
            <w:tcBorders>
              <w:bottom w:val="single" w:sz="8" w:color="95B3D7"/>
            </w:tcBorders>
          </w:tcPr>
          <w:p>
            <w:pPr>
              <w:spacing w:after="0"/>
              <w:rPr>
                <w:sz w:val="14"/>
                <w:szCs w:val="14"/>
                <w:color w:val="auto"/>
              </w:rPr>
            </w:pPr>
          </w:p>
        </w:tc>
        <w:tc>
          <w:tcPr>
            <w:tcW w:w="2100" w:type="dxa"/>
            <w:vAlign w:val="bottom"/>
            <w:tcBorders>
              <w:bottom w:val="single" w:sz="8" w:color="95B3D7"/>
            </w:tcBorders>
          </w:tcPr>
          <w:p>
            <w:pPr>
              <w:spacing w:after="0"/>
              <w:rPr>
                <w:sz w:val="14"/>
                <w:szCs w:val="14"/>
                <w:color w:val="auto"/>
              </w:rPr>
            </w:pPr>
          </w:p>
        </w:tc>
        <w:tc>
          <w:tcPr>
            <w:tcW w:w="2640" w:type="dxa"/>
            <w:vAlign w:val="bottom"/>
            <w:tcBorders>
              <w:bottom w:val="single" w:sz="8" w:color="95B3D7"/>
            </w:tcBorders>
            <w:gridSpan w:val="2"/>
          </w:tcPr>
          <w:p>
            <w:pPr>
              <w:jc w:val="right"/>
              <w:ind w:right="1589"/>
              <w:spacing w:after="0"/>
              <w:rPr>
                <w:sz w:val="20"/>
                <w:szCs w:val="20"/>
                <w:color w:val="auto"/>
              </w:rPr>
            </w:pPr>
            <w:r>
              <w:rPr>
                <w:rFonts w:ascii="Arial" w:cs="Arial" w:eastAsia="Arial" w:hAnsi="Arial"/>
                <w:sz w:val="14"/>
                <w:szCs w:val="14"/>
                <w:b w:val="1"/>
                <w:bCs w:val="1"/>
                <w:color w:val="auto"/>
              </w:rPr>
              <w:t>Stock Awards</w:t>
            </w:r>
          </w:p>
        </w:tc>
      </w:tr>
      <w:tr>
        <w:trPr>
          <w:trHeight w:val="146"/>
        </w:trPr>
        <w:tc>
          <w:tcPr>
            <w:tcW w:w="2240" w:type="dxa"/>
            <w:vAlign w:val="bottom"/>
            <w:tcBorders>
              <w:right w:val="single" w:sz="8" w:color="95B3D7"/>
            </w:tcBorders>
            <w:shd w:val="clear" w:color="auto" w:fill="DBE5F1"/>
          </w:tcPr>
          <w:p>
            <w:pPr>
              <w:ind w:left="140"/>
              <w:spacing w:after="0" w:line="147" w:lineRule="exact"/>
              <w:rPr>
                <w:sz w:val="20"/>
                <w:szCs w:val="20"/>
                <w:color w:val="auto"/>
              </w:rPr>
            </w:pPr>
            <w:r>
              <w:rPr>
                <w:rFonts w:ascii="Arial" w:cs="Arial" w:eastAsia="Arial" w:hAnsi="Arial"/>
                <w:sz w:val="14"/>
                <w:szCs w:val="14"/>
                <w:b w:val="1"/>
                <w:bCs w:val="1"/>
                <w:color w:val="auto"/>
              </w:rPr>
              <w:t>Name</w:t>
            </w:r>
          </w:p>
        </w:tc>
        <w:tc>
          <w:tcPr>
            <w:tcW w:w="1720" w:type="dxa"/>
            <w:vAlign w:val="bottom"/>
            <w:gridSpan w:val="3"/>
            <w:shd w:val="clear" w:color="auto" w:fill="DBE5F1"/>
          </w:tcPr>
          <w:p>
            <w:pPr>
              <w:jc w:val="center"/>
              <w:ind w:left="374"/>
              <w:spacing w:after="0" w:line="147" w:lineRule="exact"/>
              <w:rPr>
                <w:sz w:val="20"/>
                <w:szCs w:val="20"/>
                <w:color w:val="auto"/>
              </w:rPr>
            </w:pPr>
            <w:r>
              <w:rPr>
                <w:rFonts w:ascii="Arial" w:cs="Arial" w:eastAsia="Arial" w:hAnsi="Arial"/>
                <w:sz w:val="14"/>
                <w:szCs w:val="14"/>
                <w:b w:val="1"/>
                <w:bCs w:val="1"/>
                <w:color w:val="auto"/>
                <w:w w:val="95"/>
              </w:rPr>
              <w:t>Number of Shares </w:t>
            </w:r>
          </w:p>
        </w:tc>
        <w:tc>
          <w:tcPr>
            <w:tcW w:w="260" w:type="dxa"/>
            <w:vAlign w:val="bottom"/>
            <w:tcBorders>
              <w:right w:val="single" w:sz="8" w:color="95B3D7"/>
            </w:tcBorders>
            <w:shd w:val="clear" w:color="auto" w:fill="DBE5F1"/>
          </w:tcPr>
          <w:p>
            <w:pPr>
              <w:ind w:left="100"/>
              <w:spacing w:after="0" w:line="147" w:lineRule="exact"/>
              <w:rPr>
                <w:sz w:val="20"/>
                <w:szCs w:val="20"/>
                <w:color w:val="auto"/>
              </w:rPr>
            </w:pPr>
            <w:r>
              <w:rPr>
                <w:rFonts w:ascii="Arial" w:cs="Arial" w:eastAsia="Arial" w:hAnsi="Arial"/>
                <w:sz w:val="14"/>
                <w:szCs w:val="14"/>
                <w:b w:val="1"/>
                <w:bCs w:val="1"/>
                <w:color w:val="auto"/>
                <w:w w:val="85"/>
              </w:rPr>
              <w:t> </w:t>
            </w:r>
          </w:p>
        </w:tc>
        <w:tc>
          <w:tcPr>
            <w:tcW w:w="1300" w:type="dxa"/>
            <w:vAlign w:val="bottom"/>
            <w:shd w:val="clear" w:color="auto" w:fill="DBE5F1"/>
          </w:tcPr>
          <w:p>
            <w:pPr>
              <w:spacing w:after="0"/>
              <w:rPr>
                <w:sz w:val="12"/>
                <w:szCs w:val="12"/>
                <w:color w:val="auto"/>
              </w:rPr>
            </w:pPr>
          </w:p>
        </w:tc>
        <w:tc>
          <w:tcPr>
            <w:tcW w:w="760" w:type="dxa"/>
            <w:vAlign w:val="bottom"/>
            <w:tcBorders>
              <w:right w:val="single" w:sz="8" w:color="95B3D7"/>
            </w:tcBorders>
            <w:shd w:val="clear" w:color="auto" w:fill="DBE5F1"/>
          </w:tcPr>
          <w:p>
            <w:pPr>
              <w:spacing w:after="0"/>
              <w:rPr>
                <w:sz w:val="12"/>
                <w:szCs w:val="12"/>
                <w:color w:val="auto"/>
              </w:rPr>
            </w:pPr>
          </w:p>
        </w:tc>
        <w:tc>
          <w:tcPr>
            <w:tcW w:w="2100" w:type="dxa"/>
            <w:vAlign w:val="bottom"/>
            <w:shd w:val="clear" w:color="auto" w:fill="DBE5F1"/>
          </w:tcPr>
          <w:p>
            <w:pPr>
              <w:jc w:val="center"/>
              <w:ind w:left="273"/>
              <w:spacing w:after="0" w:line="147" w:lineRule="exact"/>
              <w:rPr>
                <w:sz w:val="20"/>
                <w:szCs w:val="20"/>
                <w:color w:val="auto"/>
              </w:rPr>
            </w:pPr>
            <w:r>
              <w:rPr>
                <w:rFonts w:ascii="Arial" w:cs="Arial" w:eastAsia="Arial" w:hAnsi="Arial"/>
                <w:sz w:val="14"/>
                <w:szCs w:val="14"/>
                <w:b w:val="1"/>
                <w:bCs w:val="1"/>
                <w:color w:val="auto"/>
              </w:rPr>
              <w:t>Number of Shares</w:t>
            </w:r>
          </w:p>
        </w:tc>
        <w:tc>
          <w:tcPr>
            <w:tcW w:w="420" w:type="dxa"/>
            <w:vAlign w:val="bottom"/>
            <w:tcBorders>
              <w:right w:val="single" w:sz="8" w:color="95B3D7"/>
            </w:tcBorders>
            <w:shd w:val="clear" w:color="auto" w:fill="DBE5F1"/>
          </w:tcPr>
          <w:p>
            <w:pPr>
              <w:spacing w:after="0"/>
              <w:rPr>
                <w:sz w:val="12"/>
                <w:szCs w:val="12"/>
                <w:color w:val="auto"/>
              </w:rPr>
            </w:pPr>
          </w:p>
        </w:tc>
        <w:tc>
          <w:tcPr>
            <w:tcW w:w="2220" w:type="dxa"/>
            <w:vAlign w:val="bottom"/>
            <w:shd w:val="clear" w:color="auto" w:fill="DBE5F1"/>
          </w:tcPr>
          <w:p>
            <w:pPr>
              <w:jc w:val="right"/>
              <w:spacing w:after="0" w:line="147" w:lineRule="exact"/>
              <w:rPr>
                <w:sz w:val="20"/>
                <w:szCs w:val="20"/>
                <w:color w:val="auto"/>
              </w:rPr>
            </w:pPr>
            <w:r>
              <w:rPr>
                <w:rFonts w:ascii="Arial" w:cs="Arial" w:eastAsia="Arial" w:hAnsi="Arial"/>
                <w:sz w:val="14"/>
                <w:szCs w:val="14"/>
                <w:b w:val="1"/>
                <w:bCs w:val="1"/>
                <w:color w:val="auto"/>
              </w:rPr>
              <w:t>Value Realized on</w:t>
            </w:r>
          </w:p>
        </w:tc>
      </w:tr>
      <w:tr>
        <w:trPr>
          <w:trHeight w:val="162"/>
        </w:trPr>
        <w:tc>
          <w:tcPr>
            <w:tcW w:w="2240" w:type="dxa"/>
            <w:vAlign w:val="bottom"/>
            <w:tcBorders>
              <w:right w:val="single" w:sz="8" w:color="95B3D7"/>
            </w:tcBorders>
            <w:shd w:val="clear" w:color="auto" w:fill="DBE5F1"/>
          </w:tcPr>
          <w:p>
            <w:pPr>
              <w:spacing w:after="0"/>
              <w:rPr>
                <w:sz w:val="14"/>
                <w:szCs w:val="14"/>
                <w:color w:val="auto"/>
              </w:rPr>
            </w:pPr>
          </w:p>
        </w:tc>
        <w:tc>
          <w:tcPr>
            <w:tcW w:w="1560" w:type="dxa"/>
            <w:vAlign w:val="bottom"/>
            <w:gridSpan w:val="2"/>
            <w:shd w:val="clear" w:color="auto" w:fill="DBE5F1"/>
          </w:tcPr>
          <w:p>
            <w:pPr>
              <w:jc w:val="center"/>
              <w:ind w:left="534"/>
              <w:spacing w:after="0"/>
              <w:rPr>
                <w:sz w:val="20"/>
                <w:szCs w:val="20"/>
                <w:color w:val="auto"/>
              </w:rPr>
            </w:pPr>
            <w:r>
              <w:rPr>
                <w:rFonts w:ascii="Arial" w:cs="Arial" w:eastAsia="Arial" w:hAnsi="Arial"/>
                <w:sz w:val="14"/>
                <w:szCs w:val="14"/>
                <w:b w:val="1"/>
                <w:bCs w:val="1"/>
                <w:color w:val="auto"/>
                <w:w w:val="91"/>
              </w:rPr>
              <w:t>Acquired on </w:t>
            </w:r>
          </w:p>
        </w:tc>
        <w:tc>
          <w:tcPr>
            <w:tcW w:w="160" w:type="dxa"/>
            <w:vAlign w:val="bottom"/>
            <w:shd w:val="clear" w:color="auto" w:fill="DBE5F1"/>
          </w:tcPr>
          <w:p>
            <w:pPr>
              <w:ind w:left="60"/>
              <w:spacing w:after="0"/>
              <w:rPr>
                <w:sz w:val="20"/>
                <w:szCs w:val="20"/>
                <w:color w:val="auto"/>
              </w:rPr>
            </w:pPr>
            <w:r>
              <w:rPr>
                <w:rFonts w:ascii="Arial" w:cs="Arial" w:eastAsia="Arial" w:hAnsi="Arial"/>
                <w:sz w:val="11"/>
                <w:szCs w:val="11"/>
                <w:b w:val="1"/>
                <w:bCs w:val="1"/>
                <w:color w:val="auto"/>
                <w:w w:val="72"/>
              </w:rPr>
              <w:t> </w:t>
            </w:r>
          </w:p>
        </w:tc>
        <w:tc>
          <w:tcPr>
            <w:tcW w:w="260" w:type="dxa"/>
            <w:vAlign w:val="bottom"/>
            <w:tcBorders>
              <w:right w:val="single" w:sz="8" w:color="95B3D7"/>
            </w:tcBorders>
            <w:shd w:val="clear" w:color="auto" w:fill="DBE5F1"/>
          </w:tcPr>
          <w:p>
            <w:pPr>
              <w:spacing w:after="0"/>
              <w:rPr>
                <w:sz w:val="14"/>
                <w:szCs w:val="14"/>
                <w:color w:val="auto"/>
              </w:rPr>
            </w:pPr>
          </w:p>
        </w:tc>
        <w:tc>
          <w:tcPr>
            <w:tcW w:w="2060" w:type="dxa"/>
            <w:vAlign w:val="bottom"/>
            <w:tcBorders>
              <w:right w:val="single" w:sz="8" w:color="95B3D7"/>
            </w:tcBorders>
            <w:gridSpan w:val="2"/>
            <w:shd w:val="clear" w:color="auto" w:fill="DBE5F1"/>
          </w:tcPr>
          <w:p>
            <w:pPr>
              <w:ind w:left="540"/>
              <w:spacing w:after="0"/>
              <w:rPr>
                <w:sz w:val="20"/>
                <w:szCs w:val="20"/>
                <w:color w:val="auto"/>
              </w:rPr>
            </w:pPr>
            <w:r>
              <w:rPr>
                <w:rFonts w:ascii="Arial" w:cs="Arial" w:eastAsia="Arial" w:hAnsi="Arial"/>
                <w:sz w:val="14"/>
                <w:szCs w:val="14"/>
                <w:b w:val="1"/>
                <w:bCs w:val="1"/>
                <w:color w:val="auto"/>
              </w:rPr>
              <w:t xml:space="preserve">Value Realized on    </w:t>
            </w:r>
          </w:p>
        </w:tc>
        <w:tc>
          <w:tcPr>
            <w:tcW w:w="2100" w:type="dxa"/>
            <w:vAlign w:val="bottom"/>
            <w:shd w:val="clear" w:color="auto" w:fill="DBE5F1"/>
          </w:tcPr>
          <w:p>
            <w:pPr>
              <w:jc w:val="center"/>
              <w:ind w:left="273"/>
              <w:spacing w:after="0"/>
              <w:rPr>
                <w:sz w:val="20"/>
                <w:szCs w:val="20"/>
                <w:color w:val="auto"/>
              </w:rPr>
            </w:pPr>
            <w:r>
              <w:rPr>
                <w:rFonts w:ascii="Arial" w:cs="Arial" w:eastAsia="Arial" w:hAnsi="Arial"/>
                <w:sz w:val="14"/>
                <w:szCs w:val="14"/>
                <w:b w:val="1"/>
                <w:bCs w:val="1"/>
                <w:color w:val="auto"/>
              </w:rPr>
              <w:t>Acquired on Vesting</w:t>
            </w:r>
          </w:p>
        </w:tc>
        <w:tc>
          <w:tcPr>
            <w:tcW w:w="420" w:type="dxa"/>
            <w:vAlign w:val="bottom"/>
            <w:tcBorders>
              <w:right w:val="single" w:sz="8" w:color="95B3D7"/>
            </w:tcBorders>
            <w:shd w:val="clear" w:color="auto" w:fill="DBE5F1"/>
          </w:tcPr>
          <w:p>
            <w:pPr>
              <w:spacing w:after="0"/>
              <w:rPr>
                <w:sz w:val="14"/>
                <w:szCs w:val="14"/>
                <w:color w:val="auto"/>
              </w:rPr>
            </w:pPr>
          </w:p>
        </w:tc>
        <w:tc>
          <w:tcPr>
            <w:tcW w:w="2220" w:type="dxa"/>
            <w:vAlign w:val="bottom"/>
            <w:shd w:val="clear" w:color="auto" w:fill="DBE5F1"/>
          </w:tcPr>
          <w:p>
            <w:pPr>
              <w:jc w:val="right"/>
              <w:ind w:right="269"/>
              <w:spacing w:after="0" w:line="162" w:lineRule="exact"/>
              <w:rPr>
                <w:sz w:val="20"/>
                <w:szCs w:val="20"/>
                <w:color w:val="auto"/>
              </w:rPr>
            </w:pPr>
            <w:r>
              <w:rPr>
                <w:rFonts w:ascii="Arial" w:cs="Arial" w:eastAsia="Arial" w:hAnsi="Arial"/>
                <w:sz w:val="13"/>
                <w:szCs w:val="13"/>
                <w:b w:val="1"/>
                <w:bCs w:val="1"/>
                <w:color w:val="auto"/>
              </w:rPr>
              <w:t>Vesting</w:t>
            </w:r>
            <w:r>
              <w:rPr>
                <w:rFonts w:ascii="Arial" w:cs="Arial" w:eastAsia="Arial" w:hAnsi="Arial"/>
                <w:sz w:val="18"/>
                <w:szCs w:val="18"/>
                <w:b w:val="1"/>
                <w:bCs w:val="1"/>
                <w:color w:val="auto"/>
                <w:vertAlign w:val="superscript"/>
              </w:rPr>
              <w:t>(1)</w:t>
            </w:r>
          </w:p>
        </w:tc>
      </w:tr>
      <w:tr>
        <w:trPr>
          <w:trHeight w:val="185"/>
        </w:trPr>
        <w:tc>
          <w:tcPr>
            <w:tcW w:w="2240" w:type="dxa"/>
            <w:vAlign w:val="bottom"/>
            <w:tcBorders>
              <w:bottom w:val="single" w:sz="8" w:color="95B3D7"/>
              <w:right w:val="single" w:sz="8" w:color="95B3D7"/>
            </w:tcBorders>
            <w:shd w:val="clear" w:color="auto" w:fill="DBE5F1"/>
          </w:tcPr>
          <w:p>
            <w:pPr>
              <w:spacing w:after="0"/>
              <w:rPr>
                <w:sz w:val="16"/>
                <w:szCs w:val="16"/>
                <w:color w:val="auto"/>
              </w:rPr>
            </w:pPr>
          </w:p>
        </w:tc>
        <w:tc>
          <w:tcPr>
            <w:tcW w:w="1560" w:type="dxa"/>
            <w:vAlign w:val="bottom"/>
            <w:tcBorders>
              <w:bottom w:val="single" w:sz="8" w:color="95B3D7"/>
            </w:tcBorders>
            <w:gridSpan w:val="2"/>
            <w:shd w:val="clear" w:color="auto" w:fill="DBE5F1"/>
          </w:tcPr>
          <w:p>
            <w:pPr>
              <w:jc w:val="center"/>
              <w:ind w:left="534"/>
              <w:spacing w:after="0"/>
              <w:rPr>
                <w:sz w:val="20"/>
                <w:szCs w:val="20"/>
                <w:color w:val="auto"/>
              </w:rPr>
            </w:pPr>
            <w:r>
              <w:rPr>
                <w:rFonts w:ascii="Arial" w:cs="Arial" w:eastAsia="Arial" w:hAnsi="Arial"/>
                <w:sz w:val="14"/>
                <w:szCs w:val="14"/>
                <w:b w:val="1"/>
                <w:bCs w:val="1"/>
                <w:color w:val="auto"/>
              </w:rPr>
              <w:t xml:space="preserve">Exercise (#) </w:t>
            </w:r>
          </w:p>
        </w:tc>
        <w:tc>
          <w:tcPr>
            <w:tcW w:w="160" w:type="dxa"/>
            <w:vAlign w:val="bottom"/>
            <w:tcBorders>
              <w:bottom w:val="single" w:sz="8" w:color="95B3D7"/>
            </w:tcBorders>
            <w:shd w:val="clear" w:color="auto" w:fill="DBE5F1"/>
          </w:tcPr>
          <w:p>
            <w:pPr>
              <w:ind w:left="40"/>
              <w:spacing w:after="0"/>
              <w:rPr>
                <w:sz w:val="20"/>
                <w:szCs w:val="20"/>
                <w:color w:val="auto"/>
              </w:rPr>
            </w:pPr>
            <w:r>
              <w:rPr>
                <w:rFonts w:ascii="Arial" w:cs="Arial" w:eastAsia="Arial" w:hAnsi="Arial"/>
                <w:sz w:val="14"/>
                <w:szCs w:val="14"/>
                <w:b w:val="1"/>
                <w:bCs w:val="1"/>
                <w:color w:val="auto"/>
                <w:w w:val="71"/>
              </w:rPr>
              <w:t> </w:t>
            </w:r>
          </w:p>
        </w:tc>
        <w:tc>
          <w:tcPr>
            <w:tcW w:w="260" w:type="dxa"/>
            <w:vAlign w:val="bottom"/>
            <w:tcBorders>
              <w:bottom w:val="single" w:sz="8" w:color="95B3D7"/>
              <w:right w:val="single" w:sz="8" w:color="95B3D7"/>
            </w:tcBorders>
            <w:shd w:val="clear" w:color="auto" w:fill="DBE5F1"/>
          </w:tcPr>
          <w:p>
            <w:pPr>
              <w:spacing w:after="0"/>
              <w:rPr>
                <w:sz w:val="16"/>
                <w:szCs w:val="16"/>
                <w:color w:val="auto"/>
              </w:rPr>
            </w:pPr>
          </w:p>
        </w:tc>
        <w:tc>
          <w:tcPr>
            <w:tcW w:w="2060" w:type="dxa"/>
            <w:vAlign w:val="bottom"/>
            <w:tcBorders>
              <w:bottom w:val="single" w:sz="8" w:color="95B3D7"/>
              <w:right w:val="single" w:sz="8" w:color="95B3D7"/>
            </w:tcBorders>
            <w:gridSpan w:val="2"/>
            <w:shd w:val="clear" w:color="auto" w:fill="DBE5F1"/>
          </w:tcPr>
          <w:p>
            <w:pPr>
              <w:ind w:left="740"/>
              <w:spacing w:after="0"/>
              <w:rPr>
                <w:sz w:val="20"/>
                <w:szCs w:val="20"/>
                <w:color w:val="auto"/>
              </w:rPr>
            </w:pPr>
            <w:r>
              <w:rPr>
                <w:rFonts w:ascii="Arial" w:cs="Arial" w:eastAsia="Arial" w:hAnsi="Arial"/>
                <w:sz w:val="14"/>
                <w:szCs w:val="14"/>
                <w:b w:val="1"/>
                <w:bCs w:val="1"/>
                <w:color w:val="auto"/>
              </w:rPr>
              <w:t xml:space="preserve">Exercise ($)    </w:t>
            </w:r>
          </w:p>
        </w:tc>
        <w:tc>
          <w:tcPr>
            <w:tcW w:w="2100" w:type="dxa"/>
            <w:vAlign w:val="bottom"/>
            <w:tcBorders>
              <w:bottom w:val="single" w:sz="8" w:color="95B3D7"/>
            </w:tcBorders>
            <w:shd w:val="clear" w:color="auto" w:fill="DBE5F1"/>
          </w:tcPr>
          <w:p>
            <w:pPr>
              <w:jc w:val="center"/>
              <w:ind w:left="273"/>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95B3D7"/>
              <w:right w:val="single" w:sz="8" w:color="95B3D7"/>
            </w:tcBorders>
            <w:shd w:val="clear" w:color="auto" w:fill="DBE5F1"/>
          </w:tcPr>
          <w:p>
            <w:pPr>
              <w:spacing w:after="0"/>
              <w:rPr>
                <w:sz w:val="16"/>
                <w:szCs w:val="16"/>
                <w:color w:val="auto"/>
              </w:rPr>
            </w:pPr>
          </w:p>
        </w:tc>
        <w:tc>
          <w:tcPr>
            <w:tcW w:w="2220" w:type="dxa"/>
            <w:vAlign w:val="bottom"/>
            <w:tcBorders>
              <w:bottom w:val="single" w:sz="8" w:color="95B3D7"/>
            </w:tcBorders>
            <w:shd w:val="clear" w:color="auto" w:fill="DBE5F1"/>
          </w:tcPr>
          <w:p>
            <w:pPr>
              <w:jc w:val="right"/>
              <w:ind w:right="509"/>
              <w:spacing w:after="0"/>
              <w:rPr>
                <w:sz w:val="20"/>
                <w:szCs w:val="20"/>
                <w:color w:val="auto"/>
              </w:rPr>
            </w:pPr>
            <w:r>
              <w:rPr>
                <w:rFonts w:ascii="Arial" w:cs="Arial" w:eastAsia="Arial" w:hAnsi="Arial"/>
                <w:sz w:val="14"/>
                <w:szCs w:val="14"/>
                <w:b w:val="1"/>
                <w:bCs w:val="1"/>
                <w:color w:val="auto"/>
              </w:rPr>
              <w:t>($)</w:t>
            </w:r>
          </w:p>
        </w:tc>
      </w:tr>
      <w:tr>
        <w:trPr>
          <w:trHeight w:val="156"/>
        </w:trPr>
        <w:tc>
          <w:tcPr>
            <w:tcW w:w="224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John Kao</w:t>
            </w:r>
          </w:p>
        </w:tc>
        <w:tc>
          <w:tcPr>
            <w:tcW w:w="1220" w:type="dxa"/>
            <w:vAlign w:val="bottom"/>
            <w:tcBorders>
              <w:bottom w:val="single" w:sz="8" w:color="95B3D7"/>
            </w:tcBorders>
          </w:tcPr>
          <w:p>
            <w:pPr>
              <w:jc w:val="center"/>
              <w:ind w:left="854"/>
              <w:spacing w:after="0"/>
              <w:rPr>
                <w:sz w:val="20"/>
                <w:szCs w:val="20"/>
                <w:color w:val="auto"/>
              </w:rPr>
            </w:pPr>
            <w:r>
              <w:rPr>
                <w:rFonts w:ascii="Arial" w:cs="Arial" w:eastAsia="Arial" w:hAnsi="Arial"/>
                <w:sz w:val="12"/>
                <w:szCs w:val="12"/>
                <w:color w:val="auto"/>
                <w:w w:val="74"/>
              </w:rPr>
              <w:t>— </w:t>
            </w:r>
          </w:p>
        </w:tc>
        <w:tc>
          <w:tcPr>
            <w:tcW w:w="340" w:type="dxa"/>
            <w:vAlign w:val="bottom"/>
            <w:tcBorders>
              <w:bottom w:val="single" w:sz="8" w:color="95B3D7"/>
            </w:tcBorders>
          </w:tcPr>
          <w:p>
            <w:pPr>
              <w:ind w:left="60"/>
              <w:spacing w:after="0" w:line="155" w:lineRule="exact"/>
              <w:rPr>
                <w:sz w:val="20"/>
                <w:szCs w:val="20"/>
                <w:color w:val="auto"/>
              </w:rPr>
            </w:pPr>
            <w:r>
              <w:rPr>
                <w:rFonts w:ascii="Arial" w:cs="Arial" w:eastAsia="Arial" w:hAnsi="Arial"/>
                <w:sz w:val="14"/>
                <w:szCs w:val="14"/>
                <w:color w:val="auto"/>
              </w:rPr>
              <w:t> </w:t>
            </w:r>
          </w:p>
        </w:tc>
        <w:tc>
          <w:tcPr>
            <w:tcW w:w="160" w:type="dxa"/>
            <w:vAlign w:val="bottom"/>
            <w:tcBorders>
              <w:bottom w:val="single" w:sz="8" w:color="95B3D7"/>
            </w:tcBorders>
          </w:tcPr>
          <w:p>
            <w:pPr>
              <w:spacing w:after="0"/>
              <w:rPr>
                <w:sz w:val="13"/>
                <w:szCs w:val="13"/>
                <w:color w:val="auto"/>
              </w:rPr>
            </w:pPr>
          </w:p>
        </w:tc>
        <w:tc>
          <w:tcPr>
            <w:tcW w:w="260" w:type="dxa"/>
            <w:vAlign w:val="bottom"/>
            <w:tcBorders>
              <w:bottom w:val="single" w:sz="8" w:color="95B3D7"/>
              <w:right w:val="single" w:sz="8" w:color="95B3D7"/>
            </w:tcBorders>
          </w:tcPr>
          <w:p>
            <w:pPr>
              <w:spacing w:after="0"/>
              <w:rPr>
                <w:sz w:val="13"/>
                <w:szCs w:val="13"/>
                <w:color w:val="auto"/>
              </w:rPr>
            </w:pPr>
          </w:p>
        </w:tc>
        <w:tc>
          <w:tcPr>
            <w:tcW w:w="1300" w:type="dxa"/>
            <w:vAlign w:val="bottom"/>
            <w:tcBorders>
              <w:bottom w:val="single" w:sz="8" w:color="95B3D7"/>
            </w:tcBorders>
          </w:tcPr>
          <w:p>
            <w:pPr>
              <w:ind w:left="1060"/>
              <w:spacing w:after="0" w:line="155" w:lineRule="exact"/>
              <w:rPr>
                <w:sz w:val="20"/>
                <w:szCs w:val="20"/>
                <w:color w:val="auto"/>
              </w:rPr>
            </w:pPr>
            <w:r>
              <w:rPr>
                <w:rFonts w:ascii="Arial" w:cs="Arial" w:eastAsia="Arial" w:hAnsi="Arial"/>
                <w:sz w:val="14"/>
                <w:szCs w:val="14"/>
                <w:color w:val="auto"/>
                <w:w w:val="78"/>
              </w:rPr>
              <w:t>— </w:t>
            </w:r>
          </w:p>
        </w:tc>
        <w:tc>
          <w:tcPr>
            <w:tcW w:w="760" w:type="dxa"/>
            <w:vAlign w:val="bottom"/>
            <w:tcBorders>
              <w:bottom w:val="single" w:sz="8" w:color="95B3D7"/>
              <w:right w:val="single" w:sz="8" w:color="95B3D7"/>
            </w:tcBorders>
          </w:tcPr>
          <w:p>
            <w:pPr>
              <w:ind w:left="60"/>
              <w:spacing w:after="0" w:line="155" w:lineRule="exact"/>
              <w:rPr>
                <w:sz w:val="20"/>
                <w:szCs w:val="20"/>
                <w:color w:val="auto"/>
              </w:rPr>
            </w:pPr>
            <w:r>
              <w:rPr>
                <w:rFonts w:ascii="Arial" w:cs="Arial" w:eastAsia="Arial" w:hAnsi="Arial"/>
                <w:sz w:val="14"/>
                <w:szCs w:val="14"/>
                <w:color w:val="auto"/>
              </w:rPr>
              <w:t> </w:t>
            </w:r>
          </w:p>
        </w:tc>
        <w:tc>
          <w:tcPr>
            <w:tcW w:w="2100" w:type="dxa"/>
            <w:vAlign w:val="bottom"/>
            <w:tcBorders>
              <w:bottom w:val="single" w:sz="8" w:color="95B3D7"/>
            </w:tcBorders>
          </w:tcPr>
          <w:p>
            <w:pPr>
              <w:jc w:val="right"/>
              <w:spacing w:after="0" w:line="156" w:lineRule="exact"/>
              <w:rPr>
                <w:sz w:val="20"/>
                <w:szCs w:val="20"/>
                <w:color w:val="auto"/>
              </w:rPr>
            </w:pPr>
            <w:r>
              <w:rPr>
                <w:rFonts w:ascii="Arial" w:cs="Arial" w:eastAsia="Arial" w:hAnsi="Arial"/>
                <w:sz w:val="13"/>
                <w:szCs w:val="13"/>
                <w:color w:val="auto"/>
              </w:rPr>
              <w:t>718,265</w:t>
            </w:r>
            <w:r>
              <w:rPr>
                <w:rFonts w:ascii="Arial" w:cs="Arial" w:eastAsia="Arial" w:hAnsi="Arial"/>
                <w:sz w:val="18"/>
                <w:szCs w:val="18"/>
                <w:color w:val="auto"/>
                <w:vertAlign w:val="superscript"/>
              </w:rPr>
              <w:t>(2)</w:t>
            </w:r>
          </w:p>
        </w:tc>
        <w:tc>
          <w:tcPr>
            <w:tcW w:w="420" w:type="dxa"/>
            <w:vAlign w:val="bottom"/>
            <w:tcBorders>
              <w:bottom w:val="single" w:sz="8" w:color="95B3D7"/>
              <w:right w:val="single" w:sz="8" w:color="95B3D7"/>
            </w:tcBorders>
          </w:tcPr>
          <w:p>
            <w:pPr>
              <w:spacing w:after="0"/>
              <w:rPr>
                <w:sz w:val="13"/>
                <w:szCs w:val="13"/>
                <w:color w:val="auto"/>
              </w:rPr>
            </w:pPr>
          </w:p>
        </w:tc>
        <w:tc>
          <w:tcPr>
            <w:tcW w:w="2220" w:type="dxa"/>
            <w:vAlign w:val="bottom"/>
            <w:tcBorders>
              <w:bottom w:val="single" w:sz="8" w:color="95B3D7"/>
            </w:tcBorders>
          </w:tcPr>
          <w:p>
            <w:pPr>
              <w:jc w:val="right"/>
              <w:spacing w:after="0" w:line="155" w:lineRule="exact"/>
              <w:rPr>
                <w:sz w:val="20"/>
                <w:szCs w:val="20"/>
                <w:color w:val="auto"/>
              </w:rPr>
            </w:pPr>
            <w:r>
              <w:rPr>
                <w:rFonts w:ascii="Arial" w:cs="Arial" w:eastAsia="Arial" w:hAnsi="Arial"/>
                <w:sz w:val="14"/>
                <w:szCs w:val="14"/>
                <w:color w:val="auto"/>
              </w:rPr>
              <w:t>4,435,357</w:t>
            </w:r>
          </w:p>
        </w:tc>
      </w:tr>
      <w:tr>
        <w:trPr>
          <w:trHeight w:val="155"/>
        </w:trPr>
        <w:tc>
          <w:tcPr>
            <w:tcW w:w="224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Thomas Freeman</w:t>
            </w:r>
          </w:p>
        </w:tc>
        <w:tc>
          <w:tcPr>
            <w:tcW w:w="1220" w:type="dxa"/>
            <w:vAlign w:val="bottom"/>
            <w:tcBorders>
              <w:bottom w:val="single" w:sz="8" w:color="95B3D7"/>
            </w:tcBorders>
            <w:shd w:val="clear" w:color="auto" w:fill="DBE5F1"/>
          </w:tcPr>
          <w:p>
            <w:pPr>
              <w:jc w:val="center"/>
              <w:ind w:left="854"/>
              <w:spacing w:after="0"/>
              <w:rPr>
                <w:sz w:val="20"/>
                <w:szCs w:val="20"/>
                <w:color w:val="auto"/>
              </w:rPr>
            </w:pPr>
            <w:r>
              <w:rPr>
                <w:rFonts w:ascii="Arial" w:cs="Arial" w:eastAsia="Arial" w:hAnsi="Arial"/>
                <w:sz w:val="12"/>
                <w:szCs w:val="12"/>
                <w:color w:val="auto"/>
                <w:w w:val="74"/>
              </w:rPr>
              <w:t>— </w:t>
            </w:r>
          </w:p>
        </w:tc>
        <w:tc>
          <w:tcPr>
            <w:tcW w:w="340" w:type="dxa"/>
            <w:vAlign w:val="bottom"/>
            <w:tcBorders>
              <w:bottom w:val="single" w:sz="8" w:color="95B3D7"/>
            </w:tcBorders>
            <w:shd w:val="clear" w:color="auto" w:fill="DBE5F1"/>
          </w:tcPr>
          <w:p>
            <w:pPr>
              <w:ind w:left="60"/>
              <w:spacing w:after="0" w:line="155" w:lineRule="exact"/>
              <w:rPr>
                <w:sz w:val="20"/>
                <w:szCs w:val="20"/>
                <w:color w:val="auto"/>
              </w:rPr>
            </w:pPr>
            <w:r>
              <w:rPr>
                <w:rFonts w:ascii="Arial" w:cs="Arial" w:eastAsia="Arial" w:hAnsi="Arial"/>
                <w:sz w:val="14"/>
                <w:szCs w:val="14"/>
                <w:color w:val="auto"/>
              </w:rPr>
              <w:t> </w:t>
            </w:r>
          </w:p>
        </w:tc>
        <w:tc>
          <w:tcPr>
            <w:tcW w:w="160" w:type="dxa"/>
            <w:vAlign w:val="bottom"/>
            <w:tcBorders>
              <w:bottom w:val="single" w:sz="8" w:color="95B3D7"/>
            </w:tcBorders>
            <w:shd w:val="clear" w:color="auto" w:fill="DBE5F1"/>
          </w:tcPr>
          <w:p>
            <w:pPr>
              <w:spacing w:after="0"/>
              <w:rPr>
                <w:sz w:val="13"/>
                <w:szCs w:val="13"/>
                <w:color w:val="auto"/>
              </w:rPr>
            </w:pPr>
          </w:p>
        </w:tc>
        <w:tc>
          <w:tcPr>
            <w:tcW w:w="260" w:type="dxa"/>
            <w:vAlign w:val="bottom"/>
            <w:tcBorders>
              <w:bottom w:val="single" w:sz="8" w:color="95B3D7"/>
              <w:right w:val="single" w:sz="8" w:color="95B3D7"/>
            </w:tcBorders>
            <w:shd w:val="clear" w:color="auto" w:fill="DBE5F1"/>
          </w:tcPr>
          <w:p>
            <w:pPr>
              <w:spacing w:after="0"/>
              <w:rPr>
                <w:sz w:val="13"/>
                <w:szCs w:val="13"/>
                <w:color w:val="auto"/>
              </w:rPr>
            </w:pPr>
          </w:p>
        </w:tc>
        <w:tc>
          <w:tcPr>
            <w:tcW w:w="1300" w:type="dxa"/>
            <w:vAlign w:val="bottom"/>
            <w:tcBorders>
              <w:bottom w:val="single" w:sz="8" w:color="95B3D7"/>
            </w:tcBorders>
            <w:shd w:val="clear" w:color="auto" w:fill="DBE5F1"/>
          </w:tcPr>
          <w:p>
            <w:pPr>
              <w:ind w:left="1060"/>
              <w:spacing w:after="0" w:line="155" w:lineRule="exact"/>
              <w:rPr>
                <w:sz w:val="20"/>
                <w:szCs w:val="20"/>
                <w:color w:val="auto"/>
              </w:rPr>
            </w:pPr>
            <w:r>
              <w:rPr>
                <w:rFonts w:ascii="Arial" w:cs="Arial" w:eastAsia="Arial" w:hAnsi="Arial"/>
                <w:sz w:val="14"/>
                <w:szCs w:val="14"/>
                <w:color w:val="auto"/>
                <w:w w:val="78"/>
              </w:rPr>
              <w:t>— </w:t>
            </w:r>
          </w:p>
        </w:tc>
        <w:tc>
          <w:tcPr>
            <w:tcW w:w="760" w:type="dxa"/>
            <w:vAlign w:val="bottom"/>
            <w:tcBorders>
              <w:bottom w:val="single" w:sz="8" w:color="95B3D7"/>
              <w:right w:val="single" w:sz="8" w:color="95B3D7"/>
            </w:tcBorders>
            <w:shd w:val="clear" w:color="auto" w:fill="DBE5F1"/>
          </w:tcPr>
          <w:p>
            <w:pPr>
              <w:ind w:left="60"/>
              <w:spacing w:after="0" w:line="155" w:lineRule="exact"/>
              <w:rPr>
                <w:sz w:val="20"/>
                <w:szCs w:val="20"/>
                <w:color w:val="auto"/>
              </w:rPr>
            </w:pPr>
            <w:r>
              <w:rPr>
                <w:rFonts w:ascii="Arial" w:cs="Arial" w:eastAsia="Arial" w:hAnsi="Arial"/>
                <w:sz w:val="14"/>
                <w:szCs w:val="14"/>
                <w:color w:val="auto"/>
              </w:rPr>
              <w:t> </w:t>
            </w:r>
          </w:p>
        </w:tc>
        <w:tc>
          <w:tcPr>
            <w:tcW w:w="2100" w:type="dxa"/>
            <w:vAlign w:val="bottom"/>
            <w:tcBorders>
              <w:bottom w:val="single" w:sz="8" w:color="95B3D7"/>
            </w:tcBorders>
            <w:shd w:val="clear" w:color="auto" w:fill="DBE5F1"/>
          </w:tcPr>
          <w:p>
            <w:pPr>
              <w:jc w:val="right"/>
              <w:spacing w:after="0" w:line="156" w:lineRule="exact"/>
              <w:rPr>
                <w:sz w:val="20"/>
                <w:szCs w:val="20"/>
                <w:color w:val="auto"/>
              </w:rPr>
            </w:pPr>
            <w:r>
              <w:rPr>
                <w:rFonts w:ascii="Arial" w:cs="Arial" w:eastAsia="Arial" w:hAnsi="Arial"/>
                <w:sz w:val="13"/>
                <w:szCs w:val="13"/>
                <w:color w:val="auto"/>
              </w:rPr>
              <w:t>274,749</w:t>
            </w:r>
            <w:r>
              <w:rPr>
                <w:rFonts w:ascii="Arial" w:cs="Arial" w:eastAsia="Arial" w:hAnsi="Arial"/>
                <w:sz w:val="18"/>
                <w:szCs w:val="18"/>
                <w:color w:val="auto"/>
                <w:vertAlign w:val="superscript"/>
              </w:rPr>
              <w:t>(3)</w:t>
            </w:r>
          </w:p>
        </w:tc>
        <w:tc>
          <w:tcPr>
            <w:tcW w:w="420" w:type="dxa"/>
            <w:vAlign w:val="bottom"/>
            <w:tcBorders>
              <w:bottom w:val="single" w:sz="8" w:color="95B3D7"/>
              <w:right w:val="single" w:sz="8" w:color="95B3D7"/>
            </w:tcBorders>
            <w:shd w:val="clear" w:color="auto" w:fill="DBE5F1"/>
          </w:tcPr>
          <w:p>
            <w:pPr>
              <w:spacing w:after="0"/>
              <w:rPr>
                <w:sz w:val="13"/>
                <w:szCs w:val="13"/>
                <w:color w:val="auto"/>
              </w:rPr>
            </w:pPr>
          </w:p>
        </w:tc>
        <w:tc>
          <w:tcPr>
            <w:tcW w:w="2220" w:type="dxa"/>
            <w:vAlign w:val="bottom"/>
            <w:tcBorders>
              <w:bottom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1,622,893</w:t>
            </w:r>
          </w:p>
        </w:tc>
      </w:tr>
      <w:tr>
        <w:trPr>
          <w:trHeight w:val="155"/>
        </w:trPr>
        <w:tc>
          <w:tcPr>
            <w:tcW w:w="224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Dawn Maroney</w:t>
            </w:r>
          </w:p>
        </w:tc>
        <w:tc>
          <w:tcPr>
            <w:tcW w:w="1220" w:type="dxa"/>
            <w:vAlign w:val="bottom"/>
            <w:tcBorders>
              <w:bottom w:val="single" w:sz="8" w:color="95B3D7"/>
            </w:tcBorders>
          </w:tcPr>
          <w:p>
            <w:pPr>
              <w:jc w:val="center"/>
              <w:ind w:left="854"/>
              <w:spacing w:after="0"/>
              <w:rPr>
                <w:sz w:val="20"/>
                <w:szCs w:val="20"/>
                <w:color w:val="auto"/>
              </w:rPr>
            </w:pPr>
            <w:r>
              <w:rPr>
                <w:rFonts w:ascii="Arial" w:cs="Arial" w:eastAsia="Arial" w:hAnsi="Arial"/>
                <w:sz w:val="12"/>
                <w:szCs w:val="12"/>
                <w:color w:val="auto"/>
                <w:w w:val="74"/>
              </w:rPr>
              <w:t>— </w:t>
            </w:r>
          </w:p>
        </w:tc>
        <w:tc>
          <w:tcPr>
            <w:tcW w:w="340" w:type="dxa"/>
            <w:vAlign w:val="bottom"/>
            <w:tcBorders>
              <w:bottom w:val="single" w:sz="8" w:color="95B3D7"/>
            </w:tcBorders>
          </w:tcPr>
          <w:p>
            <w:pPr>
              <w:ind w:left="60"/>
              <w:spacing w:after="0" w:line="155" w:lineRule="exact"/>
              <w:rPr>
                <w:sz w:val="20"/>
                <w:szCs w:val="20"/>
                <w:color w:val="auto"/>
              </w:rPr>
            </w:pPr>
            <w:r>
              <w:rPr>
                <w:rFonts w:ascii="Arial" w:cs="Arial" w:eastAsia="Arial" w:hAnsi="Arial"/>
                <w:sz w:val="14"/>
                <w:szCs w:val="14"/>
                <w:color w:val="auto"/>
              </w:rPr>
              <w:t> </w:t>
            </w:r>
          </w:p>
        </w:tc>
        <w:tc>
          <w:tcPr>
            <w:tcW w:w="160" w:type="dxa"/>
            <w:vAlign w:val="bottom"/>
            <w:tcBorders>
              <w:bottom w:val="single" w:sz="8" w:color="95B3D7"/>
            </w:tcBorders>
          </w:tcPr>
          <w:p>
            <w:pPr>
              <w:spacing w:after="0"/>
              <w:rPr>
                <w:sz w:val="13"/>
                <w:szCs w:val="13"/>
                <w:color w:val="auto"/>
              </w:rPr>
            </w:pPr>
          </w:p>
        </w:tc>
        <w:tc>
          <w:tcPr>
            <w:tcW w:w="260" w:type="dxa"/>
            <w:vAlign w:val="bottom"/>
            <w:tcBorders>
              <w:bottom w:val="single" w:sz="8" w:color="95B3D7"/>
              <w:right w:val="single" w:sz="8" w:color="95B3D7"/>
            </w:tcBorders>
          </w:tcPr>
          <w:p>
            <w:pPr>
              <w:spacing w:after="0"/>
              <w:rPr>
                <w:sz w:val="13"/>
                <w:szCs w:val="13"/>
                <w:color w:val="auto"/>
              </w:rPr>
            </w:pPr>
          </w:p>
        </w:tc>
        <w:tc>
          <w:tcPr>
            <w:tcW w:w="1300" w:type="dxa"/>
            <w:vAlign w:val="bottom"/>
            <w:tcBorders>
              <w:bottom w:val="single" w:sz="8" w:color="95B3D7"/>
            </w:tcBorders>
          </w:tcPr>
          <w:p>
            <w:pPr>
              <w:ind w:left="1060"/>
              <w:spacing w:after="0" w:line="155" w:lineRule="exact"/>
              <w:rPr>
                <w:sz w:val="20"/>
                <w:szCs w:val="20"/>
                <w:color w:val="auto"/>
              </w:rPr>
            </w:pPr>
            <w:r>
              <w:rPr>
                <w:rFonts w:ascii="Arial" w:cs="Arial" w:eastAsia="Arial" w:hAnsi="Arial"/>
                <w:sz w:val="14"/>
                <w:szCs w:val="14"/>
                <w:color w:val="auto"/>
                <w:w w:val="78"/>
              </w:rPr>
              <w:t>— </w:t>
            </w:r>
          </w:p>
        </w:tc>
        <w:tc>
          <w:tcPr>
            <w:tcW w:w="760" w:type="dxa"/>
            <w:vAlign w:val="bottom"/>
            <w:tcBorders>
              <w:bottom w:val="single" w:sz="8" w:color="95B3D7"/>
              <w:right w:val="single" w:sz="8" w:color="95B3D7"/>
            </w:tcBorders>
          </w:tcPr>
          <w:p>
            <w:pPr>
              <w:ind w:left="60"/>
              <w:spacing w:after="0" w:line="155" w:lineRule="exact"/>
              <w:rPr>
                <w:sz w:val="20"/>
                <w:szCs w:val="20"/>
                <w:color w:val="auto"/>
              </w:rPr>
            </w:pPr>
            <w:r>
              <w:rPr>
                <w:rFonts w:ascii="Arial" w:cs="Arial" w:eastAsia="Arial" w:hAnsi="Arial"/>
                <w:sz w:val="14"/>
                <w:szCs w:val="14"/>
                <w:color w:val="auto"/>
              </w:rPr>
              <w:t> </w:t>
            </w:r>
          </w:p>
        </w:tc>
        <w:tc>
          <w:tcPr>
            <w:tcW w:w="2100" w:type="dxa"/>
            <w:vAlign w:val="bottom"/>
            <w:tcBorders>
              <w:bottom w:val="single" w:sz="8" w:color="95B3D7"/>
            </w:tcBorders>
          </w:tcPr>
          <w:p>
            <w:pPr>
              <w:jc w:val="right"/>
              <w:spacing w:after="0" w:line="156" w:lineRule="exact"/>
              <w:rPr>
                <w:sz w:val="20"/>
                <w:szCs w:val="20"/>
                <w:color w:val="auto"/>
              </w:rPr>
            </w:pPr>
            <w:r>
              <w:rPr>
                <w:rFonts w:ascii="Arial" w:cs="Arial" w:eastAsia="Arial" w:hAnsi="Arial"/>
                <w:sz w:val="13"/>
                <w:szCs w:val="13"/>
                <w:color w:val="auto"/>
              </w:rPr>
              <w:t>362,376</w:t>
            </w:r>
            <w:r>
              <w:rPr>
                <w:rFonts w:ascii="Arial" w:cs="Arial" w:eastAsia="Arial" w:hAnsi="Arial"/>
                <w:sz w:val="18"/>
                <w:szCs w:val="18"/>
                <w:color w:val="auto"/>
                <w:vertAlign w:val="superscript"/>
              </w:rPr>
              <w:t>(4)</w:t>
            </w:r>
          </w:p>
        </w:tc>
        <w:tc>
          <w:tcPr>
            <w:tcW w:w="420" w:type="dxa"/>
            <w:vAlign w:val="bottom"/>
            <w:tcBorders>
              <w:bottom w:val="single" w:sz="8" w:color="95B3D7"/>
              <w:right w:val="single" w:sz="8" w:color="95B3D7"/>
            </w:tcBorders>
          </w:tcPr>
          <w:p>
            <w:pPr>
              <w:spacing w:after="0"/>
              <w:rPr>
                <w:sz w:val="13"/>
                <w:szCs w:val="13"/>
                <w:color w:val="auto"/>
              </w:rPr>
            </w:pPr>
          </w:p>
        </w:tc>
        <w:tc>
          <w:tcPr>
            <w:tcW w:w="2220" w:type="dxa"/>
            <w:vAlign w:val="bottom"/>
            <w:tcBorders>
              <w:bottom w:val="single" w:sz="8" w:color="95B3D7"/>
            </w:tcBorders>
          </w:tcPr>
          <w:p>
            <w:pPr>
              <w:jc w:val="right"/>
              <w:spacing w:after="0" w:line="155" w:lineRule="exact"/>
              <w:rPr>
                <w:sz w:val="20"/>
                <w:szCs w:val="20"/>
                <w:color w:val="auto"/>
              </w:rPr>
            </w:pPr>
            <w:r>
              <w:rPr>
                <w:rFonts w:ascii="Arial" w:cs="Arial" w:eastAsia="Arial" w:hAnsi="Arial"/>
                <w:sz w:val="14"/>
                <w:szCs w:val="14"/>
                <w:color w:val="auto"/>
              </w:rPr>
              <w:t>2,136,752</w:t>
            </w:r>
          </w:p>
        </w:tc>
      </w:tr>
      <w:tr>
        <w:trPr>
          <w:trHeight w:val="155"/>
        </w:trPr>
        <w:tc>
          <w:tcPr>
            <w:tcW w:w="224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Hakan Kardes</w:t>
            </w:r>
          </w:p>
        </w:tc>
        <w:tc>
          <w:tcPr>
            <w:tcW w:w="1220" w:type="dxa"/>
            <w:vAlign w:val="bottom"/>
            <w:tcBorders>
              <w:bottom w:val="single" w:sz="8" w:color="95B3D7"/>
            </w:tcBorders>
            <w:shd w:val="clear" w:color="auto" w:fill="DBE5F1"/>
          </w:tcPr>
          <w:p>
            <w:pPr>
              <w:jc w:val="center"/>
              <w:ind w:left="854"/>
              <w:spacing w:after="0"/>
              <w:rPr>
                <w:sz w:val="20"/>
                <w:szCs w:val="20"/>
                <w:color w:val="auto"/>
              </w:rPr>
            </w:pPr>
            <w:r>
              <w:rPr>
                <w:rFonts w:ascii="Arial" w:cs="Arial" w:eastAsia="Arial" w:hAnsi="Arial"/>
                <w:sz w:val="12"/>
                <w:szCs w:val="12"/>
                <w:color w:val="auto"/>
                <w:w w:val="74"/>
              </w:rPr>
              <w:t>— </w:t>
            </w:r>
          </w:p>
        </w:tc>
        <w:tc>
          <w:tcPr>
            <w:tcW w:w="340" w:type="dxa"/>
            <w:vAlign w:val="bottom"/>
            <w:tcBorders>
              <w:bottom w:val="single" w:sz="8" w:color="95B3D7"/>
            </w:tcBorders>
            <w:shd w:val="clear" w:color="auto" w:fill="DBE5F1"/>
          </w:tcPr>
          <w:p>
            <w:pPr>
              <w:ind w:left="60"/>
              <w:spacing w:after="0" w:line="155" w:lineRule="exact"/>
              <w:rPr>
                <w:sz w:val="20"/>
                <w:szCs w:val="20"/>
                <w:color w:val="auto"/>
              </w:rPr>
            </w:pPr>
            <w:r>
              <w:rPr>
                <w:rFonts w:ascii="Arial" w:cs="Arial" w:eastAsia="Arial" w:hAnsi="Arial"/>
                <w:sz w:val="14"/>
                <w:szCs w:val="14"/>
                <w:color w:val="auto"/>
              </w:rPr>
              <w:t> </w:t>
            </w:r>
          </w:p>
        </w:tc>
        <w:tc>
          <w:tcPr>
            <w:tcW w:w="160" w:type="dxa"/>
            <w:vAlign w:val="bottom"/>
            <w:tcBorders>
              <w:bottom w:val="single" w:sz="8" w:color="95B3D7"/>
            </w:tcBorders>
            <w:shd w:val="clear" w:color="auto" w:fill="DBE5F1"/>
          </w:tcPr>
          <w:p>
            <w:pPr>
              <w:spacing w:after="0"/>
              <w:rPr>
                <w:sz w:val="13"/>
                <w:szCs w:val="13"/>
                <w:color w:val="auto"/>
              </w:rPr>
            </w:pPr>
          </w:p>
        </w:tc>
        <w:tc>
          <w:tcPr>
            <w:tcW w:w="260" w:type="dxa"/>
            <w:vAlign w:val="bottom"/>
            <w:tcBorders>
              <w:bottom w:val="single" w:sz="8" w:color="95B3D7"/>
              <w:right w:val="single" w:sz="8" w:color="95B3D7"/>
            </w:tcBorders>
            <w:shd w:val="clear" w:color="auto" w:fill="DBE5F1"/>
          </w:tcPr>
          <w:p>
            <w:pPr>
              <w:spacing w:after="0"/>
              <w:rPr>
                <w:sz w:val="13"/>
                <w:szCs w:val="13"/>
                <w:color w:val="auto"/>
              </w:rPr>
            </w:pPr>
          </w:p>
        </w:tc>
        <w:tc>
          <w:tcPr>
            <w:tcW w:w="1300" w:type="dxa"/>
            <w:vAlign w:val="bottom"/>
            <w:tcBorders>
              <w:bottom w:val="single" w:sz="8" w:color="95B3D7"/>
            </w:tcBorders>
            <w:shd w:val="clear" w:color="auto" w:fill="DBE5F1"/>
          </w:tcPr>
          <w:p>
            <w:pPr>
              <w:ind w:left="1060"/>
              <w:spacing w:after="0" w:line="155" w:lineRule="exact"/>
              <w:rPr>
                <w:sz w:val="20"/>
                <w:szCs w:val="20"/>
                <w:color w:val="auto"/>
              </w:rPr>
            </w:pPr>
            <w:r>
              <w:rPr>
                <w:rFonts w:ascii="Arial" w:cs="Arial" w:eastAsia="Arial" w:hAnsi="Arial"/>
                <w:sz w:val="14"/>
                <w:szCs w:val="14"/>
                <w:color w:val="auto"/>
                <w:w w:val="78"/>
              </w:rPr>
              <w:t>— </w:t>
            </w:r>
          </w:p>
        </w:tc>
        <w:tc>
          <w:tcPr>
            <w:tcW w:w="760" w:type="dxa"/>
            <w:vAlign w:val="bottom"/>
            <w:tcBorders>
              <w:bottom w:val="single" w:sz="8" w:color="95B3D7"/>
              <w:right w:val="single" w:sz="8" w:color="95B3D7"/>
            </w:tcBorders>
            <w:shd w:val="clear" w:color="auto" w:fill="DBE5F1"/>
          </w:tcPr>
          <w:p>
            <w:pPr>
              <w:ind w:left="60"/>
              <w:spacing w:after="0" w:line="155" w:lineRule="exact"/>
              <w:rPr>
                <w:sz w:val="20"/>
                <w:szCs w:val="20"/>
                <w:color w:val="auto"/>
              </w:rPr>
            </w:pPr>
            <w:r>
              <w:rPr>
                <w:rFonts w:ascii="Arial" w:cs="Arial" w:eastAsia="Arial" w:hAnsi="Arial"/>
                <w:sz w:val="14"/>
                <w:szCs w:val="14"/>
                <w:color w:val="auto"/>
              </w:rPr>
              <w:t> </w:t>
            </w:r>
          </w:p>
        </w:tc>
        <w:tc>
          <w:tcPr>
            <w:tcW w:w="2100" w:type="dxa"/>
            <w:vAlign w:val="bottom"/>
            <w:tcBorders>
              <w:bottom w:val="single" w:sz="8" w:color="95B3D7"/>
            </w:tcBorders>
            <w:shd w:val="clear" w:color="auto" w:fill="DBE5F1"/>
          </w:tcPr>
          <w:p>
            <w:pPr>
              <w:jc w:val="right"/>
              <w:spacing w:after="0" w:line="156" w:lineRule="exact"/>
              <w:rPr>
                <w:sz w:val="20"/>
                <w:szCs w:val="20"/>
                <w:color w:val="auto"/>
              </w:rPr>
            </w:pPr>
            <w:r>
              <w:rPr>
                <w:rFonts w:ascii="Arial" w:cs="Arial" w:eastAsia="Arial" w:hAnsi="Arial"/>
                <w:sz w:val="13"/>
                <w:szCs w:val="13"/>
                <w:color w:val="auto"/>
              </w:rPr>
              <w:t>132,482</w:t>
            </w:r>
            <w:r>
              <w:rPr>
                <w:rFonts w:ascii="Arial" w:cs="Arial" w:eastAsia="Arial" w:hAnsi="Arial"/>
                <w:sz w:val="18"/>
                <w:szCs w:val="18"/>
                <w:color w:val="auto"/>
                <w:vertAlign w:val="superscript"/>
              </w:rPr>
              <w:t>(5)</w:t>
            </w:r>
          </w:p>
        </w:tc>
        <w:tc>
          <w:tcPr>
            <w:tcW w:w="420" w:type="dxa"/>
            <w:vAlign w:val="bottom"/>
            <w:tcBorders>
              <w:bottom w:val="single" w:sz="8" w:color="95B3D7"/>
              <w:right w:val="single" w:sz="8" w:color="95B3D7"/>
            </w:tcBorders>
            <w:shd w:val="clear" w:color="auto" w:fill="DBE5F1"/>
          </w:tcPr>
          <w:p>
            <w:pPr>
              <w:spacing w:after="0"/>
              <w:rPr>
                <w:sz w:val="13"/>
                <w:szCs w:val="13"/>
                <w:color w:val="auto"/>
              </w:rPr>
            </w:pPr>
          </w:p>
        </w:tc>
        <w:tc>
          <w:tcPr>
            <w:tcW w:w="2220" w:type="dxa"/>
            <w:vAlign w:val="bottom"/>
            <w:tcBorders>
              <w:bottom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1,010,924</w:t>
            </w:r>
          </w:p>
        </w:tc>
      </w:tr>
      <w:tr>
        <w:trPr>
          <w:trHeight w:val="155"/>
        </w:trPr>
        <w:tc>
          <w:tcPr>
            <w:tcW w:w="224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Hyong (Ken) Kim, M.D.</w:t>
            </w:r>
          </w:p>
        </w:tc>
        <w:tc>
          <w:tcPr>
            <w:tcW w:w="1220" w:type="dxa"/>
            <w:vAlign w:val="bottom"/>
            <w:tcBorders>
              <w:bottom w:val="single" w:sz="8" w:color="95B3D7"/>
            </w:tcBorders>
          </w:tcPr>
          <w:p>
            <w:pPr>
              <w:jc w:val="center"/>
              <w:ind w:left="854"/>
              <w:spacing w:after="0"/>
              <w:rPr>
                <w:sz w:val="20"/>
                <w:szCs w:val="20"/>
                <w:color w:val="auto"/>
              </w:rPr>
            </w:pPr>
            <w:r>
              <w:rPr>
                <w:rFonts w:ascii="Arial" w:cs="Arial" w:eastAsia="Arial" w:hAnsi="Arial"/>
                <w:sz w:val="12"/>
                <w:szCs w:val="12"/>
                <w:color w:val="auto"/>
                <w:w w:val="74"/>
              </w:rPr>
              <w:t>— </w:t>
            </w:r>
          </w:p>
        </w:tc>
        <w:tc>
          <w:tcPr>
            <w:tcW w:w="340" w:type="dxa"/>
            <w:vAlign w:val="bottom"/>
            <w:tcBorders>
              <w:bottom w:val="single" w:sz="8" w:color="95B3D7"/>
            </w:tcBorders>
          </w:tcPr>
          <w:p>
            <w:pPr>
              <w:ind w:left="60"/>
              <w:spacing w:after="0" w:line="155" w:lineRule="exact"/>
              <w:rPr>
                <w:sz w:val="20"/>
                <w:szCs w:val="20"/>
                <w:color w:val="auto"/>
              </w:rPr>
            </w:pPr>
            <w:r>
              <w:rPr>
                <w:rFonts w:ascii="Arial" w:cs="Arial" w:eastAsia="Arial" w:hAnsi="Arial"/>
                <w:sz w:val="14"/>
                <w:szCs w:val="14"/>
                <w:color w:val="auto"/>
              </w:rPr>
              <w:t> </w:t>
            </w:r>
          </w:p>
        </w:tc>
        <w:tc>
          <w:tcPr>
            <w:tcW w:w="160" w:type="dxa"/>
            <w:vAlign w:val="bottom"/>
            <w:tcBorders>
              <w:bottom w:val="single" w:sz="8" w:color="95B3D7"/>
            </w:tcBorders>
          </w:tcPr>
          <w:p>
            <w:pPr>
              <w:spacing w:after="0"/>
              <w:rPr>
                <w:sz w:val="13"/>
                <w:szCs w:val="13"/>
                <w:color w:val="auto"/>
              </w:rPr>
            </w:pPr>
          </w:p>
        </w:tc>
        <w:tc>
          <w:tcPr>
            <w:tcW w:w="260" w:type="dxa"/>
            <w:vAlign w:val="bottom"/>
            <w:tcBorders>
              <w:bottom w:val="single" w:sz="8" w:color="95B3D7"/>
              <w:right w:val="single" w:sz="8" w:color="95B3D7"/>
            </w:tcBorders>
          </w:tcPr>
          <w:p>
            <w:pPr>
              <w:spacing w:after="0"/>
              <w:rPr>
                <w:sz w:val="13"/>
                <w:szCs w:val="13"/>
                <w:color w:val="auto"/>
              </w:rPr>
            </w:pPr>
          </w:p>
        </w:tc>
        <w:tc>
          <w:tcPr>
            <w:tcW w:w="1300" w:type="dxa"/>
            <w:vAlign w:val="bottom"/>
            <w:tcBorders>
              <w:bottom w:val="single" w:sz="8" w:color="95B3D7"/>
            </w:tcBorders>
          </w:tcPr>
          <w:p>
            <w:pPr>
              <w:ind w:left="1060"/>
              <w:spacing w:after="0" w:line="155" w:lineRule="exact"/>
              <w:rPr>
                <w:sz w:val="20"/>
                <w:szCs w:val="20"/>
                <w:color w:val="auto"/>
              </w:rPr>
            </w:pPr>
            <w:r>
              <w:rPr>
                <w:rFonts w:ascii="Arial" w:cs="Arial" w:eastAsia="Arial" w:hAnsi="Arial"/>
                <w:sz w:val="14"/>
                <w:szCs w:val="14"/>
                <w:color w:val="auto"/>
                <w:w w:val="78"/>
              </w:rPr>
              <w:t>— </w:t>
            </w:r>
          </w:p>
        </w:tc>
        <w:tc>
          <w:tcPr>
            <w:tcW w:w="760" w:type="dxa"/>
            <w:vAlign w:val="bottom"/>
            <w:tcBorders>
              <w:bottom w:val="single" w:sz="8" w:color="95B3D7"/>
              <w:right w:val="single" w:sz="8" w:color="95B3D7"/>
            </w:tcBorders>
          </w:tcPr>
          <w:p>
            <w:pPr>
              <w:ind w:left="60"/>
              <w:spacing w:after="0" w:line="155" w:lineRule="exact"/>
              <w:rPr>
                <w:sz w:val="20"/>
                <w:szCs w:val="20"/>
                <w:color w:val="auto"/>
              </w:rPr>
            </w:pPr>
            <w:r>
              <w:rPr>
                <w:rFonts w:ascii="Arial" w:cs="Arial" w:eastAsia="Arial" w:hAnsi="Arial"/>
                <w:sz w:val="14"/>
                <w:szCs w:val="14"/>
                <w:color w:val="auto"/>
              </w:rPr>
              <w:t> </w:t>
            </w:r>
          </w:p>
        </w:tc>
        <w:tc>
          <w:tcPr>
            <w:tcW w:w="2100" w:type="dxa"/>
            <w:vAlign w:val="bottom"/>
            <w:tcBorders>
              <w:bottom w:val="single" w:sz="8" w:color="95B3D7"/>
            </w:tcBorders>
          </w:tcPr>
          <w:p>
            <w:pPr>
              <w:jc w:val="right"/>
              <w:ind w:right="693"/>
              <w:spacing w:after="0" w:line="155" w:lineRule="exact"/>
              <w:rPr>
                <w:sz w:val="20"/>
                <w:szCs w:val="20"/>
                <w:color w:val="auto"/>
              </w:rPr>
            </w:pPr>
            <w:r>
              <w:rPr>
                <w:rFonts w:ascii="Arial" w:cs="Arial" w:eastAsia="Arial" w:hAnsi="Arial"/>
                <w:sz w:val="14"/>
                <w:szCs w:val="14"/>
                <w:color w:val="auto"/>
              </w:rPr>
              <w:t>—</w:t>
            </w:r>
          </w:p>
        </w:tc>
        <w:tc>
          <w:tcPr>
            <w:tcW w:w="420" w:type="dxa"/>
            <w:vAlign w:val="bottom"/>
            <w:tcBorders>
              <w:bottom w:val="single" w:sz="8" w:color="95B3D7"/>
              <w:right w:val="single" w:sz="8" w:color="95B3D7"/>
            </w:tcBorders>
          </w:tcPr>
          <w:p>
            <w:pPr>
              <w:spacing w:after="0"/>
              <w:rPr>
                <w:sz w:val="13"/>
                <w:szCs w:val="13"/>
                <w:color w:val="auto"/>
              </w:rPr>
            </w:pPr>
          </w:p>
        </w:tc>
        <w:tc>
          <w:tcPr>
            <w:tcW w:w="2220" w:type="dxa"/>
            <w:vAlign w:val="bottom"/>
            <w:tcBorders>
              <w:bottom w:val="single" w:sz="8" w:color="95B3D7"/>
            </w:tcBorders>
          </w:tcPr>
          <w:p>
            <w:pPr>
              <w:jc w:val="right"/>
              <w:ind w:right="489"/>
              <w:spacing w:after="0" w:line="155" w:lineRule="exact"/>
              <w:rPr>
                <w:sz w:val="20"/>
                <w:szCs w:val="20"/>
                <w:color w:val="auto"/>
              </w:rPr>
            </w:pPr>
            <w:r>
              <w:rPr>
                <w:rFonts w:ascii="Arial" w:cs="Arial" w:eastAsia="Arial" w:hAnsi="Arial"/>
                <w:sz w:val="14"/>
                <w:szCs w:val="14"/>
                <w:color w:val="auto"/>
              </w:rPr>
              <w:t>—</w:t>
            </w:r>
          </w:p>
        </w:tc>
      </w:tr>
    </w:tbl>
    <w:p>
      <w:pPr>
        <w:spacing w:after="0" w:line="234" w:lineRule="exact"/>
        <w:rPr>
          <w:sz w:val="20"/>
          <w:szCs w:val="20"/>
          <w:color w:val="auto"/>
        </w:rPr>
      </w:pPr>
    </w:p>
    <w:p>
      <w:pPr>
        <w:ind w:left="760" w:right="320" w:hanging="332"/>
        <w:spacing w:after="0" w:line="285" w:lineRule="auto"/>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dollar amounts shown in the “Value Realized on Vesting” column are determined by multiplying (i) the number of shares that vested, by (ii) the per-share closing market price of our common stock on the vesting date.</w:t>
      </w:r>
    </w:p>
    <w:p>
      <w:pPr>
        <w:spacing w:after="0" w:line="184" w:lineRule="exact"/>
        <w:rPr>
          <w:rFonts w:ascii="Arial" w:cs="Arial" w:eastAsia="Arial" w:hAnsi="Arial"/>
          <w:sz w:val="14"/>
          <w:szCs w:val="14"/>
          <w:color w:val="auto"/>
        </w:rPr>
      </w:pPr>
    </w:p>
    <w:p>
      <w:pPr>
        <w:ind w:left="760" w:right="120" w:hanging="332"/>
        <w:spacing w:after="0" w:line="256" w:lineRule="auto"/>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(a) 77,758 shares issued upon vesting of RSUs with a value realized on vesting based on a per-share closing market price of $6.20; (b) 124,173 shares issued upon vesting of RSUs with a value realized on vesting based on a per-share closing market price of $6.88; (c) 245,653 restricted shares with a value realized on vesting based on a per-share closing market price of $6.23; (d) 43,539 restricted shares with a value realized on vesting based on a per-share closing market price of $5.35; and (e) 227,142 restricted shares with a value realized on vesting based on a per-share closing market price of $5.88.</w:t>
      </w:r>
    </w:p>
    <w:p>
      <w:pPr>
        <w:spacing w:after="0" w:line="82" w:lineRule="exact"/>
        <w:rPr>
          <w:rFonts w:ascii="Arial" w:cs="Arial" w:eastAsia="Arial" w:hAnsi="Arial"/>
          <w:sz w:val="14"/>
          <w:szCs w:val="14"/>
          <w:color w:val="auto"/>
        </w:rPr>
      </w:pPr>
    </w:p>
    <w:p>
      <w:pPr>
        <w:ind w:left="760" w:right="40" w:hanging="332"/>
        <w:spacing w:after="0" w:line="252" w:lineRule="auto"/>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(a) 15,143 shares issued upon vesting of RSUs with a value realized on vesting based on a per-share closing market price of $6.20; (b) 34,148 shares issued upon vesting of RSUs with a value realized on vesting based on a per-share closing market price of $6.88; (c) 63,035 restricted shares with a value realized on vesting based on a per-share closing market price of $6.23; (d) 101,296 restricted shares with a value realized on vesting based on a per-share closing market price of $5.35; and (e) 61,127 restricted shares with a value realized on vesting based on a per-share closing market price of $5.88. 183,555 restricted shares which vested are held by FCO Holdings LLC, a limited liability company owned by FCO Holdings Trust One, an irrevocable trust.</w:t>
      </w:r>
    </w:p>
    <w:p>
      <w:pPr>
        <w:spacing w:after="0" w:line="86" w:lineRule="exact"/>
        <w:rPr>
          <w:rFonts w:ascii="Arial" w:cs="Arial" w:eastAsia="Arial" w:hAnsi="Arial"/>
          <w:sz w:val="14"/>
          <w:szCs w:val="14"/>
          <w:color w:val="auto"/>
        </w:rPr>
      </w:pPr>
    </w:p>
    <w:p>
      <w:pPr>
        <w:ind w:left="760" w:right="40" w:hanging="332"/>
        <w:spacing w:after="0" w:line="256" w:lineRule="auto"/>
        <w:tabs>
          <w:tab w:leader="none" w:pos="7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Represents (a) 20,463 shares issued upon vesting of RSUs with a value realized on vesting based on a per-share closing market price of $6.20; (b) 51,739 shares issued upon vesting of RSUs with a value realized on vesting based on a per-share closing market price of $6.88; (c) 66,238 restricted shares with a value realized on vesting based on a per-share closing market price of $6.23; (d) 142,433 restricted shares with a value realized on vesting based on a per-share closing market price of $5.35; and (e) 81,503 restricted shares with a value realized on vesting based on a per-share closing market price of $5.88.</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20"/>
          </w:cols>
          <w:pgMar w:left="440" w:top="297" w:right="439" w:bottom="1440" w:gutter="0" w:footer="0" w:header="0"/>
        </w:sectPr>
      </w:pPr>
    </w:p>
    <w:bookmarkStart w:id="68" w:name="page69"/>
    <w:bookmarkEnd w:id="68"/>
    <w:p>
      <w:pPr>
        <w:ind w:left="764" w:right="40" w:hanging="332"/>
        <w:spacing w:after="0" w:line="250" w:lineRule="auto"/>
        <w:tabs>
          <w:tab w:leader="none" w:pos="764" w:val="left"/>
        </w:tabs>
        <w:numPr>
          <w:ilvl w:val="0"/>
          <w:numId w:val="52"/>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Represents (a) 17,875 shares issued upon vesting of RSUs with a value realized on vesting based on a per-share closing market price of $6.20; (b) 12,418 shares issued upon vesting of RSUs with a value realized on vesting based on a per-share closing market price of $6.88; (c) 40,768 restricted shares with a value realized on vesting based on a per-share closing market price of $11.05; (d) 20,384 restricted shares with a value realized on vesting based on a per-share closing market price of $6.23; (e) 20,566 restricted shares with a value realized on vesting based on a per-share closing market price of $5.45; (f) 10,188 restricted shares with a value realized on vesting based on a per-share closing market price of $5.88; and (g) 10,283 restricted shares with a value realized on vesting based on a per-share closing market price of $6.54.</w:t>
      </w:r>
    </w:p>
    <w:p>
      <w:pPr>
        <w:spacing w:after="0" w:line="2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1F497D"/>
        </w:rPr>
        <w:t>Potential Payments Upon Termination or Change in Control</w:t>
      </w:r>
    </w:p>
    <w:p>
      <w:pPr>
        <w:spacing w:after="0" w:line="214"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1F497D"/>
        </w:rPr>
        <w:t>Severance Payments and Benefits</w:t>
      </w:r>
    </w:p>
    <w:p>
      <w:pPr>
        <w:spacing w:after="0" w:line="210" w:lineRule="exact"/>
        <w:rPr>
          <w:sz w:val="20"/>
          <w:szCs w:val="20"/>
          <w:color w:val="auto"/>
        </w:rPr>
      </w:pPr>
    </w:p>
    <w:p>
      <w:pPr>
        <w:ind w:left="4" w:right="240" w:firstLine="440"/>
        <w:spacing w:after="0" w:line="247" w:lineRule="auto"/>
        <w:rPr>
          <w:sz w:val="20"/>
          <w:szCs w:val="20"/>
          <w:color w:val="auto"/>
        </w:rPr>
      </w:pPr>
      <w:r>
        <w:rPr>
          <w:rFonts w:ascii="Arial" w:cs="Arial" w:eastAsia="Arial" w:hAnsi="Arial"/>
          <w:sz w:val="18"/>
          <w:szCs w:val="18"/>
          <w:color w:val="auto"/>
        </w:rPr>
        <w:t>Under each of the NEO Employment Agreements, upon a termination of employment for any reason, the Named Executive Officer would receive (i) the unpaid portion of any accrued base salary and paid-time-off through the termination date, (ii) reimbursement of expenses not previously reimbursed and (iii) continuation of health insurance coverage as required under applicable law (“Accrued Benefits”).</w:t>
      </w:r>
    </w:p>
    <w:p>
      <w:pPr>
        <w:spacing w:after="0" w:line="174" w:lineRule="exact"/>
        <w:rPr>
          <w:sz w:val="20"/>
          <w:szCs w:val="20"/>
          <w:color w:val="auto"/>
        </w:rPr>
      </w:pPr>
    </w:p>
    <w:p>
      <w:pPr>
        <w:ind w:left="4" w:right="20" w:firstLine="440"/>
        <w:spacing w:after="0" w:line="275" w:lineRule="auto"/>
        <w:rPr>
          <w:sz w:val="20"/>
          <w:szCs w:val="20"/>
          <w:color w:val="auto"/>
        </w:rPr>
      </w:pPr>
      <w:r>
        <w:rPr>
          <w:rFonts w:ascii="Arial" w:cs="Arial" w:eastAsia="Arial" w:hAnsi="Arial"/>
          <w:sz w:val="17"/>
          <w:szCs w:val="17"/>
          <w:color w:val="auto"/>
        </w:rPr>
        <w:t>In the event of the Named Executive Officer’s death, disability, or delivery by the Named Executive Officer of a notice of non-renewal, in addition to the Accrued Benefits, the Named Executive Officer would receive his or her accrued but unpaid bonus for the calendar year preceding the year of termination, payable at the time bonuses for such calendar year are otherwise payable to other senior executives.</w:t>
      </w:r>
    </w:p>
    <w:p>
      <w:pPr>
        <w:spacing w:after="0" w:line="152" w:lineRule="exact"/>
        <w:rPr>
          <w:sz w:val="20"/>
          <w:szCs w:val="20"/>
          <w:color w:val="auto"/>
        </w:rPr>
      </w:pPr>
    </w:p>
    <w:p>
      <w:pPr>
        <w:ind w:left="4" w:right="20" w:firstLine="440"/>
        <w:spacing w:after="0" w:line="237" w:lineRule="auto"/>
        <w:rPr>
          <w:sz w:val="20"/>
          <w:szCs w:val="20"/>
          <w:color w:val="auto"/>
        </w:rPr>
      </w:pPr>
      <w:r>
        <w:rPr>
          <w:rFonts w:ascii="Arial" w:cs="Arial" w:eastAsia="Arial" w:hAnsi="Arial"/>
          <w:sz w:val="18"/>
          <w:szCs w:val="18"/>
          <w:color w:val="auto"/>
        </w:rPr>
        <w:t>Upon a termination of employment by the Company without “cause,” a resignation by the Named Executive Officer for “good reason,” or a termination of employment due to the delivery of a notice of non-renewal by the Company to the Named Executive Officer, subject to the execution and delivery of a release of claims and the Named Executive Officer’s continued compliance with restrictive covenants (as described below), each of our Named Executive Officers would receive the following severance payments and benefits (in addition to the Accrued Benefits): (i) cash payment equal to one times (two times for Mr. Kao) the sum of the Named Executive Officer’s (A) base salary and (B) target annual cash incentive bonus, paid in substantially equal installments over the 12-month (24-month for Mr. Kao) period following termination in accordance with the Company’s normal payroll practices; (ii) prorated portion of the Named Executive Officer’s annual cash incentive bonus for the year of termination (except for Mr. Kao, whose annual cash incentive bonus for the year of termination would not be prorated), determined after the end of the year of termination and based on the amount the Named Executive Officer would have been paid had his or her employment not been terminated; and (iii) if the Named Executive Officer timely elects for COBRA benefits, payment or reimbursement of the Named Executive Officer’s share of COBRA premiums until the earlier of (A) the first annual anniversary of termination or (B) the date that the Named Executive Officer is eligible to receive health benefits through a new employer. The foregoing severance benefits are payable in lieu of any other benefits the Named Executive Officer may be entitled to under a separate severance agreement or executive severance plan.</w:t>
      </w:r>
    </w:p>
    <w:p>
      <w:pPr>
        <w:spacing w:after="0" w:line="189" w:lineRule="exact"/>
        <w:rPr>
          <w:sz w:val="20"/>
          <w:szCs w:val="20"/>
          <w:color w:val="auto"/>
        </w:rPr>
      </w:pPr>
    </w:p>
    <w:p>
      <w:pPr>
        <w:ind w:left="4" w:right="260" w:firstLine="440"/>
        <w:spacing w:after="0" w:line="253" w:lineRule="auto"/>
        <w:rPr>
          <w:sz w:val="20"/>
          <w:szCs w:val="20"/>
          <w:color w:val="auto"/>
        </w:rPr>
      </w:pPr>
      <w:r>
        <w:rPr>
          <w:rFonts w:ascii="Arial" w:cs="Arial" w:eastAsia="Arial" w:hAnsi="Arial"/>
          <w:sz w:val="18"/>
          <w:szCs w:val="18"/>
          <w:color w:val="auto"/>
        </w:rPr>
        <w:t>Each Named Executive Officer is subject to the following restrictive covenants: (i) non-competition during employment, (ii) non-solicitation of employees or customers during employment and for one year following termination, (iii) perpetual non-disparagement and (iv) perpetual confidentiality.</w:t>
      </w:r>
    </w:p>
    <w:p>
      <w:pPr>
        <w:spacing w:after="0" w:line="169" w:lineRule="exact"/>
        <w:rPr>
          <w:sz w:val="20"/>
          <w:szCs w:val="20"/>
          <w:color w:val="auto"/>
        </w:rPr>
      </w:pPr>
    </w:p>
    <w:p>
      <w:pPr>
        <w:ind w:left="4" w:firstLine="440"/>
        <w:spacing w:after="0" w:line="253" w:lineRule="auto"/>
        <w:rPr>
          <w:sz w:val="20"/>
          <w:szCs w:val="20"/>
          <w:color w:val="auto"/>
        </w:rPr>
      </w:pPr>
      <w:r>
        <w:rPr>
          <w:rFonts w:ascii="Arial" w:cs="Arial" w:eastAsia="Arial" w:hAnsi="Arial"/>
          <w:sz w:val="17"/>
          <w:szCs w:val="17"/>
          <w:color w:val="auto"/>
        </w:rPr>
        <w:t>“Cause” for purposes of the NEO Employment Agreements generally means the employee’s: (i) failure to devote substantially all of the employee’s working time to the business of the employer and its affiliates; (ii) willful disregard of the employee’s duties, or the employee’s intentional failure to act where the taking of such action would be in the ordinary course of the employee’s duties, provided that the employee is first given 30 days prior written notice of such conduct in order for the employee to cure such alleged conduct during such period of time; (iii) violation or breach of certain provisions, representations or covenants provided in the NEO Employment Agreements;</w:t>
      </w:r>
    </w:p>
    <w:p>
      <w:pPr>
        <w:ind w:left="304" w:hanging="304"/>
        <w:spacing w:after="0" w:line="235" w:lineRule="auto"/>
        <w:tabs>
          <w:tab w:leader="none" w:pos="304"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gross negligence or willful misconduct in the performance of the employee’s duties; (v) commission of any act of fraud, theft or</w:t>
      </w:r>
    </w:p>
    <w:p>
      <w:pPr>
        <w:ind w:left="4" w:right="400"/>
        <w:spacing w:after="0" w:line="242" w:lineRule="auto"/>
        <w:rPr>
          <w:rFonts w:ascii="Arial" w:cs="Arial" w:eastAsia="Arial" w:hAnsi="Arial"/>
          <w:sz w:val="18"/>
          <w:szCs w:val="18"/>
          <w:color w:val="auto"/>
        </w:rPr>
      </w:pPr>
      <w:r>
        <w:rPr>
          <w:rFonts w:ascii="Arial" w:cs="Arial" w:eastAsia="Arial" w:hAnsi="Arial"/>
          <w:sz w:val="18"/>
          <w:szCs w:val="18"/>
          <w:color w:val="auto"/>
        </w:rPr>
        <w:t>financial dishonesty, or any felony or criminal act involving moral turpitude; or (vi) unlawful use (including being under the influence) of alcohol or drugs or possession of illegal drugs on the premises of the employer or any of its affiliates or while performing duties and responsibilities to the employer and its affiliates.</w:t>
      </w:r>
    </w:p>
    <w:p>
      <w:pPr>
        <w:spacing w:after="0" w:line="11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24"/>
          </w:cols>
          <w:pgMar w:left="436" w:top="306" w:right="439" w:bottom="1440" w:gutter="0" w:footer="0" w:header="0"/>
        </w:sectPr>
      </w:pPr>
    </w:p>
    <w:bookmarkStart w:id="69" w:name="page70"/>
    <w:bookmarkEnd w:id="69"/>
    <w:p>
      <w:pPr>
        <w:ind w:left="4" w:right="160" w:firstLine="440"/>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“Good reason” for purposes of the NEO Employment Agreements generally means: (i) a material reduction during any 24 consecutive month period in base salary or in the employee’s annual total cash compensation opportunity (</w:t>
      </w:r>
      <w:r>
        <w:rPr>
          <w:rFonts w:ascii="Arial" w:cs="Arial" w:eastAsia="Arial" w:hAnsi="Arial"/>
          <w:sz w:val="18"/>
          <w:szCs w:val="18"/>
          <w:i w:val="1"/>
          <w:iCs w:val="1"/>
          <w:color w:val="auto"/>
        </w:rPr>
        <w:t>i.e.</w:t>
      </w:r>
      <w:r>
        <w:rPr>
          <w:rFonts w:ascii="Arial" w:cs="Arial" w:eastAsia="Arial" w:hAnsi="Arial"/>
          <w:sz w:val="18"/>
          <w:szCs w:val="18"/>
          <w:color w:val="auto"/>
        </w:rPr>
        <w:t>, base salary and target bonus), but excluding any reduction applicable to management employees generally; (ii) a material breach of the NEO Employment Agreement by the employer; or (iii) for all NEOs except Mr. Kao, a change in the employee’s principal work location to a location more than 50 miles from the employee’s prior work location and more than 50 miles from the employee’s principal residence as of the date of such change in work location. Notwithstanding the foregoing, “good reason” will not exist (A) if the employee has in his or her sole discretion agreed in writing that such event will not constitute “good reason,” or (B) unless, (I) within 60 days of the occurrence of the events claimed to be “good reason” the employee notifies the employer in writing of the reasons why the employee believes that “good reason” exists, (II) the employer has failed to correct the circumstance that would otherwise be “good reason” within 30 days of receipt of such notice and (III) the employee terminates his or her employment within 60 days of such 30-day period.</w:t>
      </w:r>
    </w:p>
    <w:p>
      <w:pPr>
        <w:spacing w:after="0" w:line="182"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1F497D"/>
        </w:rPr>
        <w:t>Treatment of Equity Incentive Awards</w:t>
      </w:r>
    </w:p>
    <w:p>
      <w:pPr>
        <w:spacing w:after="0" w:line="210" w:lineRule="exact"/>
        <w:rPr>
          <w:sz w:val="20"/>
          <w:szCs w:val="20"/>
          <w:color w:val="auto"/>
        </w:rPr>
      </w:pPr>
    </w:p>
    <w:p>
      <w:pPr>
        <w:ind w:left="4" w:right="20" w:firstLine="440"/>
        <w:spacing w:after="0" w:line="242" w:lineRule="auto"/>
        <w:rPr>
          <w:sz w:val="20"/>
          <w:szCs w:val="20"/>
          <w:color w:val="auto"/>
        </w:rPr>
      </w:pPr>
      <w:r>
        <w:rPr>
          <w:rFonts w:ascii="Arial" w:cs="Arial" w:eastAsia="Arial" w:hAnsi="Arial"/>
          <w:sz w:val="18"/>
          <w:szCs w:val="18"/>
          <w:color w:val="auto"/>
        </w:rPr>
        <w:t>Pursuant to the terms of our 2021 Plan, generally, upon a termination of employment for any reason, all unvested equity awards would terminate and be forfeited for no consideration. In the event of a termination for “cause,” vested options also terminate for no consideration. Upon a termination of employment due to death or disability, vested options may be exercised by the participant at any time within the one-year period following termination, but in no event beyond the expiration of the stated term of the options. Upon an involuntary termination without “cause” or voluntary resignation, vested options may be exercised by the participant at any time within the 90-day period following termination, but in no event beyond the expiration of the stated term of the options.</w:t>
      </w:r>
    </w:p>
    <w:p>
      <w:pPr>
        <w:spacing w:after="0" w:line="179" w:lineRule="exact"/>
        <w:rPr>
          <w:sz w:val="20"/>
          <w:szCs w:val="20"/>
          <w:color w:val="auto"/>
        </w:rPr>
      </w:pPr>
    </w:p>
    <w:p>
      <w:pPr>
        <w:ind w:left="4" w:firstLine="440"/>
        <w:spacing w:after="0" w:line="241" w:lineRule="auto"/>
        <w:rPr>
          <w:sz w:val="20"/>
          <w:szCs w:val="20"/>
          <w:color w:val="auto"/>
        </w:rPr>
      </w:pPr>
      <w:r>
        <w:rPr>
          <w:rFonts w:ascii="Arial" w:cs="Arial" w:eastAsia="Arial" w:hAnsi="Arial"/>
          <w:sz w:val="18"/>
          <w:szCs w:val="18"/>
          <w:color w:val="auto"/>
        </w:rPr>
        <w:t>Under the 2021 Plan, upon a termination by the Company without “cause” (other than as a result of death or disability) on or within 12 months following a “change in control,” any outstanding, unvested awards held by the participant would accelerate and vest on the date of such termination. Notwithstanding the foregoing, the 2021 Plan provides that the Board (or designated committee) may provide for</w:t>
      </w:r>
    </w:p>
    <w:p>
      <w:pPr>
        <w:spacing w:after="0" w:line="2" w:lineRule="exact"/>
        <w:rPr>
          <w:sz w:val="20"/>
          <w:szCs w:val="20"/>
          <w:color w:val="auto"/>
        </w:rPr>
      </w:pPr>
    </w:p>
    <w:p>
      <w:pPr>
        <w:ind w:left="4" w:right="60" w:hanging="4"/>
        <w:spacing w:after="0" w:line="242" w:lineRule="auto"/>
        <w:tabs>
          <w:tab w:leader="none" w:pos="214"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continuation, assumption or substitution for awards with substantially the same terms and value, (ii) acceleration of vesting immediately prior to or as of the date of such “change in control,” or (iii) in the case of an option or SAR, cancellation in consideration of a payment in cash or other consideration equal to the excess of the applicable stock price over the applicable exercise price.</w:t>
      </w:r>
    </w:p>
    <w:p>
      <w:pPr>
        <w:spacing w:after="0" w:line="179" w:lineRule="exact"/>
        <w:rPr>
          <w:sz w:val="20"/>
          <w:szCs w:val="20"/>
          <w:color w:val="auto"/>
        </w:rPr>
      </w:pPr>
    </w:p>
    <w:p>
      <w:pPr>
        <w:ind w:left="4" w:firstLine="440"/>
        <w:spacing w:after="0" w:line="247" w:lineRule="auto"/>
        <w:rPr>
          <w:sz w:val="20"/>
          <w:szCs w:val="20"/>
          <w:color w:val="auto"/>
        </w:rPr>
      </w:pPr>
      <w:r>
        <w:rPr>
          <w:rFonts w:ascii="Arial" w:cs="Arial" w:eastAsia="Arial" w:hAnsi="Arial"/>
          <w:sz w:val="18"/>
          <w:szCs w:val="18"/>
          <w:color w:val="auto"/>
        </w:rPr>
        <w:t>Pursuant the terms of each NEO’s option and restricted stock unit award agreements under the 2021 Plan, upon a termination by the Company without “cause” (other than as a result of death or disability) or a resignation by the participant for “good reason,” in each case, on or following a “change in control,” any outstanding, unvested options or restricted stock units held by the executive would accelerate and vest on the date of such termination.</w:t>
      </w:r>
    </w:p>
    <w:p>
      <w:pPr>
        <w:spacing w:after="0" w:line="174" w:lineRule="exact"/>
        <w:rPr>
          <w:sz w:val="20"/>
          <w:szCs w:val="20"/>
          <w:color w:val="auto"/>
        </w:rPr>
      </w:pPr>
    </w:p>
    <w:p>
      <w:pPr>
        <w:ind w:left="4" w:right="120" w:firstLine="440"/>
        <w:spacing w:after="0" w:line="255" w:lineRule="auto"/>
        <w:rPr>
          <w:sz w:val="20"/>
          <w:szCs w:val="20"/>
          <w:color w:val="auto"/>
        </w:rPr>
      </w:pPr>
      <w:r>
        <w:rPr>
          <w:rFonts w:ascii="Arial" w:cs="Arial" w:eastAsia="Arial" w:hAnsi="Arial"/>
          <w:sz w:val="17"/>
          <w:szCs w:val="17"/>
          <w:color w:val="auto"/>
        </w:rPr>
        <w:t>Under each NEO’s PSU award agreement, upon a change in control, all outstanding PSUs would be deemed earned on the date of such change in control based on actual performance through (x) the date of the change in control if the change in control occurs prior to the end of the measurement period (subject to any pro rata or other adjustments determined by the Board (or designated committee)), or</w:t>
      </w:r>
    </w:p>
    <w:p>
      <w:pPr>
        <w:spacing w:after="0" w:line="2" w:lineRule="exact"/>
        <w:rPr>
          <w:sz w:val="20"/>
          <w:szCs w:val="20"/>
          <w:color w:val="auto"/>
        </w:rPr>
      </w:pPr>
    </w:p>
    <w:p>
      <w:pPr>
        <w:ind w:left="4" w:hanging="4"/>
        <w:spacing w:after="0" w:line="237" w:lineRule="auto"/>
        <w:tabs>
          <w:tab w:leader="none" w:pos="26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through the last day of the measurement period if the change in control occurs on or following such date; provided, in each case, that in no event will the PSUs be deemed earned at less than target; provided further that the Board (or designated committee) may in its discretion determine that the PSUs are deemed earned at maximum performance (irrespective of the applicable performance metrics). Any earned PSUs as a result of such change in control will vest (x) 50% on March 1, 2025 and (y) 50% on December 31, 2025, subject to the NEO’s continued service through the applicable vesting date; provided that upon a termination by the Company without cause (other than as a result of death or disability) or a resignation by the NEO for good reason on or following a change in control, any earned PSUs that have not yet vested will accelerate and vest as of the date of such termination or resignation.</w:t>
      </w:r>
    </w:p>
    <w:p>
      <w:pPr>
        <w:spacing w:after="0" w:line="11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96" w:right="459" w:bottom="1440" w:gutter="0" w:footer="0" w:header="0"/>
        </w:sectPr>
      </w:pPr>
    </w:p>
    <w:bookmarkStart w:id="70" w:name="page71"/>
    <w:bookmarkEnd w:id="70"/>
    <w:p>
      <w:pPr>
        <w:ind w:left="4" w:right="12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Restricted shares which were converted from incentive units and SARs, as discussed in further detail above in “</w:t>
      </w:r>
      <w:r>
        <w:rPr>
          <w:rFonts w:ascii="Arial" w:cs="Arial" w:eastAsia="Arial" w:hAnsi="Arial"/>
          <w:sz w:val="18"/>
          <w:szCs w:val="18"/>
          <w:i w:val="1"/>
          <w:iCs w:val="1"/>
          <w:color w:val="auto"/>
        </w:rPr>
        <w:t>Compensation</w:t>
      </w:r>
      <w:r>
        <w:rPr>
          <w:rFonts w:ascii="Arial" w:cs="Arial" w:eastAsia="Arial" w:hAnsi="Arial"/>
          <w:sz w:val="18"/>
          <w:szCs w:val="18"/>
          <w:color w:val="auto"/>
        </w:rPr>
        <w:t xml:space="preserve"> </w:t>
      </w:r>
      <w:r>
        <w:rPr>
          <w:rFonts w:ascii="Arial" w:cs="Arial" w:eastAsia="Arial" w:hAnsi="Arial"/>
          <w:sz w:val="18"/>
          <w:szCs w:val="18"/>
          <w:i w:val="1"/>
          <w:iCs w:val="1"/>
          <w:color w:val="auto"/>
        </w:rPr>
        <w:t>Discussion and Analysis—2022 Executive Compensation Program in Detail—Long-Term Equity Incentives</w:t>
      </w:r>
      <w:r>
        <w:rPr>
          <w:rFonts w:ascii="Arial" w:cs="Arial" w:eastAsia="Arial" w:hAnsi="Arial"/>
          <w:sz w:val="18"/>
          <w:szCs w:val="18"/>
          <w:color w:val="auto"/>
        </w:rPr>
        <w:t>,” will accelerate and fully vest</w:t>
      </w:r>
      <w:r>
        <w:rPr>
          <w:rFonts w:ascii="Arial" w:cs="Arial" w:eastAsia="Arial" w:hAnsi="Arial"/>
          <w:sz w:val="18"/>
          <w:szCs w:val="18"/>
          <w:i w:val="1"/>
          <w:iCs w:val="1"/>
          <w:color w:val="auto"/>
        </w:rPr>
        <w:t xml:space="preserve"> </w:t>
      </w:r>
      <w:r>
        <w:rPr>
          <w:rFonts w:ascii="Arial" w:cs="Arial" w:eastAsia="Arial" w:hAnsi="Arial"/>
          <w:sz w:val="18"/>
          <w:szCs w:val="18"/>
          <w:color w:val="auto"/>
        </w:rPr>
        <w:t>upon a change of control.</w:t>
      </w:r>
    </w:p>
    <w:p>
      <w:pPr>
        <w:spacing w:after="0" w:line="169" w:lineRule="exact"/>
        <w:rPr>
          <w:sz w:val="20"/>
          <w:szCs w:val="20"/>
          <w:color w:val="auto"/>
        </w:rPr>
      </w:pPr>
    </w:p>
    <w:p>
      <w:pPr>
        <w:ind w:left="4" w:right="20" w:firstLine="440"/>
        <w:spacing w:after="0" w:line="251" w:lineRule="auto"/>
        <w:rPr>
          <w:sz w:val="20"/>
          <w:szCs w:val="20"/>
          <w:color w:val="auto"/>
        </w:rPr>
      </w:pPr>
      <w:r>
        <w:rPr>
          <w:rFonts w:ascii="Arial" w:cs="Arial" w:eastAsia="Arial" w:hAnsi="Arial"/>
          <w:sz w:val="17"/>
          <w:szCs w:val="17"/>
          <w:color w:val="auto"/>
        </w:rPr>
        <w:t>For the Chief Executive Officer, “good reason” for purposes of the option and restricted stock unit award agreements under the 2021 Plan generally means the following, without the executive’s express written consent: (i) a reduction in annual base salary or annual target bonus opportunity; (ii) a diminution in status, authority, title, duties or responsibilities (including a change which results in the Company no longer being a publicly traded entity or the executive no longer being the Chief Executive Officer of a publicly traded entity) or (iii) a failure of the Company’s successor to assume and perform the award agreement; provided that any such termination by the executive will only be deemed “good reason” if: (1) the executive gives the Company written notice within 60 days following initial awareness of the occurrence of the condition constituting “good reason,” which notice will describe such condition and intent to terminate for “good reason”;</w:t>
      </w:r>
    </w:p>
    <w:p>
      <w:pPr>
        <w:ind w:left="264" w:hanging="264"/>
        <w:spacing w:after="0"/>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fails to remedy such condition to the executive’s satisfaction within 30 days following receipt of the written notice; and</w:t>
      </w:r>
    </w:p>
    <w:p>
      <w:pPr>
        <w:ind w:left="264" w:hanging="264"/>
        <w:spacing w:after="0"/>
        <w:tabs>
          <w:tab w:leader="none" w:pos="26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executive voluntarily terminates employment within 30 days following the end of the 30-day cure period.</w:t>
      </w:r>
    </w:p>
    <w:p>
      <w:pPr>
        <w:spacing w:after="0" w:line="194" w:lineRule="exact"/>
        <w:rPr>
          <w:sz w:val="20"/>
          <w:szCs w:val="20"/>
          <w:color w:val="auto"/>
        </w:rPr>
      </w:pPr>
    </w:p>
    <w:p>
      <w:pPr>
        <w:ind w:left="4" w:right="200" w:firstLine="440"/>
        <w:spacing w:after="0"/>
        <w:rPr>
          <w:sz w:val="20"/>
          <w:szCs w:val="20"/>
          <w:color w:val="auto"/>
        </w:rPr>
      </w:pPr>
      <w:r>
        <w:rPr>
          <w:rFonts w:ascii="Arial" w:cs="Arial" w:eastAsia="Arial" w:hAnsi="Arial"/>
          <w:sz w:val="18"/>
          <w:szCs w:val="18"/>
          <w:color w:val="auto"/>
        </w:rPr>
        <w:t>For other senior executives of the Company, “good reason” for purposes of the option and restricted stock unit award agreements under the 2021 Plan generally means, without the executive’s express written consent, reduction in annual base salary or annual target bonus opportunity; provided that any such termination by the executive will only be deemed “good reason” if: (1) the executive gives the Company written notice within 30 days following initial awareness of the occurrence of the condition constituting “good reason,” which notice will describe such condition and intent to terminate for “good reason”; (2) the Company fails to remedy such condition to the executive’s satisfaction within 30 days following receipt of the written notice; and (3) the executive voluntarily terminates employment within 30 days following the end of the 30-day cure period.</w:t>
      </w:r>
    </w:p>
    <w:p>
      <w:pPr>
        <w:spacing w:after="0" w:line="18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“Cause” for purposes of the 2021 Plan has the same meaning as provided under the NEO Employment Agreements.</w:t>
      </w:r>
    </w:p>
    <w:p>
      <w:pPr>
        <w:spacing w:after="0" w:line="212" w:lineRule="exact"/>
        <w:rPr>
          <w:sz w:val="20"/>
          <w:szCs w:val="20"/>
          <w:color w:val="auto"/>
        </w:rPr>
      </w:pPr>
    </w:p>
    <w:p>
      <w:pPr>
        <w:ind w:left="4" w:right="20" w:firstLine="440"/>
        <w:spacing w:after="0" w:line="236" w:lineRule="auto"/>
        <w:rPr>
          <w:sz w:val="20"/>
          <w:szCs w:val="20"/>
          <w:color w:val="auto"/>
        </w:rPr>
      </w:pPr>
      <w:r>
        <w:rPr>
          <w:rFonts w:ascii="Arial" w:cs="Arial" w:eastAsia="Arial" w:hAnsi="Arial"/>
          <w:sz w:val="18"/>
          <w:szCs w:val="18"/>
          <w:color w:val="auto"/>
        </w:rPr>
        <w:t>“Change in Control” for purposes of the 2021 Plan generally means: (a) any “person,” as that term is used in Sections 13(d) and 14(d) of the Securities Exchange Act of 1934 (the “Exchange Act”) (other than the Company, any trustee or other fiduciary holding securities under any employee benefit plan of the Company, or any company owned, directly or indirectly, by the stockholders in substantially the same proportions as their ownership of common stock), becomes the beneficial owner (as defined in Rule 13d-3 under the Exchange Act), directly or indirectly, of securities of the Company representing 50% or more of the combined voting power of the Company’s then outstanding securities; (b) during any period of 12 consecutive calendar months, individuals who were directors serving on the Board on the first day of such period (the “Incumbent Directors”) cease for any reason to constitute a majority of the Board; provided, however, that any individual becoming a director after the first day of such period whose election, or nomination for election, by the stockholders was approved by a vote of at least 2/3 of the Incumbent Directors will be considered as though such individual were an Incumbent Director, but excluding, for purposes of this proviso, any such individual whose initial assumption of office occurs as a result of an actual or threatened proxy contest with respect to election or removal of directors or other actual or threatened solicitation of proxies or consents by or on behalf of a “person” (as used in Section 13(d) of the Exchange Act), in each case other than the Board;</w:t>
      </w:r>
    </w:p>
    <w:p>
      <w:pPr>
        <w:spacing w:after="0" w:line="6" w:lineRule="exact"/>
        <w:rPr>
          <w:sz w:val="20"/>
          <w:szCs w:val="20"/>
          <w:color w:val="auto"/>
        </w:rPr>
      </w:pPr>
    </w:p>
    <w:p>
      <w:pPr>
        <w:ind w:left="4" w:hanging="4"/>
        <w:spacing w:after="0" w:line="237" w:lineRule="auto"/>
        <w:tabs>
          <w:tab w:leader="none" w:pos="264" w:val="left"/>
        </w:tabs>
        <w:numPr>
          <w:ilvl w:val="0"/>
          <w:numId w:val="57"/>
        </w:numPr>
        <w:rPr>
          <w:rFonts w:ascii="Arial" w:cs="Arial" w:eastAsia="Arial" w:hAnsi="Arial"/>
          <w:sz w:val="18"/>
          <w:szCs w:val="18"/>
          <w:color w:val="auto"/>
        </w:rPr>
      </w:pPr>
      <w:r>
        <w:rPr>
          <w:rFonts w:ascii="Arial" w:cs="Arial" w:eastAsia="Arial" w:hAnsi="Arial"/>
          <w:sz w:val="18"/>
          <w:szCs w:val="18"/>
          <w:color w:val="auto"/>
        </w:rPr>
        <w:t>consummation of a reorganization, merger, consolidation, or other business combination (any of the foregoing, a “Business Combination”) of the Company or any direct or indirect subsidiary of the Company with any other corporation, in any case with respect to which the Company voting securities outstanding immediately before such Business Combination do not, immediately after such Business Combination, continue to represent (either by remaining outstanding or being converted into voting securities of the Company or any ultimate parent thereof) more than 50% of the then outstanding voting securities entitled to vote generally in the election of directors of the Company (or its successor) or any ultimate parent thereof after the Business Combination; or (d) a complete liquidation or dissolution of the Company or the consummation of a sale or disposition by the Company of all or substantially all of the Company’s assets other than the sale or disposition of all or substantially all of the assets of the Company to a person or persons who beneficially</w:t>
      </w:r>
    </w:p>
    <w:p>
      <w:pPr>
        <w:spacing w:after="0" w:line="11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0964"/>
          </w:cols>
          <w:pgMar w:left="436" w:top="296" w:right="499" w:bottom="1440" w:gutter="0" w:footer="0" w:header="0"/>
        </w:sectPr>
      </w:pPr>
    </w:p>
    <w:bookmarkStart w:id="71" w:name="page72"/>
    <w:bookmarkEnd w:id="71"/>
    <w:p>
      <w:pPr>
        <w:ind w:right="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own, directly or indirectly, 50% or more of the combined voting power of the outstanding voting securities of the Company at the time of the sale. Notwithstanding the foregoing terms and conditions of this definition, with respect to any award that is characterized as “nonqualified deferred compensation” within the meaning of Section 409A, an event will not be considered to be a “change in control” under the 2021 Plan for purposes of payment of such award unless such event is also a “change in control event” within the meaning of Section 409A. Notwithstanding the foregoing, a “change in control” will not be deemed to have occurred if immediately after the occurrence of any of the events described in clauses (a) – (d) above, a designated holder or designated holders are the beneficial owners, directly or indirectly, of more than 35% of the combined voting power of the Company or any successor.</w:t>
      </w:r>
    </w:p>
    <w:p>
      <w:pPr>
        <w:spacing w:after="0" w:line="185" w:lineRule="exact"/>
        <w:rPr>
          <w:sz w:val="20"/>
          <w:szCs w:val="20"/>
          <w:color w:val="auto"/>
        </w:rPr>
      </w:pPr>
    </w:p>
    <w:p>
      <w:pPr>
        <w:ind w:right="40" w:firstLine="440"/>
        <w:spacing w:after="0" w:line="237" w:lineRule="auto"/>
        <w:rPr>
          <w:sz w:val="20"/>
          <w:szCs w:val="20"/>
          <w:color w:val="auto"/>
        </w:rPr>
      </w:pPr>
      <w:r>
        <w:rPr>
          <w:rFonts w:ascii="Arial" w:cs="Arial" w:eastAsia="Arial" w:hAnsi="Arial"/>
          <w:sz w:val="18"/>
          <w:szCs w:val="18"/>
          <w:color w:val="auto"/>
        </w:rPr>
        <w:t>“Change of Control” for purposes of the restricted shares converted from incentive units and SARs generally means the first to occur of any of the following: (i) the sale, lease, transfer, conveyance or other disposition (other than by way of merger or consolidation), in one or a series of related transactions in which the consideration received by the Company is cash or Marketable Securities (as defined below), of all or substantially all of the assets of the Company to any “person” (as such term is defined in Section 13(d)(3) of the Exchange Act) other than our private equity sponsor and its affiliates; (ii) the adoption of a plan relating to the liquidation or dissolution of the Company; and (iii) the consummation of any transaction (including, without limitation, any merger or consolidation) the result of which is that any person, other than our private equity sponsor and its affiliates, becomes the “beneficial owner” (as such term is defined in Rule 13d-3 and Rule 13d-5 under the Exchange Act, as amended), directly or indirectly, of more than 50% of the voting interests of the Company. “Marketable Securities” means securities that (A) can be immediately sold to the general public without the necessity of any federal, state or local government consent, approval or filing (other than any notice filings such as those required pursuant to Rule 144 under the Securities Act of 1933) and without violation of federal or state securities laws and (B) are listed on a national securities exchange or a recognized foreign securities exchange, carried on an established quotation service for over-the-counter securities or for which market quotations are readily available in either a domestic or recognized foreign over-the-counter market. A security shall not be a Marketable Security if it is subject to material restrictions on transfer as a result of contractual provisions.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i w:val="1"/>
          <w:iCs w:val="1"/>
          <w:color w:val="1F497D"/>
        </w:rPr>
        <w:t>Table Showing Estimated Payments and Benefits</w:t>
      </w:r>
    </w:p>
    <w:p>
      <w:pPr>
        <w:spacing w:after="0" w:line="210" w:lineRule="exact"/>
        <w:rPr>
          <w:sz w:val="20"/>
          <w:szCs w:val="20"/>
          <w:color w:val="auto"/>
        </w:rPr>
      </w:pPr>
    </w:p>
    <w:p>
      <w:pPr>
        <w:ind w:right="160" w:firstLine="440"/>
        <w:spacing w:after="0" w:line="242" w:lineRule="auto"/>
        <w:rPr>
          <w:sz w:val="20"/>
          <w:szCs w:val="20"/>
          <w:color w:val="auto"/>
        </w:rPr>
      </w:pPr>
      <w:r>
        <w:rPr>
          <w:rFonts w:ascii="Arial" w:cs="Arial" w:eastAsia="Arial" w:hAnsi="Arial"/>
          <w:sz w:val="18"/>
          <w:szCs w:val="18"/>
          <w:color w:val="auto"/>
        </w:rPr>
        <w:t>The following table presents information concerning estimated payments and benefits (other than the Accrued Benefits) that would be provided in certain circumstances for each of the NEOs serving as of the end of the fiscal year ending December 31, 2023. Unless otherwise stated, the payments and benefits set forth below are estimated assuming that the termination of employment or change in control event occurred on the last business day of our fiscal year ending December 31, 2023 using the closing market price of $8.61 per share of our Common Stock on that date. Actual payments and benefits could be different if such events were to occur on any other date or at any other price or if any other assumptions are used to estimate potential payments and benefits.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Annual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COBRA</w:t>
            </w:r>
          </w:p>
        </w:tc>
        <w:tc>
          <w:tcPr>
            <w:tcW w:w="860" w:type="dxa"/>
            <w:vAlign w:val="bottom"/>
          </w:tcPr>
          <w:p>
            <w:pPr>
              <w:spacing w:after="0"/>
              <w:rPr>
                <w:sz w:val="14"/>
                <w:szCs w:val="14"/>
                <w:color w:val="auto"/>
              </w:rPr>
            </w:pPr>
          </w:p>
        </w:tc>
      </w:tr>
      <w:tr>
        <w:trPr>
          <w:trHeight w:val="166"/>
        </w:trPr>
        <w:tc>
          <w:tcPr>
            <w:tcW w:w="6720" w:type="dxa"/>
            <w:vAlign w:val="bottom"/>
          </w:tcPr>
          <w:p>
            <w:pPr>
              <w:spacing w:after="0"/>
              <w:rPr>
                <w:sz w:val="14"/>
                <w:szCs w:val="14"/>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rPr>
              <w:t>Severance</w:t>
            </w:r>
          </w:p>
        </w:tc>
        <w:tc>
          <w:tcPr>
            <w:tcW w:w="780" w:type="dxa"/>
            <w:vAlign w:val="bottom"/>
          </w:tcPr>
          <w:p>
            <w:pPr>
              <w:jc w:val="center"/>
              <w:spacing w:after="0" w:line="166"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19"/>
                <w:szCs w:val="19"/>
                <w:b w:val="1"/>
                <w:bCs w:val="1"/>
                <w:color w:val="auto"/>
                <w:vertAlign w:val="superscript"/>
              </w:rPr>
              <w:t>(1)</w:t>
            </w:r>
          </w:p>
        </w:tc>
        <w:tc>
          <w:tcPr>
            <w:tcW w:w="900" w:type="dxa"/>
            <w:vAlign w:val="bottom"/>
          </w:tcPr>
          <w:p>
            <w:pPr>
              <w:jc w:val="center"/>
              <w:spacing w:after="0" w:line="166" w:lineRule="exact"/>
              <w:rPr>
                <w:sz w:val="20"/>
                <w:szCs w:val="20"/>
                <w:color w:val="auto"/>
              </w:rPr>
            </w:pPr>
            <w:r>
              <w:rPr>
                <w:rFonts w:ascii="Arial" w:cs="Arial" w:eastAsia="Arial" w:hAnsi="Arial"/>
                <w:sz w:val="13"/>
                <w:szCs w:val="13"/>
                <w:b w:val="1"/>
                <w:bCs w:val="1"/>
                <w:color w:val="auto"/>
              </w:rPr>
              <w:t>Award</w:t>
            </w:r>
            <w:r>
              <w:rPr>
                <w:rFonts w:ascii="Arial" w:cs="Arial" w:eastAsia="Arial" w:hAnsi="Arial"/>
                <w:sz w:val="19"/>
                <w:szCs w:val="19"/>
                <w:b w:val="1"/>
                <w:bCs w:val="1"/>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Premiums</w:t>
            </w: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71"/>
        </w:trPr>
        <w:tc>
          <w:tcPr>
            <w:tcW w:w="6720" w:type="dxa"/>
            <w:vAlign w:val="bottom"/>
            <w:tcBorders>
              <w:bottom w:val="single" w:sz="8" w:color="95B3D7"/>
            </w:tcBorders>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95B3D7"/>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210"/>
        </w:trPr>
        <w:tc>
          <w:tcPr>
            <w:tcW w:w="672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John Kao</w:t>
            </w:r>
          </w:p>
        </w:tc>
        <w:tc>
          <w:tcPr>
            <w:tcW w:w="880" w:type="dxa"/>
            <w:vAlign w:val="bottom"/>
            <w:shd w:val="clear" w:color="auto" w:fill="DBE5F1"/>
          </w:tcPr>
          <w:p>
            <w:pPr>
              <w:spacing w:after="0"/>
              <w:rPr>
                <w:sz w:val="18"/>
                <w:szCs w:val="18"/>
                <w:color w:val="auto"/>
              </w:rPr>
            </w:pPr>
          </w:p>
        </w:tc>
        <w:tc>
          <w:tcPr>
            <w:tcW w:w="780" w:type="dxa"/>
            <w:vAlign w:val="bottom"/>
            <w:shd w:val="clear" w:color="auto" w:fill="DBE5F1"/>
          </w:tcPr>
          <w:p>
            <w:pPr>
              <w:spacing w:after="0"/>
              <w:rPr>
                <w:sz w:val="18"/>
                <w:szCs w:val="18"/>
                <w:color w:val="auto"/>
              </w:rPr>
            </w:pPr>
          </w:p>
        </w:tc>
        <w:tc>
          <w:tcPr>
            <w:tcW w:w="90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Termination without Cause / Resignation for Good Reason / Non-Renewal by the Company</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3,200,000</w:t>
            </w:r>
          </w:p>
        </w:tc>
        <w:tc>
          <w:tcPr>
            <w:tcW w:w="780" w:type="dxa"/>
            <w:vAlign w:val="bottom"/>
            <w:shd w:val="clear" w:color="auto" w:fill="DBE5F1"/>
          </w:tcPr>
          <w:p>
            <w:pPr>
              <w:jc w:val="right"/>
              <w:ind w:right="29"/>
              <w:spacing w:after="0"/>
              <w:rPr>
                <w:sz w:val="20"/>
                <w:szCs w:val="20"/>
                <w:color w:val="auto"/>
              </w:rPr>
            </w:pPr>
            <w:r>
              <w:rPr>
                <w:rFonts w:ascii="Arial" w:cs="Arial" w:eastAsia="Arial" w:hAnsi="Arial"/>
                <w:sz w:val="14"/>
                <w:szCs w:val="14"/>
                <w:color w:val="auto"/>
              </w:rPr>
              <w:t>800,000</w:t>
            </w:r>
          </w:p>
        </w:tc>
        <w:tc>
          <w:tcPr>
            <w:tcW w:w="900" w:type="dxa"/>
            <w:vAlign w:val="bottom"/>
            <w:shd w:val="clear" w:color="auto" w:fill="DBE5F1"/>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37,198</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4,037,198</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Termination with Cause / Resignation without Good Reason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E5F1"/>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DBE5F1"/>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Change in Control without Termination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E5F1"/>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shd w:val="clear" w:color="auto" w:fill="DBE5F1"/>
          </w:tcPr>
          <w:p>
            <w:pPr>
              <w:jc w:val="right"/>
              <w:ind w:right="9"/>
              <w:spacing w:after="0"/>
              <w:rPr>
                <w:sz w:val="20"/>
                <w:szCs w:val="20"/>
                <w:color w:val="auto"/>
              </w:rPr>
            </w:pPr>
            <w:r>
              <w:rPr>
                <w:rFonts w:ascii="Arial" w:cs="Arial" w:eastAsia="Arial" w:hAnsi="Arial"/>
                <w:sz w:val="14"/>
                <w:szCs w:val="14"/>
                <w:color w:val="auto"/>
              </w:rPr>
              <w:t>1,955,693</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1,955,693</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Change in Control with Qualifying Termination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3,200,000</w:t>
            </w:r>
          </w:p>
        </w:tc>
        <w:tc>
          <w:tcPr>
            <w:tcW w:w="780" w:type="dxa"/>
            <w:vAlign w:val="bottom"/>
            <w:shd w:val="clear" w:color="auto" w:fill="DBE5F1"/>
          </w:tcPr>
          <w:p>
            <w:pPr>
              <w:jc w:val="right"/>
              <w:ind w:right="29"/>
              <w:spacing w:after="0"/>
              <w:rPr>
                <w:sz w:val="20"/>
                <w:szCs w:val="20"/>
                <w:color w:val="auto"/>
              </w:rPr>
            </w:pPr>
            <w:r>
              <w:rPr>
                <w:rFonts w:ascii="Arial" w:cs="Arial" w:eastAsia="Arial" w:hAnsi="Arial"/>
                <w:sz w:val="14"/>
                <w:szCs w:val="14"/>
                <w:color w:val="auto"/>
              </w:rPr>
              <w:t>800,000</w:t>
            </w:r>
          </w:p>
        </w:tc>
        <w:tc>
          <w:tcPr>
            <w:tcW w:w="900" w:type="dxa"/>
            <w:vAlign w:val="bottom"/>
            <w:shd w:val="clear" w:color="auto" w:fill="DBE5F1"/>
          </w:tcPr>
          <w:p>
            <w:pPr>
              <w:jc w:val="right"/>
              <w:ind w:right="9"/>
              <w:spacing w:after="0"/>
              <w:rPr>
                <w:sz w:val="20"/>
                <w:szCs w:val="20"/>
                <w:color w:val="auto"/>
              </w:rPr>
            </w:pPr>
            <w:r>
              <w:rPr>
                <w:rFonts w:ascii="Arial" w:cs="Arial" w:eastAsia="Arial" w:hAnsi="Arial"/>
                <w:sz w:val="14"/>
                <w:szCs w:val="14"/>
                <w:color w:val="auto"/>
              </w:rPr>
              <w:t>39,360,891</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37,198</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43,398,088</w:t>
            </w:r>
          </w:p>
        </w:tc>
      </w:tr>
      <w:tr>
        <w:trPr>
          <w:trHeight w:val="162"/>
        </w:trPr>
        <w:tc>
          <w:tcPr>
            <w:tcW w:w="6720" w:type="dxa"/>
            <w:vAlign w:val="bottom"/>
            <w:tcBorders>
              <w:bottom w:val="single" w:sz="8" w:color="95B3D7"/>
            </w:tcBorders>
            <w:shd w:val="clear" w:color="auto" w:fill="DBE5F1"/>
          </w:tcPr>
          <w:p>
            <w:pPr>
              <w:ind w:left="280"/>
              <w:spacing w:after="0"/>
              <w:rPr>
                <w:sz w:val="20"/>
                <w:szCs w:val="20"/>
                <w:color w:val="auto"/>
              </w:rPr>
            </w:pPr>
            <w:r>
              <w:rPr>
                <w:rFonts w:ascii="Arial" w:cs="Arial" w:eastAsia="Arial" w:hAnsi="Arial"/>
                <w:sz w:val="14"/>
                <w:szCs w:val="14"/>
                <w:color w:val="auto"/>
              </w:rPr>
              <w:t>Death, Disability or Non-Renewal by the NEO</w:t>
            </w:r>
          </w:p>
        </w:tc>
        <w:tc>
          <w:tcPr>
            <w:tcW w:w="88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B3D7"/>
            </w:tcBorders>
            <w:shd w:val="clear" w:color="auto" w:fill="DBE5F1"/>
          </w:tcPr>
          <w:p>
            <w:pPr>
              <w:jc w:val="right"/>
              <w:ind w:right="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B3D7"/>
            </w:tcBorders>
            <w:shd w:val="clear" w:color="auto" w:fill="DBE5F1"/>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20"/>
          </w:cols>
          <w:pgMar w:left="440" w:top="296" w:right="4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9"/>
              </w:rPr>
              <w:t>Cash</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Annual</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Stock</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COBRA</w:t>
            </w:r>
          </w:p>
        </w:tc>
        <w:tc>
          <w:tcPr>
            <w:tcW w:w="860" w:type="dxa"/>
            <w:vAlign w:val="bottom"/>
          </w:tcPr>
          <w:p>
            <w:pPr>
              <w:spacing w:after="0"/>
              <w:rPr>
                <w:sz w:val="14"/>
                <w:szCs w:val="14"/>
                <w:color w:val="auto"/>
              </w:rPr>
            </w:pPr>
          </w:p>
        </w:tc>
      </w:tr>
      <w:tr>
        <w:trPr>
          <w:trHeight w:val="166"/>
        </w:trPr>
        <w:tc>
          <w:tcPr>
            <w:tcW w:w="6720" w:type="dxa"/>
            <w:vAlign w:val="bottom"/>
          </w:tcPr>
          <w:p>
            <w:pPr>
              <w:spacing w:after="0"/>
              <w:rPr>
                <w:sz w:val="14"/>
                <w:szCs w:val="14"/>
                <w:color w:val="auto"/>
              </w:rPr>
            </w:pPr>
          </w:p>
        </w:tc>
        <w:tc>
          <w:tcPr>
            <w:tcW w:w="880" w:type="dxa"/>
            <w:vAlign w:val="bottom"/>
          </w:tcPr>
          <w:p>
            <w:pPr>
              <w:jc w:val="center"/>
              <w:ind w:left="8"/>
              <w:spacing w:after="0"/>
              <w:rPr>
                <w:sz w:val="20"/>
                <w:szCs w:val="20"/>
                <w:color w:val="auto"/>
              </w:rPr>
            </w:pPr>
            <w:r>
              <w:rPr>
                <w:rFonts w:ascii="Arial" w:cs="Arial" w:eastAsia="Arial" w:hAnsi="Arial"/>
                <w:sz w:val="14"/>
                <w:szCs w:val="14"/>
                <w:b w:val="1"/>
                <w:bCs w:val="1"/>
                <w:color w:val="auto"/>
              </w:rPr>
              <w:t>Severance</w:t>
            </w:r>
          </w:p>
        </w:tc>
        <w:tc>
          <w:tcPr>
            <w:tcW w:w="780" w:type="dxa"/>
            <w:vAlign w:val="bottom"/>
          </w:tcPr>
          <w:p>
            <w:pPr>
              <w:jc w:val="center"/>
              <w:spacing w:after="0" w:line="166" w:lineRule="exact"/>
              <w:rPr>
                <w:sz w:val="20"/>
                <w:szCs w:val="20"/>
                <w:color w:val="auto"/>
              </w:rPr>
            </w:pPr>
            <w:r>
              <w:rPr>
                <w:rFonts w:ascii="Arial" w:cs="Arial" w:eastAsia="Arial" w:hAnsi="Arial"/>
                <w:sz w:val="13"/>
                <w:szCs w:val="13"/>
                <w:b w:val="1"/>
                <w:bCs w:val="1"/>
                <w:color w:val="auto"/>
              </w:rPr>
              <w:t>Bonus</w:t>
            </w:r>
            <w:r>
              <w:rPr>
                <w:rFonts w:ascii="Arial" w:cs="Arial" w:eastAsia="Arial" w:hAnsi="Arial"/>
                <w:sz w:val="19"/>
                <w:szCs w:val="19"/>
                <w:b w:val="1"/>
                <w:bCs w:val="1"/>
                <w:color w:val="auto"/>
                <w:vertAlign w:val="superscript"/>
              </w:rPr>
              <w:t>(1)</w:t>
            </w:r>
          </w:p>
        </w:tc>
        <w:tc>
          <w:tcPr>
            <w:tcW w:w="900" w:type="dxa"/>
            <w:vAlign w:val="bottom"/>
          </w:tcPr>
          <w:p>
            <w:pPr>
              <w:jc w:val="center"/>
              <w:spacing w:after="0" w:line="166" w:lineRule="exact"/>
              <w:rPr>
                <w:sz w:val="20"/>
                <w:szCs w:val="20"/>
                <w:color w:val="auto"/>
              </w:rPr>
            </w:pPr>
            <w:r>
              <w:rPr>
                <w:rFonts w:ascii="Arial" w:cs="Arial" w:eastAsia="Arial" w:hAnsi="Arial"/>
                <w:sz w:val="13"/>
                <w:szCs w:val="13"/>
                <w:b w:val="1"/>
                <w:bCs w:val="1"/>
                <w:color w:val="auto"/>
              </w:rPr>
              <w:t>Award</w:t>
            </w:r>
            <w:r>
              <w:rPr>
                <w:rFonts w:ascii="Arial" w:cs="Arial" w:eastAsia="Arial" w:hAnsi="Arial"/>
                <w:sz w:val="19"/>
                <w:szCs w:val="19"/>
                <w:b w:val="1"/>
                <w:bCs w:val="1"/>
                <w:color w:val="auto"/>
                <w:vertAlign w:val="superscript"/>
              </w:rPr>
              <w:t>(2)</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Premiums</w:t>
            </w:r>
          </w:p>
        </w:tc>
        <w:tc>
          <w:tcPr>
            <w:tcW w:w="860" w:type="dxa"/>
            <w:vAlign w:val="bottom"/>
          </w:tcPr>
          <w:p>
            <w:pPr>
              <w:jc w:val="right"/>
              <w:ind w:right="188"/>
              <w:spacing w:after="0"/>
              <w:rPr>
                <w:sz w:val="20"/>
                <w:szCs w:val="20"/>
                <w:color w:val="auto"/>
              </w:rPr>
            </w:pPr>
            <w:r>
              <w:rPr>
                <w:rFonts w:ascii="Arial" w:cs="Arial" w:eastAsia="Arial" w:hAnsi="Arial"/>
                <w:sz w:val="14"/>
                <w:szCs w:val="14"/>
                <w:b w:val="1"/>
                <w:bCs w:val="1"/>
                <w:color w:val="auto"/>
              </w:rPr>
              <w:t>Total</w:t>
            </w:r>
          </w:p>
        </w:tc>
      </w:tr>
      <w:tr>
        <w:trPr>
          <w:trHeight w:val="171"/>
        </w:trPr>
        <w:tc>
          <w:tcPr>
            <w:tcW w:w="6720" w:type="dxa"/>
            <w:vAlign w:val="bottom"/>
            <w:tcBorders>
              <w:bottom w:val="single" w:sz="8" w:color="95B3D7"/>
            </w:tcBorders>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78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80" w:type="dxa"/>
            <w:vAlign w:val="bottom"/>
            <w:tcBorders>
              <w:bottom w:val="single" w:sz="8" w:color="95B3D7"/>
            </w:tcBorders>
          </w:tcPr>
          <w:p>
            <w:pPr>
              <w:jc w:val="center"/>
              <w:spacing w:after="0"/>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95B3D7"/>
            </w:tcBorders>
          </w:tcPr>
          <w:p>
            <w:pPr>
              <w:jc w:val="right"/>
              <w:ind w:right="268"/>
              <w:spacing w:after="0"/>
              <w:rPr>
                <w:sz w:val="20"/>
                <w:szCs w:val="20"/>
                <w:color w:val="auto"/>
              </w:rPr>
            </w:pPr>
            <w:r>
              <w:rPr>
                <w:rFonts w:ascii="Arial" w:cs="Arial" w:eastAsia="Arial" w:hAnsi="Arial"/>
                <w:sz w:val="14"/>
                <w:szCs w:val="14"/>
                <w:b w:val="1"/>
                <w:bCs w:val="1"/>
                <w:color w:val="auto"/>
              </w:rPr>
              <w:t>($)</w:t>
            </w:r>
          </w:p>
        </w:tc>
      </w:tr>
      <w:tr>
        <w:trPr>
          <w:trHeight w:val="200"/>
        </w:trPr>
        <w:tc>
          <w:tcPr>
            <w:tcW w:w="6720" w:type="dxa"/>
            <w:vAlign w:val="bottom"/>
          </w:tcPr>
          <w:p>
            <w:pPr>
              <w:spacing w:after="0"/>
              <w:rPr>
                <w:sz w:val="20"/>
                <w:szCs w:val="20"/>
                <w:color w:val="auto"/>
              </w:rPr>
            </w:pPr>
            <w:r>
              <w:rPr>
                <w:rFonts w:ascii="Arial" w:cs="Arial" w:eastAsia="Arial" w:hAnsi="Arial"/>
                <w:sz w:val="14"/>
                <w:szCs w:val="14"/>
                <w:b w:val="1"/>
                <w:bCs w:val="1"/>
                <w:color w:val="auto"/>
              </w:rPr>
              <w:t>Thomas Freeman</w:t>
            </w: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Termination without Cause / Resignation for Good Reason / Non-Renewal by the Company</w:t>
            </w:r>
          </w:p>
        </w:tc>
        <w:tc>
          <w:tcPr>
            <w:tcW w:w="880" w:type="dxa"/>
            <w:vAlign w:val="bottom"/>
          </w:tcPr>
          <w:p>
            <w:pPr>
              <w:jc w:val="right"/>
              <w:spacing w:after="0"/>
              <w:rPr>
                <w:sz w:val="20"/>
                <w:szCs w:val="20"/>
                <w:color w:val="auto"/>
              </w:rPr>
            </w:pPr>
            <w:r>
              <w:rPr>
                <w:rFonts w:ascii="Arial" w:cs="Arial" w:eastAsia="Arial" w:hAnsi="Arial"/>
                <w:sz w:val="14"/>
                <w:szCs w:val="14"/>
                <w:color w:val="auto"/>
              </w:rPr>
              <w:t>1,036,000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476,000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28,013</w:t>
            </w:r>
          </w:p>
        </w:tc>
        <w:tc>
          <w:tcPr>
            <w:tcW w:w="860" w:type="dxa"/>
            <w:vAlign w:val="bottom"/>
          </w:tcPr>
          <w:p>
            <w:pPr>
              <w:jc w:val="right"/>
              <w:spacing w:after="0"/>
              <w:rPr>
                <w:sz w:val="20"/>
                <w:szCs w:val="20"/>
                <w:color w:val="auto"/>
              </w:rPr>
            </w:pPr>
            <w:r>
              <w:rPr>
                <w:rFonts w:ascii="Arial" w:cs="Arial" w:eastAsia="Arial" w:hAnsi="Arial"/>
                <w:sz w:val="14"/>
                <w:szCs w:val="14"/>
                <w:color w:val="auto"/>
              </w:rPr>
              <w:t>1,540,013</w:t>
            </w: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Termination with Cause / Resignation without Good Reason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Change in Control without Termination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526,303</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526,303</w:t>
            </w: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Change in Control with Qualifying Termination</w:t>
            </w:r>
          </w:p>
        </w:tc>
        <w:tc>
          <w:tcPr>
            <w:tcW w:w="880" w:type="dxa"/>
            <w:vAlign w:val="bottom"/>
          </w:tcPr>
          <w:p>
            <w:pPr>
              <w:jc w:val="right"/>
              <w:spacing w:after="0"/>
              <w:rPr>
                <w:sz w:val="20"/>
                <w:szCs w:val="20"/>
                <w:color w:val="auto"/>
              </w:rPr>
            </w:pPr>
            <w:r>
              <w:rPr>
                <w:rFonts w:ascii="Arial" w:cs="Arial" w:eastAsia="Arial" w:hAnsi="Arial"/>
                <w:sz w:val="14"/>
                <w:szCs w:val="14"/>
                <w:color w:val="auto"/>
              </w:rPr>
              <w:t>1,036,000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476,000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11,939,461</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28,013</w:t>
            </w:r>
          </w:p>
        </w:tc>
        <w:tc>
          <w:tcPr>
            <w:tcW w:w="860" w:type="dxa"/>
            <w:vAlign w:val="bottom"/>
          </w:tcPr>
          <w:p>
            <w:pPr>
              <w:jc w:val="right"/>
              <w:spacing w:after="0"/>
              <w:rPr>
                <w:sz w:val="20"/>
                <w:szCs w:val="20"/>
                <w:color w:val="auto"/>
              </w:rPr>
            </w:pPr>
            <w:r>
              <w:rPr>
                <w:rFonts w:ascii="Arial" w:cs="Arial" w:eastAsia="Arial" w:hAnsi="Arial"/>
                <w:sz w:val="14"/>
                <w:szCs w:val="14"/>
                <w:color w:val="auto"/>
              </w:rPr>
              <w:t>13,479,474</w:t>
            </w:r>
          </w:p>
        </w:tc>
      </w:tr>
      <w:tr>
        <w:trPr>
          <w:trHeight w:val="171"/>
        </w:trPr>
        <w:tc>
          <w:tcPr>
            <w:tcW w:w="6720" w:type="dxa"/>
            <w:vAlign w:val="bottom"/>
            <w:tcBorders>
              <w:bottom w:val="single" w:sz="8" w:color="95B3D7"/>
            </w:tcBorders>
          </w:tcPr>
          <w:p>
            <w:pPr>
              <w:ind w:left="280"/>
              <w:spacing w:after="0"/>
              <w:rPr>
                <w:sz w:val="20"/>
                <w:szCs w:val="20"/>
                <w:color w:val="auto"/>
              </w:rPr>
            </w:pPr>
            <w:r>
              <w:rPr>
                <w:rFonts w:ascii="Arial" w:cs="Arial" w:eastAsia="Arial" w:hAnsi="Arial"/>
                <w:sz w:val="14"/>
                <w:szCs w:val="14"/>
                <w:color w:val="auto"/>
              </w:rPr>
              <w:t>Death, Disability or Non-Renewal by the NEO</w:t>
            </w:r>
          </w:p>
        </w:tc>
        <w:tc>
          <w:tcPr>
            <w:tcW w:w="88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B3D7"/>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B3D7"/>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B3D7"/>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r>
      <w:tr>
        <w:trPr>
          <w:trHeight w:val="210"/>
        </w:trPr>
        <w:tc>
          <w:tcPr>
            <w:tcW w:w="672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Dawn Maroney</w:t>
            </w:r>
          </w:p>
        </w:tc>
        <w:tc>
          <w:tcPr>
            <w:tcW w:w="880" w:type="dxa"/>
            <w:vAlign w:val="bottom"/>
            <w:shd w:val="clear" w:color="auto" w:fill="DBE5F1"/>
          </w:tcPr>
          <w:p>
            <w:pPr>
              <w:spacing w:after="0"/>
              <w:rPr>
                <w:sz w:val="18"/>
                <w:szCs w:val="18"/>
                <w:color w:val="auto"/>
              </w:rPr>
            </w:pPr>
          </w:p>
        </w:tc>
        <w:tc>
          <w:tcPr>
            <w:tcW w:w="780" w:type="dxa"/>
            <w:vAlign w:val="bottom"/>
            <w:shd w:val="clear" w:color="auto" w:fill="DBE5F1"/>
          </w:tcPr>
          <w:p>
            <w:pPr>
              <w:spacing w:after="0"/>
              <w:rPr>
                <w:sz w:val="18"/>
                <w:szCs w:val="18"/>
                <w:color w:val="auto"/>
              </w:rPr>
            </w:pPr>
          </w:p>
        </w:tc>
        <w:tc>
          <w:tcPr>
            <w:tcW w:w="90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Termination without Cause / Resignation for Good Reason / Non-Renewal by the Company</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1,036,000</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476,000</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11,969</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1,523,969</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Termination with Cause / Resignation without Good Reason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Change in Control without Termination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701,741</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701,741</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Change in Control with Qualifying Termination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1,036,000</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476,000</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13,626,462</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11,969</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15,150,430</w:t>
            </w:r>
          </w:p>
        </w:tc>
      </w:tr>
      <w:tr>
        <w:trPr>
          <w:trHeight w:val="162"/>
        </w:trPr>
        <w:tc>
          <w:tcPr>
            <w:tcW w:w="6720" w:type="dxa"/>
            <w:vAlign w:val="bottom"/>
            <w:tcBorders>
              <w:bottom w:val="single" w:sz="8" w:color="95B3D7"/>
            </w:tcBorders>
            <w:shd w:val="clear" w:color="auto" w:fill="DBE5F1"/>
          </w:tcPr>
          <w:p>
            <w:pPr>
              <w:ind w:left="280"/>
              <w:spacing w:after="0"/>
              <w:rPr>
                <w:sz w:val="20"/>
                <w:szCs w:val="20"/>
                <w:color w:val="auto"/>
              </w:rPr>
            </w:pPr>
            <w:r>
              <w:rPr>
                <w:rFonts w:ascii="Arial" w:cs="Arial" w:eastAsia="Arial" w:hAnsi="Arial"/>
                <w:sz w:val="14"/>
                <w:szCs w:val="14"/>
                <w:color w:val="auto"/>
              </w:rPr>
              <w:t>Death, Disability or Non-Renewal by the NEO</w:t>
            </w:r>
          </w:p>
        </w:tc>
        <w:tc>
          <w:tcPr>
            <w:tcW w:w="88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B3D7"/>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6720" w:type="dxa"/>
            <w:vAlign w:val="bottom"/>
          </w:tcPr>
          <w:p>
            <w:pPr>
              <w:spacing w:after="0"/>
              <w:rPr>
                <w:sz w:val="20"/>
                <w:szCs w:val="20"/>
                <w:color w:val="auto"/>
              </w:rPr>
            </w:pPr>
            <w:r>
              <w:rPr>
                <w:rFonts w:ascii="Arial" w:cs="Arial" w:eastAsia="Arial" w:hAnsi="Arial"/>
                <w:sz w:val="14"/>
                <w:szCs w:val="14"/>
                <w:b w:val="1"/>
                <w:bCs w:val="1"/>
                <w:color w:val="auto"/>
              </w:rPr>
              <w:t>Hakan Kardes</w:t>
            </w: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Termination without Cause / Resignation for Good Reason / Non-Renewal by the Company</w:t>
            </w:r>
          </w:p>
        </w:tc>
        <w:tc>
          <w:tcPr>
            <w:tcW w:w="880" w:type="dxa"/>
            <w:vAlign w:val="bottom"/>
          </w:tcPr>
          <w:p>
            <w:pPr>
              <w:jc w:val="right"/>
              <w:spacing w:after="0"/>
              <w:rPr>
                <w:sz w:val="20"/>
                <w:szCs w:val="20"/>
                <w:color w:val="auto"/>
              </w:rPr>
            </w:pPr>
            <w:r>
              <w:rPr>
                <w:rFonts w:ascii="Arial" w:cs="Arial" w:eastAsia="Arial" w:hAnsi="Arial"/>
                <w:sz w:val="14"/>
                <w:szCs w:val="14"/>
                <w:color w:val="auto"/>
              </w:rPr>
              <w:t>786,250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361,250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17,796</w:t>
            </w:r>
          </w:p>
        </w:tc>
        <w:tc>
          <w:tcPr>
            <w:tcW w:w="860" w:type="dxa"/>
            <w:vAlign w:val="bottom"/>
          </w:tcPr>
          <w:p>
            <w:pPr>
              <w:jc w:val="right"/>
              <w:spacing w:after="0"/>
              <w:rPr>
                <w:sz w:val="20"/>
                <w:szCs w:val="20"/>
                <w:color w:val="auto"/>
              </w:rPr>
            </w:pPr>
            <w:r>
              <w:rPr>
                <w:rFonts w:ascii="Arial" w:cs="Arial" w:eastAsia="Arial" w:hAnsi="Arial"/>
                <w:sz w:val="14"/>
                <w:szCs w:val="14"/>
                <w:color w:val="auto"/>
              </w:rPr>
              <w:t>1,165,296</w:t>
            </w: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Termination with Cause / Resignation without Good Reason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Change in Control without Termination</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tcPr>
          <w:p>
            <w:pPr>
              <w:ind w:left="280"/>
              <w:spacing w:after="0"/>
              <w:rPr>
                <w:sz w:val="20"/>
                <w:szCs w:val="20"/>
                <w:color w:val="auto"/>
              </w:rPr>
            </w:pPr>
            <w:r>
              <w:rPr>
                <w:rFonts w:ascii="Arial" w:cs="Arial" w:eastAsia="Arial" w:hAnsi="Arial"/>
                <w:sz w:val="14"/>
                <w:szCs w:val="14"/>
                <w:color w:val="auto"/>
              </w:rPr>
              <w:t>Change in Control with Qualifying Termination</w:t>
            </w:r>
          </w:p>
        </w:tc>
        <w:tc>
          <w:tcPr>
            <w:tcW w:w="880" w:type="dxa"/>
            <w:vAlign w:val="bottom"/>
          </w:tcPr>
          <w:p>
            <w:pPr>
              <w:jc w:val="right"/>
              <w:spacing w:after="0"/>
              <w:rPr>
                <w:sz w:val="20"/>
                <w:szCs w:val="20"/>
                <w:color w:val="auto"/>
              </w:rPr>
            </w:pPr>
            <w:r>
              <w:rPr>
                <w:rFonts w:ascii="Arial" w:cs="Arial" w:eastAsia="Arial" w:hAnsi="Arial"/>
                <w:sz w:val="14"/>
                <w:szCs w:val="14"/>
                <w:color w:val="auto"/>
              </w:rPr>
              <w:t>786,250</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361,250</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4,571,230</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17,796</w:t>
            </w:r>
          </w:p>
        </w:tc>
        <w:tc>
          <w:tcPr>
            <w:tcW w:w="860" w:type="dxa"/>
            <w:vAlign w:val="bottom"/>
          </w:tcPr>
          <w:p>
            <w:pPr>
              <w:jc w:val="right"/>
              <w:spacing w:after="0"/>
              <w:rPr>
                <w:sz w:val="20"/>
                <w:szCs w:val="20"/>
                <w:color w:val="auto"/>
              </w:rPr>
            </w:pPr>
            <w:r>
              <w:rPr>
                <w:rFonts w:ascii="Arial" w:cs="Arial" w:eastAsia="Arial" w:hAnsi="Arial"/>
                <w:sz w:val="14"/>
                <w:szCs w:val="14"/>
                <w:color w:val="auto"/>
              </w:rPr>
              <w:t>5,736,526</w:t>
            </w:r>
          </w:p>
        </w:tc>
      </w:tr>
      <w:tr>
        <w:trPr>
          <w:trHeight w:val="171"/>
        </w:trPr>
        <w:tc>
          <w:tcPr>
            <w:tcW w:w="6720" w:type="dxa"/>
            <w:vAlign w:val="bottom"/>
            <w:tcBorders>
              <w:bottom w:val="single" w:sz="8" w:color="95B3D7"/>
            </w:tcBorders>
          </w:tcPr>
          <w:p>
            <w:pPr>
              <w:ind w:left="280"/>
              <w:spacing w:after="0"/>
              <w:rPr>
                <w:sz w:val="20"/>
                <w:szCs w:val="20"/>
                <w:color w:val="auto"/>
              </w:rPr>
            </w:pPr>
            <w:r>
              <w:rPr>
                <w:rFonts w:ascii="Arial" w:cs="Arial" w:eastAsia="Arial" w:hAnsi="Arial"/>
                <w:sz w:val="14"/>
                <w:szCs w:val="14"/>
                <w:color w:val="auto"/>
              </w:rPr>
              <w:t>Death, Disability or Non-Renewal by the NEO</w:t>
            </w:r>
          </w:p>
        </w:tc>
        <w:tc>
          <w:tcPr>
            <w:tcW w:w="88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B3D7"/>
            </w:tcBorders>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B3D7"/>
            </w:tcBorders>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B3D7"/>
            </w:tcBorders>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B3D7"/>
            </w:tcBorders>
          </w:tcPr>
          <w:p>
            <w:pPr>
              <w:jc w:val="right"/>
              <w:spacing w:after="0"/>
              <w:rPr>
                <w:sz w:val="20"/>
                <w:szCs w:val="20"/>
                <w:color w:val="auto"/>
              </w:rPr>
            </w:pPr>
            <w:r>
              <w:rPr>
                <w:rFonts w:ascii="Arial" w:cs="Arial" w:eastAsia="Arial" w:hAnsi="Arial"/>
                <w:sz w:val="14"/>
                <w:szCs w:val="14"/>
                <w:color w:val="auto"/>
              </w:rPr>
              <w:t>—</w:t>
            </w:r>
          </w:p>
        </w:tc>
      </w:tr>
      <w:tr>
        <w:trPr>
          <w:trHeight w:val="209"/>
        </w:trPr>
        <w:tc>
          <w:tcPr>
            <w:tcW w:w="6720" w:type="dxa"/>
            <w:vAlign w:val="bottom"/>
            <w:shd w:val="clear" w:color="auto" w:fill="DBE5F1"/>
          </w:tcPr>
          <w:p>
            <w:pPr>
              <w:spacing w:after="0"/>
              <w:rPr>
                <w:sz w:val="20"/>
                <w:szCs w:val="20"/>
                <w:color w:val="auto"/>
              </w:rPr>
            </w:pPr>
            <w:r>
              <w:rPr>
                <w:rFonts w:ascii="Arial" w:cs="Arial" w:eastAsia="Arial" w:hAnsi="Arial"/>
                <w:sz w:val="14"/>
                <w:szCs w:val="14"/>
                <w:b w:val="1"/>
                <w:bCs w:val="1"/>
                <w:color w:val="auto"/>
              </w:rPr>
              <w:t>Hyong (Ken) Kim, M.D.</w:t>
            </w:r>
          </w:p>
        </w:tc>
        <w:tc>
          <w:tcPr>
            <w:tcW w:w="880" w:type="dxa"/>
            <w:vAlign w:val="bottom"/>
            <w:shd w:val="clear" w:color="auto" w:fill="DBE5F1"/>
          </w:tcPr>
          <w:p>
            <w:pPr>
              <w:spacing w:after="0"/>
              <w:rPr>
                <w:sz w:val="18"/>
                <w:szCs w:val="18"/>
                <w:color w:val="auto"/>
              </w:rPr>
            </w:pPr>
          </w:p>
        </w:tc>
        <w:tc>
          <w:tcPr>
            <w:tcW w:w="780" w:type="dxa"/>
            <w:vAlign w:val="bottom"/>
            <w:shd w:val="clear" w:color="auto" w:fill="DBE5F1"/>
          </w:tcPr>
          <w:p>
            <w:pPr>
              <w:spacing w:after="0"/>
              <w:rPr>
                <w:sz w:val="18"/>
                <w:szCs w:val="18"/>
                <w:color w:val="auto"/>
              </w:rPr>
            </w:pPr>
          </w:p>
        </w:tc>
        <w:tc>
          <w:tcPr>
            <w:tcW w:w="900" w:type="dxa"/>
            <w:vAlign w:val="bottom"/>
            <w:shd w:val="clear" w:color="auto" w:fill="DBE5F1"/>
          </w:tcPr>
          <w:p>
            <w:pPr>
              <w:spacing w:after="0"/>
              <w:rPr>
                <w:sz w:val="18"/>
                <w:szCs w:val="18"/>
                <w:color w:val="auto"/>
              </w:rPr>
            </w:pPr>
          </w:p>
        </w:tc>
        <w:tc>
          <w:tcPr>
            <w:tcW w:w="880" w:type="dxa"/>
            <w:vAlign w:val="bottom"/>
            <w:shd w:val="clear" w:color="auto" w:fill="DBE5F1"/>
          </w:tcPr>
          <w:p>
            <w:pPr>
              <w:spacing w:after="0"/>
              <w:rPr>
                <w:sz w:val="18"/>
                <w:szCs w:val="18"/>
                <w:color w:val="auto"/>
              </w:rPr>
            </w:pPr>
          </w:p>
        </w:tc>
        <w:tc>
          <w:tcPr>
            <w:tcW w:w="860" w:type="dxa"/>
            <w:vAlign w:val="bottom"/>
            <w:shd w:val="clear" w:color="auto" w:fill="DBE5F1"/>
          </w:tcPr>
          <w:p>
            <w:pPr>
              <w:spacing w:after="0"/>
              <w:rPr>
                <w:sz w:val="18"/>
                <w:szCs w:val="18"/>
                <w:color w:val="auto"/>
              </w:rPr>
            </w:pP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Termination without Cause / Resignation for Good Reason / Non-Renewal by the Company</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1,036,000</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476,000</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19,596</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1,531,596</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Termination with Cause / Resignation without Good Reason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Change in Control without Termination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6720" w:type="dxa"/>
            <w:vAlign w:val="bottom"/>
            <w:shd w:val="clear" w:color="auto" w:fill="DBE5F1"/>
          </w:tcPr>
          <w:p>
            <w:pPr>
              <w:ind w:left="280"/>
              <w:spacing w:after="0"/>
              <w:rPr>
                <w:sz w:val="20"/>
                <w:szCs w:val="20"/>
                <w:color w:val="auto"/>
              </w:rPr>
            </w:pPr>
            <w:r>
              <w:rPr>
                <w:rFonts w:ascii="Arial" w:cs="Arial" w:eastAsia="Arial" w:hAnsi="Arial"/>
                <w:sz w:val="14"/>
                <w:szCs w:val="14"/>
                <w:color w:val="auto"/>
              </w:rPr>
              <w:t>Change in Control with Qualifying Termination</w:t>
            </w:r>
          </w:p>
        </w:tc>
        <w:tc>
          <w:tcPr>
            <w:tcW w:w="880" w:type="dxa"/>
            <w:vAlign w:val="bottom"/>
            <w:shd w:val="clear" w:color="auto" w:fill="DBE5F1"/>
          </w:tcPr>
          <w:p>
            <w:pPr>
              <w:jc w:val="right"/>
              <w:spacing w:after="0"/>
              <w:rPr>
                <w:sz w:val="20"/>
                <w:szCs w:val="20"/>
                <w:color w:val="auto"/>
              </w:rPr>
            </w:pPr>
            <w:r>
              <w:rPr>
                <w:rFonts w:ascii="Arial" w:cs="Arial" w:eastAsia="Arial" w:hAnsi="Arial"/>
                <w:sz w:val="14"/>
                <w:szCs w:val="14"/>
                <w:color w:val="auto"/>
              </w:rPr>
              <w:t>1,036,000</w:t>
            </w:r>
          </w:p>
        </w:tc>
        <w:tc>
          <w:tcPr>
            <w:tcW w:w="7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476,000</w:t>
            </w:r>
          </w:p>
        </w:tc>
        <w:tc>
          <w:tcPr>
            <w:tcW w:w="900" w:type="dxa"/>
            <w:vAlign w:val="bottom"/>
            <w:shd w:val="clear" w:color="auto" w:fill="DBE5F1"/>
          </w:tcPr>
          <w:p>
            <w:pPr>
              <w:jc w:val="right"/>
              <w:ind w:right="8"/>
              <w:spacing w:after="0"/>
              <w:rPr>
                <w:sz w:val="20"/>
                <w:szCs w:val="20"/>
                <w:color w:val="auto"/>
              </w:rPr>
            </w:pPr>
            <w:r>
              <w:rPr>
                <w:rFonts w:ascii="Arial" w:cs="Arial" w:eastAsia="Arial" w:hAnsi="Arial"/>
                <w:sz w:val="14"/>
                <w:szCs w:val="14"/>
                <w:color w:val="auto"/>
              </w:rPr>
              <w:t>3,359,071</w:t>
            </w:r>
          </w:p>
        </w:tc>
        <w:tc>
          <w:tcPr>
            <w:tcW w:w="880" w:type="dxa"/>
            <w:vAlign w:val="bottom"/>
            <w:shd w:val="clear" w:color="auto" w:fill="DBE5F1"/>
          </w:tcPr>
          <w:p>
            <w:pPr>
              <w:jc w:val="right"/>
              <w:ind w:right="28"/>
              <w:spacing w:after="0"/>
              <w:rPr>
                <w:sz w:val="20"/>
                <w:szCs w:val="20"/>
                <w:color w:val="auto"/>
              </w:rPr>
            </w:pPr>
            <w:r>
              <w:rPr>
                <w:rFonts w:ascii="Arial" w:cs="Arial" w:eastAsia="Arial" w:hAnsi="Arial"/>
                <w:sz w:val="14"/>
                <w:szCs w:val="14"/>
                <w:color w:val="auto"/>
              </w:rPr>
              <w:t>19,596</w:t>
            </w:r>
          </w:p>
        </w:tc>
        <w:tc>
          <w:tcPr>
            <w:tcW w:w="860" w:type="dxa"/>
            <w:vAlign w:val="bottom"/>
            <w:shd w:val="clear" w:color="auto" w:fill="DBE5F1"/>
          </w:tcPr>
          <w:p>
            <w:pPr>
              <w:jc w:val="right"/>
              <w:spacing w:after="0"/>
              <w:rPr>
                <w:sz w:val="20"/>
                <w:szCs w:val="20"/>
                <w:color w:val="auto"/>
              </w:rPr>
            </w:pPr>
            <w:r>
              <w:rPr>
                <w:rFonts w:ascii="Arial" w:cs="Arial" w:eastAsia="Arial" w:hAnsi="Arial"/>
                <w:sz w:val="14"/>
                <w:szCs w:val="14"/>
                <w:color w:val="auto"/>
              </w:rPr>
              <w:t>4,890,667</w:t>
            </w:r>
          </w:p>
        </w:tc>
      </w:tr>
      <w:tr>
        <w:trPr>
          <w:trHeight w:val="162"/>
        </w:trPr>
        <w:tc>
          <w:tcPr>
            <w:tcW w:w="6720" w:type="dxa"/>
            <w:vAlign w:val="bottom"/>
            <w:tcBorders>
              <w:bottom w:val="single" w:sz="8" w:color="95B3D7"/>
            </w:tcBorders>
            <w:shd w:val="clear" w:color="auto" w:fill="DBE5F1"/>
          </w:tcPr>
          <w:p>
            <w:pPr>
              <w:ind w:left="280"/>
              <w:spacing w:after="0"/>
              <w:rPr>
                <w:sz w:val="20"/>
                <w:szCs w:val="20"/>
                <w:color w:val="auto"/>
              </w:rPr>
            </w:pPr>
            <w:r>
              <w:rPr>
                <w:rFonts w:ascii="Arial" w:cs="Arial" w:eastAsia="Arial" w:hAnsi="Arial"/>
                <w:sz w:val="14"/>
                <w:szCs w:val="14"/>
                <w:color w:val="auto"/>
              </w:rPr>
              <w:t>Death, Disability or Non-Renewal by the NEO</w:t>
            </w:r>
          </w:p>
        </w:tc>
        <w:tc>
          <w:tcPr>
            <w:tcW w:w="88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95B3D7"/>
            </w:tcBorders>
            <w:shd w:val="clear" w:color="auto" w:fill="DBE5F1"/>
          </w:tcPr>
          <w:p>
            <w:pPr>
              <w:jc w:val="right"/>
              <w:ind w:right="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95B3D7"/>
            </w:tcBorders>
            <w:shd w:val="clear" w:color="auto" w:fill="DBE5F1"/>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95B3D7"/>
            </w:tcBorders>
            <w:shd w:val="clear" w:color="auto" w:fill="DBE5F1"/>
          </w:tcPr>
          <w:p>
            <w:pPr>
              <w:jc w:val="right"/>
              <w:spacing w:after="0"/>
              <w:rPr>
                <w:sz w:val="20"/>
                <w:szCs w:val="20"/>
                <w:color w:val="auto"/>
              </w:rPr>
            </w:pPr>
            <w:r>
              <w:rPr>
                <w:rFonts w:ascii="Arial" w:cs="Arial" w:eastAsia="Arial" w:hAnsi="Arial"/>
                <w:sz w:val="14"/>
                <w:szCs w:val="14"/>
                <w:color w:val="auto"/>
              </w:rPr>
              <w:t>—</w:t>
            </w:r>
          </w:p>
        </w:tc>
      </w:tr>
    </w:tbl>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760" w:hanging="332"/>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assume an annual bonus that is earned at 100% achievement, based on target bonus percentages in effect as of December 31, 2022.</w:t>
      </w:r>
    </w:p>
    <w:p>
      <w:pPr>
        <w:spacing w:after="0" w:line="244" w:lineRule="exact"/>
        <w:rPr>
          <w:rFonts w:ascii="Arial" w:cs="Arial" w:eastAsia="Arial" w:hAnsi="Arial"/>
          <w:sz w:val="14"/>
          <w:szCs w:val="14"/>
          <w:color w:val="auto"/>
        </w:rPr>
      </w:pPr>
    </w:p>
    <w:p>
      <w:pPr>
        <w:ind w:left="760" w:hanging="332"/>
        <w:spacing w:after="0"/>
        <w:tabs>
          <w:tab w:leader="none" w:pos="760" w:val="left"/>
        </w:tabs>
        <w:numPr>
          <w:ilvl w:val="0"/>
          <w:numId w:val="58"/>
        </w:numPr>
        <w:rPr>
          <w:rFonts w:ascii="Arial" w:cs="Arial" w:eastAsia="Arial" w:hAnsi="Arial"/>
          <w:sz w:val="14"/>
          <w:szCs w:val="14"/>
          <w:color w:val="auto"/>
        </w:rPr>
      </w:pPr>
      <w:r>
        <w:rPr>
          <w:rFonts w:ascii="Arial" w:cs="Arial" w:eastAsia="Arial" w:hAnsi="Arial"/>
          <w:sz w:val="14"/>
          <w:szCs w:val="14"/>
          <w:color w:val="auto"/>
        </w:rPr>
        <w:t>Amounts assume PSUs are deemed earned at target.</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20"/>
          </w:cols>
          <w:pgMar w:left="440" w:top="303" w:right="439" w:bottom="1440" w:gutter="0" w:footer="0" w:header="0"/>
        </w:sectPr>
      </w:pPr>
    </w:p>
    <w:bookmarkStart w:id="73" w:name="page74"/>
    <w:bookmarkEnd w:id="73"/>
    <w:p>
      <w:pPr>
        <w:jc w:val="both"/>
        <w:ind w:right="360" w:firstLine="44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severance payments and benefits described above are subject to the executive’s execution and non-revocation of a general release of claims in favor of the Company and continued compliance with customary confidentiality and non-solicitation requirements, then, in addition to any accrued amounts.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Non-Employee Director Compensation</w:t>
      </w:r>
    </w:p>
    <w:p>
      <w:pPr>
        <w:spacing w:after="0" w:line="212" w:lineRule="exact"/>
        <w:rPr>
          <w:sz w:val="20"/>
          <w:szCs w:val="20"/>
          <w:color w:val="auto"/>
        </w:rPr>
      </w:pPr>
    </w:p>
    <w:p>
      <w:pPr>
        <w:ind w:right="40" w:firstLine="440"/>
        <w:spacing w:after="0"/>
        <w:rPr>
          <w:sz w:val="20"/>
          <w:szCs w:val="20"/>
          <w:color w:val="auto"/>
        </w:rPr>
      </w:pPr>
      <w:r>
        <w:rPr>
          <w:rFonts w:ascii="Arial" w:cs="Arial" w:eastAsia="Arial" w:hAnsi="Arial"/>
          <w:sz w:val="18"/>
          <w:szCs w:val="18"/>
          <w:color w:val="auto"/>
        </w:rPr>
        <w:t>Each of our non-employee directors receives an annual director fee and equity awards in connection with their services. In addition, each director is reimbursed for out-of-pocket expenses in connection with his or her services. While Mr. Kao serves as a director on the Board, he does not receive any compensation for his services as a director and information on his compensation as Chief Executive Officer of the Company is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During 2023, Mr. Konowiecki served in an executive role with the Company and did not receive separate compensation for his service as a director. His employment with the Company terminated as of December 31, 2023. See “</w:t>
      </w:r>
      <w:r>
        <w:rPr>
          <w:rFonts w:ascii="Arial" w:cs="Arial" w:eastAsia="Arial" w:hAnsi="Arial"/>
          <w:sz w:val="18"/>
          <w:szCs w:val="18"/>
          <w:i w:val="1"/>
          <w:iCs w:val="1"/>
          <w:color w:val="auto"/>
        </w:rPr>
        <w:t>Certain Relationships and Related Party Transactions—Related-Party Transactions—Konowiecki Employment</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 For 2024, Mr. Konowiecki will again be compensated under the Policy (defined below).</w:t>
      </w:r>
    </w:p>
    <w:p>
      <w:pPr>
        <w:spacing w:after="0" w:line="185"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The Board has adopted a non-employee director compensation policy (as amended from time to time, the “Policy”). Under the Policy, newly elected non-employee directors will receive a one-time commencement award of restricted shares or restricted stock units equal to $200,000, with vesting annually over three years. Non-employee directors receive annual compensation with an aggregate annual value of $250,000, consisting of a cash retainer in an amount elected by each director from $0 to $100,000, with the balance of the aggregate compensation value paid as an equity grant of restricted shares or restricted stock units, with vesting on the first anniversary of the grant date. Directors are permitted to defer receipt of their RSU awards until the earlier of (i) three years from the grant date (or, if earlier, separation from service or change of control), (ii) five years from the grant date (or, if earlier, separation from service or change of control), or (iii) separation form service (or, if earlier, change of control).</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Under the Policy, in addition to the base annual compensation payable to each board member:</w:t>
      </w:r>
    </w:p>
    <w:p>
      <w:pPr>
        <w:spacing w:after="0" w:line="239" w:lineRule="exact"/>
        <w:rPr>
          <w:sz w:val="20"/>
          <w:szCs w:val="20"/>
          <w:color w:val="auto"/>
        </w:rPr>
      </w:pPr>
    </w:p>
    <w:p>
      <w:pPr>
        <w:ind w:left="1080" w:right="220" w:hanging="315"/>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independent chairman of the Board, if applicable, will receive an annual retainer of $200,000 in restricted stock units or other long-term equity incentives, with vesting on occurring on the first anniversary of the grant date;</w:t>
      </w:r>
    </w:p>
    <w:p>
      <w:pPr>
        <w:spacing w:after="0" w:line="180" w:lineRule="exact"/>
        <w:rPr>
          <w:rFonts w:ascii="Arial" w:cs="Arial" w:eastAsia="Arial" w:hAnsi="Arial"/>
          <w:sz w:val="18"/>
          <w:szCs w:val="18"/>
          <w:color w:val="auto"/>
        </w:rPr>
      </w:pPr>
    </w:p>
    <w:p>
      <w:pPr>
        <w:ind w:left="1080" w:right="40" w:hanging="315"/>
        <w:spacing w:after="0" w:line="271" w:lineRule="auto"/>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Lead Independent Director, if applicable, will receive an annual retainer of $35,000, payable 50% in cash and 50% in restricted stock units or other long-term equity incentives, with vesting on occurring on the first anniversary of the grant date;</w:t>
      </w:r>
    </w:p>
    <w:p>
      <w:pPr>
        <w:spacing w:after="0" w:line="180" w:lineRule="exact"/>
        <w:rPr>
          <w:rFonts w:ascii="Arial" w:cs="Arial" w:eastAsia="Arial" w:hAnsi="Arial"/>
          <w:sz w:val="18"/>
          <w:szCs w:val="18"/>
          <w:color w:val="auto"/>
        </w:rPr>
      </w:pPr>
    </w:p>
    <w:p>
      <w:pPr>
        <w:ind w:left="1080" w:hanging="315"/>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chairman of the Audit committee will receive an annual cash retainer of $25,000;</w:t>
      </w:r>
    </w:p>
    <w:p>
      <w:pPr>
        <w:spacing w:after="0" w:line="238" w:lineRule="exact"/>
        <w:rPr>
          <w:rFonts w:ascii="Arial" w:cs="Arial" w:eastAsia="Arial" w:hAnsi="Arial"/>
          <w:sz w:val="18"/>
          <w:szCs w:val="18"/>
          <w:color w:val="auto"/>
        </w:rPr>
      </w:pPr>
    </w:p>
    <w:p>
      <w:pPr>
        <w:ind w:left="1080" w:hanging="315"/>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members of the Audit Committee will receive an annual cash retainer of $10,000;</w:t>
      </w:r>
    </w:p>
    <w:p>
      <w:pPr>
        <w:spacing w:after="0" w:line="238" w:lineRule="exact"/>
        <w:rPr>
          <w:rFonts w:ascii="Arial" w:cs="Arial" w:eastAsia="Arial" w:hAnsi="Arial"/>
          <w:sz w:val="18"/>
          <w:szCs w:val="18"/>
          <w:color w:val="auto"/>
        </w:rPr>
      </w:pPr>
    </w:p>
    <w:p>
      <w:pPr>
        <w:ind w:left="1080" w:hanging="315"/>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chairman of the Compensation Committee and NCGCC will each receive an annual cash retainer of $20,000; and</w:t>
      </w:r>
    </w:p>
    <w:p>
      <w:pPr>
        <w:spacing w:after="0" w:line="238" w:lineRule="exact"/>
        <w:rPr>
          <w:rFonts w:ascii="Arial" w:cs="Arial" w:eastAsia="Arial" w:hAnsi="Arial"/>
          <w:sz w:val="18"/>
          <w:szCs w:val="18"/>
          <w:color w:val="auto"/>
        </w:rPr>
      </w:pPr>
    </w:p>
    <w:p>
      <w:pPr>
        <w:ind w:left="1080" w:hanging="315"/>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member of the Compensation Committee and NCGCC will receive an annual cash retainer of $7,500.</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All cash retainers are paid in quarterly installments in arrears.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96" w:right="459" w:bottom="1440" w:gutter="0" w:footer="0" w:header="0"/>
        </w:sectPr>
      </w:pPr>
    </w:p>
    <w:bookmarkStart w:id="74" w:name="page75"/>
    <w:bookmarkEnd w:id="74"/>
    <w:p>
      <w:pPr>
        <w:ind w:left="4" w:right="320" w:firstLine="440"/>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summarizes, for each of our non-employee directors, the compensation received by such director for the year ended December 31, 2023.</w:t>
      </w:r>
    </w:p>
    <w:p>
      <w:pPr>
        <w:spacing w:after="0" w:line="187" w:lineRule="exact"/>
        <w:rPr>
          <w:sz w:val="20"/>
          <w:szCs w:val="20"/>
          <w:color w:val="auto"/>
        </w:rPr>
      </w:pPr>
    </w:p>
    <w:tbl>
      <w:tblPr>
        <w:tblLayout w:type="fixed"/>
        <w:tblInd w:w="1104"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20" w:type="dxa"/>
            <w:vAlign w:val="bottom"/>
          </w:tcPr>
          <w:p>
            <w:pPr>
              <w:jc w:val="center"/>
              <w:ind w:left="169"/>
              <w:spacing w:after="0"/>
              <w:rPr>
                <w:sz w:val="20"/>
                <w:szCs w:val="20"/>
                <w:color w:val="auto"/>
              </w:rPr>
            </w:pPr>
            <w:r>
              <w:rPr>
                <w:rFonts w:ascii="Arial" w:cs="Arial" w:eastAsia="Arial" w:hAnsi="Arial"/>
                <w:sz w:val="14"/>
                <w:szCs w:val="14"/>
                <w:b w:val="1"/>
                <w:bCs w:val="1"/>
                <w:color w:val="auto"/>
              </w:rPr>
              <w:t>Fees Earned or</w:t>
            </w:r>
          </w:p>
        </w:tc>
        <w:tc>
          <w:tcPr>
            <w:tcW w:w="1320" w:type="dxa"/>
            <w:vAlign w:val="bottom"/>
          </w:tcPr>
          <w:p>
            <w:pPr>
              <w:jc w:val="center"/>
              <w:ind w:left="149"/>
              <w:spacing w:after="0"/>
              <w:rPr>
                <w:sz w:val="20"/>
                <w:szCs w:val="20"/>
                <w:color w:val="auto"/>
              </w:rPr>
            </w:pPr>
            <w:r>
              <w:rPr>
                <w:rFonts w:ascii="Arial" w:cs="Arial" w:eastAsia="Arial" w:hAnsi="Arial"/>
                <w:sz w:val="14"/>
                <w:szCs w:val="14"/>
                <w:b w:val="1"/>
                <w:bCs w:val="1"/>
                <w:color w:val="auto"/>
                <w:w w:val="99"/>
              </w:rPr>
              <w:t>Stock</w:t>
            </w:r>
          </w:p>
        </w:tc>
        <w:tc>
          <w:tcPr>
            <w:tcW w:w="2060" w:type="dxa"/>
            <w:vAlign w:val="bottom"/>
          </w:tcPr>
          <w:p>
            <w:pPr>
              <w:jc w:val="center"/>
              <w:ind w:left="309"/>
              <w:spacing w:after="0"/>
              <w:rPr>
                <w:sz w:val="20"/>
                <w:szCs w:val="20"/>
                <w:color w:val="auto"/>
              </w:rPr>
            </w:pPr>
            <w:r>
              <w:rPr>
                <w:rFonts w:ascii="Arial" w:cs="Arial" w:eastAsia="Arial" w:hAnsi="Arial"/>
                <w:sz w:val="14"/>
                <w:szCs w:val="14"/>
                <w:b w:val="1"/>
                <w:bCs w:val="1"/>
                <w:color w:val="auto"/>
              </w:rPr>
              <w:t>All Other</w:t>
            </w:r>
          </w:p>
        </w:tc>
        <w:tc>
          <w:tcPr>
            <w:tcW w:w="1380" w:type="dxa"/>
            <w:vAlign w:val="bottom"/>
          </w:tcPr>
          <w:p>
            <w:pPr>
              <w:spacing w:after="0"/>
              <w:rPr>
                <w:sz w:val="14"/>
                <w:szCs w:val="14"/>
                <w:color w:val="auto"/>
              </w:rPr>
            </w:pPr>
          </w:p>
        </w:tc>
      </w:tr>
      <w:tr>
        <w:trPr>
          <w:trHeight w:val="166"/>
        </w:trPr>
        <w:tc>
          <w:tcPr>
            <w:tcW w:w="2120" w:type="dxa"/>
            <w:vAlign w:val="bottom"/>
          </w:tcPr>
          <w:p>
            <w:pPr>
              <w:spacing w:after="0"/>
              <w:rPr>
                <w:sz w:val="14"/>
                <w:szCs w:val="14"/>
                <w:color w:val="auto"/>
              </w:rPr>
            </w:pPr>
          </w:p>
        </w:tc>
        <w:tc>
          <w:tcPr>
            <w:tcW w:w="1920" w:type="dxa"/>
            <w:vAlign w:val="bottom"/>
          </w:tcPr>
          <w:p>
            <w:pPr>
              <w:jc w:val="center"/>
              <w:ind w:left="169"/>
              <w:spacing w:after="0" w:line="166" w:lineRule="exact"/>
              <w:rPr>
                <w:sz w:val="20"/>
                <w:szCs w:val="20"/>
                <w:color w:val="auto"/>
              </w:rPr>
            </w:pPr>
            <w:r>
              <w:rPr>
                <w:rFonts w:ascii="Arial" w:cs="Arial" w:eastAsia="Arial" w:hAnsi="Arial"/>
                <w:sz w:val="13"/>
                <w:szCs w:val="13"/>
                <w:b w:val="1"/>
                <w:bCs w:val="1"/>
                <w:color w:val="auto"/>
              </w:rPr>
              <w:t>Paid in Cash</w:t>
            </w:r>
            <w:r>
              <w:rPr>
                <w:rFonts w:ascii="Arial" w:cs="Arial" w:eastAsia="Arial" w:hAnsi="Arial"/>
                <w:sz w:val="19"/>
                <w:szCs w:val="19"/>
                <w:b w:val="1"/>
                <w:bCs w:val="1"/>
                <w:color w:val="auto"/>
                <w:vertAlign w:val="superscript"/>
              </w:rPr>
              <w:t>(1)</w:t>
            </w:r>
          </w:p>
        </w:tc>
        <w:tc>
          <w:tcPr>
            <w:tcW w:w="1320" w:type="dxa"/>
            <w:vAlign w:val="bottom"/>
          </w:tcPr>
          <w:p>
            <w:pPr>
              <w:jc w:val="center"/>
              <w:ind w:left="149"/>
              <w:spacing w:after="0" w:line="166" w:lineRule="exact"/>
              <w:rPr>
                <w:sz w:val="20"/>
                <w:szCs w:val="20"/>
                <w:color w:val="auto"/>
              </w:rPr>
            </w:pPr>
            <w:r>
              <w:rPr>
                <w:rFonts w:ascii="Arial" w:cs="Arial" w:eastAsia="Arial" w:hAnsi="Arial"/>
                <w:sz w:val="13"/>
                <w:szCs w:val="13"/>
                <w:b w:val="1"/>
                <w:bCs w:val="1"/>
                <w:color w:val="auto"/>
              </w:rPr>
              <w:t>Awards</w:t>
            </w:r>
            <w:r>
              <w:rPr>
                <w:rFonts w:ascii="Arial" w:cs="Arial" w:eastAsia="Arial" w:hAnsi="Arial"/>
                <w:sz w:val="19"/>
                <w:szCs w:val="19"/>
                <w:b w:val="1"/>
                <w:bCs w:val="1"/>
                <w:color w:val="auto"/>
                <w:vertAlign w:val="superscript"/>
              </w:rPr>
              <w:t>(2)</w:t>
            </w:r>
          </w:p>
        </w:tc>
        <w:tc>
          <w:tcPr>
            <w:tcW w:w="2060" w:type="dxa"/>
            <w:vAlign w:val="bottom"/>
          </w:tcPr>
          <w:p>
            <w:pPr>
              <w:jc w:val="center"/>
              <w:ind w:left="309"/>
              <w:spacing w:after="0"/>
              <w:rPr>
                <w:sz w:val="20"/>
                <w:szCs w:val="20"/>
                <w:color w:val="auto"/>
              </w:rPr>
            </w:pPr>
            <w:r>
              <w:rPr>
                <w:rFonts w:ascii="Arial" w:cs="Arial" w:eastAsia="Arial" w:hAnsi="Arial"/>
                <w:sz w:val="14"/>
                <w:szCs w:val="14"/>
                <w:b w:val="1"/>
                <w:bCs w:val="1"/>
                <w:color w:val="auto"/>
              </w:rPr>
              <w:t>Compensation</w:t>
            </w:r>
          </w:p>
        </w:tc>
        <w:tc>
          <w:tcPr>
            <w:tcW w:w="1380" w:type="dxa"/>
            <w:vAlign w:val="bottom"/>
          </w:tcPr>
          <w:p>
            <w:pPr>
              <w:ind w:left="700"/>
              <w:spacing w:after="0"/>
              <w:rPr>
                <w:sz w:val="20"/>
                <w:szCs w:val="20"/>
                <w:color w:val="auto"/>
              </w:rPr>
            </w:pPr>
            <w:r>
              <w:rPr>
                <w:rFonts w:ascii="Arial" w:cs="Arial" w:eastAsia="Arial" w:hAnsi="Arial"/>
                <w:sz w:val="14"/>
                <w:szCs w:val="14"/>
                <w:b w:val="1"/>
                <w:bCs w:val="1"/>
                <w:color w:val="auto"/>
              </w:rPr>
              <w:t>Total</w:t>
            </w:r>
          </w:p>
        </w:tc>
      </w:tr>
      <w:tr>
        <w:trPr>
          <w:trHeight w:val="185"/>
        </w:trPr>
        <w:tc>
          <w:tcPr>
            <w:tcW w:w="2120" w:type="dxa"/>
            <w:vAlign w:val="bottom"/>
            <w:tcBorders>
              <w:bottom w:val="single" w:sz="8" w:color="95B3D7"/>
            </w:tcBorders>
          </w:tcPr>
          <w:p>
            <w:pPr>
              <w:spacing w:after="0"/>
              <w:rPr>
                <w:sz w:val="16"/>
                <w:szCs w:val="16"/>
                <w:color w:val="auto"/>
              </w:rPr>
            </w:pPr>
          </w:p>
        </w:tc>
        <w:tc>
          <w:tcPr>
            <w:tcW w:w="1920" w:type="dxa"/>
            <w:vAlign w:val="bottom"/>
            <w:tcBorders>
              <w:bottom w:val="single" w:sz="8" w:color="95B3D7"/>
            </w:tcBorders>
          </w:tcPr>
          <w:p>
            <w:pPr>
              <w:jc w:val="center"/>
              <w:ind w:left="149"/>
              <w:spacing w:after="0"/>
              <w:rPr>
                <w:sz w:val="20"/>
                <w:szCs w:val="20"/>
                <w:color w:val="auto"/>
              </w:rPr>
            </w:pPr>
            <w:r>
              <w:rPr>
                <w:rFonts w:ascii="Arial" w:cs="Arial" w:eastAsia="Arial" w:hAnsi="Arial"/>
                <w:sz w:val="14"/>
                <w:szCs w:val="14"/>
                <w:b w:val="1"/>
                <w:bCs w:val="1"/>
                <w:color w:val="auto"/>
              </w:rPr>
              <w:t>($)</w:t>
            </w:r>
          </w:p>
        </w:tc>
        <w:tc>
          <w:tcPr>
            <w:tcW w:w="1320" w:type="dxa"/>
            <w:vAlign w:val="bottom"/>
            <w:tcBorders>
              <w:bottom w:val="single" w:sz="8" w:color="95B3D7"/>
            </w:tcBorders>
          </w:tcPr>
          <w:p>
            <w:pPr>
              <w:jc w:val="center"/>
              <w:ind w:left="149"/>
              <w:spacing w:after="0"/>
              <w:rPr>
                <w:sz w:val="20"/>
                <w:szCs w:val="20"/>
                <w:color w:val="auto"/>
              </w:rPr>
            </w:pPr>
            <w:r>
              <w:rPr>
                <w:rFonts w:ascii="Arial" w:cs="Arial" w:eastAsia="Arial" w:hAnsi="Arial"/>
                <w:sz w:val="14"/>
                <w:szCs w:val="14"/>
                <w:b w:val="1"/>
                <w:bCs w:val="1"/>
                <w:color w:val="auto"/>
              </w:rPr>
              <w:t>($)</w:t>
            </w:r>
          </w:p>
        </w:tc>
        <w:tc>
          <w:tcPr>
            <w:tcW w:w="2060" w:type="dxa"/>
            <w:vAlign w:val="bottom"/>
            <w:tcBorders>
              <w:bottom w:val="single" w:sz="8" w:color="95B3D7"/>
            </w:tcBorders>
          </w:tcPr>
          <w:p>
            <w:pPr>
              <w:jc w:val="center"/>
              <w:ind w:left="329"/>
              <w:spacing w:after="0"/>
              <w:rPr>
                <w:sz w:val="20"/>
                <w:szCs w:val="20"/>
                <w:color w:val="auto"/>
              </w:rPr>
            </w:pPr>
            <w:r>
              <w:rPr>
                <w:rFonts w:ascii="Arial" w:cs="Arial" w:eastAsia="Arial" w:hAnsi="Arial"/>
                <w:sz w:val="14"/>
                <w:szCs w:val="14"/>
                <w:b w:val="1"/>
                <w:bCs w:val="1"/>
                <w:color w:val="auto"/>
              </w:rPr>
              <w:t>($)</w:t>
            </w:r>
          </w:p>
        </w:tc>
        <w:tc>
          <w:tcPr>
            <w:tcW w:w="1380" w:type="dxa"/>
            <w:vAlign w:val="bottom"/>
            <w:tcBorders>
              <w:bottom w:val="single" w:sz="8" w:color="95B3D7"/>
            </w:tcBorders>
          </w:tcPr>
          <w:p>
            <w:pPr>
              <w:jc w:val="center"/>
              <w:ind w:left="268"/>
              <w:spacing w:after="0"/>
              <w:rPr>
                <w:sz w:val="20"/>
                <w:szCs w:val="20"/>
                <w:color w:val="auto"/>
              </w:rPr>
            </w:pPr>
            <w:r>
              <w:rPr>
                <w:rFonts w:ascii="Arial" w:cs="Arial" w:eastAsia="Arial" w:hAnsi="Arial"/>
                <w:sz w:val="14"/>
                <w:szCs w:val="14"/>
                <w:b w:val="1"/>
                <w:bCs w:val="1"/>
                <w:color w:val="auto"/>
                <w:w w:val="93"/>
              </w:rPr>
              <w:t>($)</w:t>
            </w:r>
          </w:p>
        </w:tc>
      </w:tr>
      <w:tr>
        <w:trPr>
          <w:trHeight w:val="155"/>
        </w:trPr>
        <w:tc>
          <w:tcPr>
            <w:tcW w:w="21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Jody Bilney</w:t>
            </w:r>
          </w:p>
        </w:tc>
        <w:tc>
          <w:tcPr>
            <w:tcW w:w="1920" w:type="dxa"/>
            <w:vAlign w:val="bottom"/>
            <w:tcBorders>
              <w:bottom w:val="single" w:sz="8" w:color="95B3D7"/>
              <w:right w:val="single" w:sz="8" w:color="95B3D7"/>
            </w:tcBorders>
            <w:shd w:val="clear" w:color="auto" w:fill="DBE5F1"/>
          </w:tcPr>
          <w:p>
            <w:pPr>
              <w:jc w:val="center"/>
              <w:ind w:left="169"/>
              <w:spacing w:after="0" w:line="155" w:lineRule="exact"/>
              <w:rPr>
                <w:sz w:val="20"/>
                <w:szCs w:val="20"/>
                <w:color w:val="auto"/>
              </w:rPr>
            </w:pPr>
            <w:r>
              <w:rPr>
                <w:rFonts w:ascii="Arial" w:cs="Arial" w:eastAsia="Arial" w:hAnsi="Arial"/>
                <w:sz w:val="14"/>
                <w:szCs w:val="14"/>
                <w:color w:val="auto"/>
              </w:rPr>
              <w:t>57,500</w:t>
            </w:r>
          </w:p>
        </w:tc>
        <w:tc>
          <w:tcPr>
            <w:tcW w:w="1320" w:type="dxa"/>
            <w:vAlign w:val="bottom"/>
            <w:tcBorders>
              <w:bottom w:val="single" w:sz="8" w:color="95B3D7"/>
              <w:right w:val="single" w:sz="8" w:color="95B3D7"/>
            </w:tcBorders>
            <w:shd w:val="clear" w:color="auto" w:fill="DBE5F1"/>
          </w:tcPr>
          <w:p>
            <w:pPr>
              <w:jc w:val="center"/>
              <w:ind w:left="129"/>
              <w:spacing w:after="0" w:line="155" w:lineRule="exact"/>
              <w:rPr>
                <w:sz w:val="20"/>
                <w:szCs w:val="20"/>
                <w:color w:val="auto"/>
              </w:rPr>
            </w:pPr>
            <w:r>
              <w:rPr>
                <w:rFonts w:ascii="Arial" w:cs="Arial" w:eastAsia="Arial" w:hAnsi="Arial"/>
                <w:sz w:val="14"/>
                <w:szCs w:val="14"/>
                <w:color w:val="auto"/>
              </w:rPr>
              <w:t>200,000</w:t>
            </w:r>
          </w:p>
        </w:tc>
        <w:tc>
          <w:tcPr>
            <w:tcW w:w="2060" w:type="dxa"/>
            <w:vAlign w:val="bottom"/>
            <w:tcBorders>
              <w:bottom w:val="single" w:sz="8" w:color="95B3D7"/>
              <w:right w:val="single" w:sz="8" w:color="95B3D7"/>
            </w:tcBorders>
            <w:shd w:val="clear" w:color="auto" w:fill="DBE5F1"/>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shd w:val="clear" w:color="auto" w:fill="DBE5F1"/>
          </w:tcPr>
          <w:p>
            <w:pPr>
              <w:jc w:val="center"/>
              <w:ind w:left="268"/>
              <w:spacing w:after="0" w:line="155" w:lineRule="exact"/>
              <w:rPr>
                <w:sz w:val="20"/>
                <w:szCs w:val="20"/>
                <w:color w:val="auto"/>
              </w:rPr>
            </w:pPr>
            <w:r>
              <w:rPr>
                <w:rFonts w:ascii="Arial" w:cs="Arial" w:eastAsia="Arial" w:hAnsi="Arial"/>
                <w:sz w:val="14"/>
                <w:szCs w:val="14"/>
                <w:color w:val="auto"/>
              </w:rPr>
              <w:t>257,500</w:t>
            </w:r>
          </w:p>
        </w:tc>
      </w:tr>
      <w:tr>
        <w:trPr>
          <w:trHeight w:val="156"/>
        </w:trPr>
        <w:tc>
          <w:tcPr>
            <w:tcW w:w="21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Thomas Carella</w:t>
            </w:r>
          </w:p>
        </w:tc>
        <w:tc>
          <w:tcPr>
            <w:tcW w:w="1920" w:type="dxa"/>
            <w:vAlign w:val="bottom"/>
            <w:tcBorders>
              <w:bottom w:val="single" w:sz="8" w:color="95B3D7"/>
              <w:right w:val="single" w:sz="8" w:color="95B3D7"/>
            </w:tcBorders>
          </w:tcPr>
          <w:p>
            <w:pPr>
              <w:jc w:val="center"/>
              <w:ind w:left="169"/>
              <w:spacing w:after="0" w:line="155" w:lineRule="exact"/>
              <w:rPr>
                <w:sz w:val="20"/>
                <w:szCs w:val="20"/>
                <w:color w:val="auto"/>
              </w:rPr>
            </w:pPr>
            <w:r>
              <w:rPr>
                <w:rFonts w:ascii="Arial" w:cs="Arial" w:eastAsia="Arial" w:hAnsi="Arial"/>
                <w:sz w:val="14"/>
                <w:szCs w:val="14"/>
                <w:color w:val="auto"/>
              </w:rPr>
              <w:t>57,500</w:t>
            </w:r>
          </w:p>
        </w:tc>
        <w:tc>
          <w:tcPr>
            <w:tcW w:w="1320" w:type="dxa"/>
            <w:vAlign w:val="bottom"/>
            <w:tcBorders>
              <w:bottom w:val="single" w:sz="8" w:color="95B3D7"/>
              <w:right w:val="single" w:sz="8" w:color="95B3D7"/>
            </w:tcBorders>
          </w:tcPr>
          <w:p>
            <w:pPr>
              <w:jc w:val="center"/>
              <w:ind w:left="129"/>
              <w:spacing w:after="0" w:line="155" w:lineRule="exact"/>
              <w:rPr>
                <w:sz w:val="20"/>
                <w:szCs w:val="20"/>
                <w:color w:val="auto"/>
              </w:rPr>
            </w:pPr>
            <w:r>
              <w:rPr>
                <w:rFonts w:ascii="Arial" w:cs="Arial" w:eastAsia="Arial" w:hAnsi="Arial"/>
                <w:sz w:val="14"/>
                <w:szCs w:val="14"/>
                <w:color w:val="auto"/>
              </w:rPr>
              <w:t>200,000</w:t>
            </w:r>
          </w:p>
        </w:tc>
        <w:tc>
          <w:tcPr>
            <w:tcW w:w="2060" w:type="dxa"/>
            <w:vAlign w:val="bottom"/>
            <w:tcBorders>
              <w:bottom w:val="single" w:sz="8" w:color="95B3D7"/>
              <w:right w:val="single" w:sz="8" w:color="95B3D7"/>
            </w:tcBorders>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tcPr>
          <w:p>
            <w:pPr>
              <w:jc w:val="center"/>
              <w:ind w:left="268"/>
              <w:spacing w:after="0" w:line="155" w:lineRule="exact"/>
              <w:rPr>
                <w:sz w:val="20"/>
                <w:szCs w:val="20"/>
                <w:color w:val="auto"/>
              </w:rPr>
            </w:pPr>
            <w:r>
              <w:rPr>
                <w:rFonts w:ascii="Arial" w:cs="Arial" w:eastAsia="Arial" w:hAnsi="Arial"/>
                <w:sz w:val="14"/>
                <w:szCs w:val="14"/>
                <w:color w:val="auto"/>
              </w:rPr>
              <w:t>257,500</w:t>
            </w:r>
          </w:p>
        </w:tc>
      </w:tr>
      <w:tr>
        <w:trPr>
          <w:trHeight w:val="156"/>
        </w:trPr>
        <w:tc>
          <w:tcPr>
            <w:tcW w:w="21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David Hodgson</w:t>
            </w:r>
          </w:p>
        </w:tc>
        <w:tc>
          <w:tcPr>
            <w:tcW w:w="1920" w:type="dxa"/>
            <w:vAlign w:val="bottom"/>
            <w:tcBorders>
              <w:bottom w:val="single" w:sz="8" w:color="95B3D7"/>
              <w:right w:val="single" w:sz="8" w:color="95B3D7"/>
            </w:tcBorders>
            <w:shd w:val="clear" w:color="auto" w:fill="DBE5F1"/>
          </w:tcPr>
          <w:p>
            <w:pPr>
              <w:jc w:val="center"/>
              <w:ind w:left="169"/>
              <w:spacing w:after="0" w:line="155" w:lineRule="exact"/>
              <w:rPr>
                <w:sz w:val="20"/>
                <w:szCs w:val="20"/>
                <w:color w:val="auto"/>
              </w:rPr>
            </w:pPr>
            <w:r>
              <w:rPr>
                <w:rFonts w:ascii="Arial" w:cs="Arial" w:eastAsia="Arial" w:hAnsi="Arial"/>
                <w:sz w:val="14"/>
                <w:szCs w:val="14"/>
                <w:color w:val="auto"/>
              </w:rPr>
              <w:t>20,000</w:t>
            </w:r>
          </w:p>
        </w:tc>
        <w:tc>
          <w:tcPr>
            <w:tcW w:w="1320" w:type="dxa"/>
            <w:vAlign w:val="bottom"/>
            <w:tcBorders>
              <w:bottom w:val="single" w:sz="8" w:color="95B3D7"/>
              <w:right w:val="single" w:sz="8" w:color="95B3D7"/>
            </w:tcBorders>
            <w:shd w:val="clear" w:color="auto" w:fill="DBE5F1"/>
          </w:tcPr>
          <w:p>
            <w:pPr>
              <w:jc w:val="center"/>
              <w:ind w:left="129"/>
              <w:spacing w:after="0" w:line="155" w:lineRule="exact"/>
              <w:rPr>
                <w:sz w:val="20"/>
                <w:szCs w:val="20"/>
                <w:color w:val="auto"/>
              </w:rPr>
            </w:pPr>
            <w:r>
              <w:rPr>
                <w:rFonts w:ascii="Arial" w:cs="Arial" w:eastAsia="Arial" w:hAnsi="Arial"/>
                <w:sz w:val="14"/>
                <w:szCs w:val="14"/>
                <w:color w:val="auto"/>
              </w:rPr>
              <w:t>250,000</w:t>
            </w:r>
          </w:p>
        </w:tc>
        <w:tc>
          <w:tcPr>
            <w:tcW w:w="2060" w:type="dxa"/>
            <w:vAlign w:val="bottom"/>
            <w:tcBorders>
              <w:bottom w:val="single" w:sz="8" w:color="95B3D7"/>
              <w:right w:val="single" w:sz="8" w:color="95B3D7"/>
            </w:tcBorders>
            <w:shd w:val="clear" w:color="auto" w:fill="DBE5F1"/>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shd w:val="clear" w:color="auto" w:fill="DBE5F1"/>
          </w:tcPr>
          <w:p>
            <w:pPr>
              <w:jc w:val="center"/>
              <w:ind w:left="268"/>
              <w:spacing w:after="0" w:line="155" w:lineRule="exact"/>
              <w:rPr>
                <w:sz w:val="20"/>
                <w:szCs w:val="20"/>
                <w:color w:val="auto"/>
              </w:rPr>
            </w:pPr>
            <w:r>
              <w:rPr>
                <w:rFonts w:ascii="Arial" w:cs="Arial" w:eastAsia="Arial" w:hAnsi="Arial"/>
                <w:sz w:val="14"/>
                <w:szCs w:val="14"/>
                <w:color w:val="auto"/>
              </w:rPr>
              <w:t>270,000</w:t>
            </w:r>
          </w:p>
        </w:tc>
      </w:tr>
      <w:tr>
        <w:trPr>
          <w:trHeight w:val="155"/>
        </w:trPr>
        <w:tc>
          <w:tcPr>
            <w:tcW w:w="21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Yon Jorden</w:t>
            </w:r>
          </w:p>
        </w:tc>
        <w:tc>
          <w:tcPr>
            <w:tcW w:w="1920" w:type="dxa"/>
            <w:vAlign w:val="bottom"/>
            <w:tcBorders>
              <w:bottom w:val="single" w:sz="8" w:color="95B3D7"/>
              <w:right w:val="single" w:sz="8" w:color="95B3D7"/>
            </w:tcBorders>
          </w:tcPr>
          <w:p>
            <w:pPr>
              <w:jc w:val="center"/>
              <w:ind w:left="169"/>
              <w:spacing w:after="0" w:line="155" w:lineRule="exact"/>
              <w:rPr>
                <w:sz w:val="20"/>
                <w:szCs w:val="20"/>
                <w:color w:val="auto"/>
              </w:rPr>
            </w:pPr>
            <w:r>
              <w:rPr>
                <w:rFonts w:ascii="Arial" w:cs="Arial" w:eastAsia="Arial" w:hAnsi="Arial"/>
                <w:sz w:val="14"/>
                <w:szCs w:val="14"/>
                <w:color w:val="auto"/>
              </w:rPr>
              <w:t>110,000</w:t>
            </w:r>
          </w:p>
        </w:tc>
        <w:tc>
          <w:tcPr>
            <w:tcW w:w="1320" w:type="dxa"/>
            <w:vAlign w:val="bottom"/>
            <w:tcBorders>
              <w:bottom w:val="single" w:sz="8" w:color="95B3D7"/>
              <w:right w:val="single" w:sz="8" w:color="95B3D7"/>
            </w:tcBorders>
          </w:tcPr>
          <w:p>
            <w:pPr>
              <w:jc w:val="center"/>
              <w:ind w:left="129"/>
              <w:spacing w:after="0" w:line="155" w:lineRule="exact"/>
              <w:rPr>
                <w:sz w:val="20"/>
                <w:szCs w:val="20"/>
                <w:color w:val="auto"/>
              </w:rPr>
            </w:pPr>
            <w:r>
              <w:rPr>
                <w:rFonts w:ascii="Arial" w:cs="Arial" w:eastAsia="Arial" w:hAnsi="Arial"/>
                <w:sz w:val="14"/>
                <w:szCs w:val="14"/>
                <w:color w:val="auto"/>
              </w:rPr>
              <w:t>150,000</w:t>
            </w:r>
          </w:p>
        </w:tc>
        <w:tc>
          <w:tcPr>
            <w:tcW w:w="2060" w:type="dxa"/>
            <w:vAlign w:val="bottom"/>
            <w:tcBorders>
              <w:bottom w:val="single" w:sz="8" w:color="95B3D7"/>
              <w:right w:val="single" w:sz="8" w:color="95B3D7"/>
            </w:tcBorders>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tcPr>
          <w:p>
            <w:pPr>
              <w:jc w:val="center"/>
              <w:ind w:left="268"/>
              <w:spacing w:after="0" w:line="155" w:lineRule="exact"/>
              <w:rPr>
                <w:sz w:val="20"/>
                <w:szCs w:val="20"/>
                <w:color w:val="auto"/>
              </w:rPr>
            </w:pPr>
            <w:r>
              <w:rPr>
                <w:rFonts w:ascii="Arial" w:cs="Arial" w:eastAsia="Arial" w:hAnsi="Arial"/>
                <w:sz w:val="14"/>
                <w:szCs w:val="14"/>
                <w:color w:val="auto"/>
              </w:rPr>
              <w:t>260,000</w:t>
            </w:r>
          </w:p>
        </w:tc>
      </w:tr>
      <w:tr>
        <w:trPr>
          <w:trHeight w:val="156"/>
        </w:trPr>
        <w:tc>
          <w:tcPr>
            <w:tcW w:w="2120" w:type="dxa"/>
            <w:vAlign w:val="bottom"/>
            <w:tcBorders>
              <w:bottom w:val="single" w:sz="8" w:color="95B3D7"/>
              <w:right w:val="single" w:sz="8" w:color="95B3D7"/>
            </w:tcBorders>
            <w:shd w:val="clear" w:color="auto" w:fill="DBE5F1"/>
          </w:tcPr>
          <w:p>
            <w:pPr>
              <w:ind w:left="140"/>
              <w:spacing w:after="0" w:line="156" w:lineRule="exact"/>
              <w:rPr>
                <w:sz w:val="20"/>
                <w:szCs w:val="20"/>
                <w:color w:val="auto"/>
              </w:rPr>
            </w:pPr>
            <w:r>
              <w:rPr>
                <w:rFonts w:ascii="Arial" w:cs="Arial" w:eastAsia="Arial" w:hAnsi="Arial"/>
                <w:sz w:val="13"/>
                <w:szCs w:val="13"/>
                <w:color w:val="auto"/>
              </w:rPr>
              <w:t>Joseph Konowiecki</w:t>
            </w:r>
            <w:r>
              <w:rPr>
                <w:rFonts w:ascii="Arial" w:cs="Arial" w:eastAsia="Arial" w:hAnsi="Arial"/>
                <w:sz w:val="18"/>
                <w:szCs w:val="18"/>
                <w:color w:val="auto"/>
                <w:vertAlign w:val="superscript"/>
              </w:rPr>
              <w:t>(3)</w:t>
            </w:r>
          </w:p>
        </w:tc>
        <w:tc>
          <w:tcPr>
            <w:tcW w:w="1920" w:type="dxa"/>
            <w:vAlign w:val="bottom"/>
            <w:tcBorders>
              <w:bottom w:val="single" w:sz="8" w:color="95B3D7"/>
              <w:right w:val="single" w:sz="8" w:color="95B3D7"/>
            </w:tcBorders>
            <w:shd w:val="clear" w:color="auto" w:fill="DBE5F1"/>
          </w:tcPr>
          <w:p>
            <w:pPr>
              <w:jc w:val="center"/>
              <w:ind w:left="149"/>
              <w:spacing w:after="0" w:line="155" w:lineRule="exact"/>
              <w:rPr>
                <w:sz w:val="20"/>
                <w:szCs w:val="20"/>
                <w:color w:val="auto"/>
              </w:rPr>
            </w:pPr>
            <w:r>
              <w:rPr>
                <w:rFonts w:ascii="Arial" w:cs="Arial" w:eastAsia="Arial" w:hAnsi="Arial"/>
                <w:sz w:val="14"/>
                <w:szCs w:val="14"/>
                <w:color w:val="auto"/>
                <w:w w:val="99"/>
              </w:rPr>
              <w:t>—</w:t>
            </w:r>
          </w:p>
        </w:tc>
        <w:tc>
          <w:tcPr>
            <w:tcW w:w="1320" w:type="dxa"/>
            <w:vAlign w:val="bottom"/>
            <w:tcBorders>
              <w:bottom w:val="single" w:sz="8" w:color="95B3D7"/>
              <w:right w:val="single" w:sz="8" w:color="95B3D7"/>
            </w:tcBorders>
            <w:shd w:val="clear" w:color="auto" w:fill="DBE5F1"/>
          </w:tcPr>
          <w:p>
            <w:pPr>
              <w:jc w:val="center"/>
              <w:ind w:left="149"/>
              <w:spacing w:after="0" w:line="155" w:lineRule="exact"/>
              <w:rPr>
                <w:sz w:val="20"/>
                <w:szCs w:val="20"/>
                <w:color w:val="auto"/>
              </w:rPr>
            </w:pPr>
            <w:r>
              <w:rPr>
                <w:rFonts w:ascii="Arial" w:cs="Arial" w:eastAsia="Arial" w:hAnsi="Arial"/>
                <w:sz w:val="14"/>
                <w:szCs w:val="14"/>
                <w:color w:val="auto"/>
                <w:w w:val="99"/>
              </w:rPr>
              <w:t>—</w:t>
            </w:r>
          </w:p>
        </w:tc>
        <w:tc>
          <w:tcPr>
            <w:tcW w:w="2060" w:type="dxa"/>
            <w:vAlign w:val="bottom"/>
            <w:tcBorders>
              <w:bottom w:val="single" w:sz="8" w:color="95B3D7"/>
              <w:right w:val="single" w:sz="8" w:color="95B3D7"/>
            </w:tcBorders>
            <w:shd w:val="clear" w:color="auto" w:fill="DBE5F1"/>
          </w:tcPr>
          <w:p>
            <w:pPr>
              <w:jc w:val="center"/>
              <w:ind w:left="329"/>
              <w:spacing w:after="0" w:line="156" w:lineRule="exact"/>
              <w:rPr>
                <w:sz w:val="20"/>
                <w:szCs w:val="20"/>
                <w:color w:val="auto"/>
              </w:rPr>
            </w:pPr>
            <w:r>
              <w:rPr>
                <w:rFonts w:ascii="Arial" w:cs="Arial" w:eastAsia="Arial" w:hAnsi="Arial"/>
                <w:sz w:val="13"/>
                <w:szCs w:val="13"/>
                <w:color w:val="auto"/>
              </w:rPr>
              <w:t>2,252,608</w:t>
            </w:r>
            <w:r>
              <w:rPr>
                <w:rFonts w:ascii="Arial" w:cs="Arial" w:eastAsia="Arial" w:hAnsi="Arial"/>
                <w:sz w:val="18"/>
                <w:szCs w:val="18"/>
                <w:color w:val="auto"/>
                <w:vertAlign w:val="superscript"/>
              </w:rPr>
              <w:t>(4)</w:t>
            </w:r>
          </w:p>
        </w:tc>
        <w:tc>
          <w:tcPr>
            <w:tcW w:w="1380" w:type="dxa"/>
            <w:vAlign w:val="bottom"/>
            <w:tcBorders>
              <w:bottom w:val="single" w:sz="8" w:color="95B3D7"/>
            </w:tcBorders>
            <w:shd w:val="clear" w:color="auto" w:fill="DBE5F1"/>
          </w:tcPr>
          <w:p>
            <w:pPr>
              <w:jc w:val="center"/>
              <w:ind w:left="268"/>
              <w:spacing w:after="0" w:line="155" w:lineRule="exact"/>
              <w:rPr>
                <w:sz w:val="20"/>
                <w:szCs w:val="20"/>
                <w:color w:val="auto"/>
              </w:rPr>
            </w:pPr>
            <w:r>
              <w:rPr>
                <w:rFonts w:ascii="Arial" w:cs="Arial" w:eastAsia="Arial" w:hAnsi="Arial"/>
                <w:sz w:val="14"/>
                <w:szCs w:val="14"/>
                <w:color w:val="auto"/>
              </w:rPr>
              <w:t>2,252,608</w:t>
            </w:r>
          </w:p>
        </w:tc>
      </w:tr>
      <w:tr>
        <w:trPr>
          <w:trHeight w:val="155"/>
        </w:trPr>
        <w:tc>
          <w:tcPr>
            <w:tcW w:w="21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Jacqueline Kosecoff</w:t>
            </w:r>
          </w:p>
        </w:tc>
        <w:tc>
          <w:tcPr>
            <w:tcW w:w="1920" w:type="dxa"/>
            <w:vAlign w:val="bottom"/>
            <w:tcBorders>
              <w:bottom w:val="single" w:sz="8" w:color="95B3D7"/>
              <w:right w:val="single" w:sz="8" w:color="95B3D7"/>
            </w:tcBorders>
          </w:tcPr>
          <w:p>
            <w:pPr>
              <w:jc w:val="center"/>
              <w:ind w:left="169"/>
              <w:spacing w:after="0" w:line="155" w:lineRule="exact"/>
              <w:rPr>
                <w:sz w:val="20"/>
                <w:szCs w:val="20"/>
                <w:color w:val="auto"/>
              </w:rPr>
            </w:pPr>
            <w:r>
              <w:rPr>
                <w:rFonts w:ascii="Arial" w:cs="Arial" w:eastAsia="Arial" w:hAnsi="Arial"/>
                <w:sz w:val="14"/>
                <w:szCs w:val="14"/>
                <w:color w:val="auto"/>
              </w:rPr>
              <w:t>115,625</w:t>
            </w:r>
          </w:p>
        </w:tc>
        <w:tc>
          <w:tcPr>
            <w:tcW w:w="1320" w:type="dxa"/>
            <w:vAlign w:val="bottom"/>
            <w:tcBorders>
              <w:bottom w:val="single" w:sz="8" w:color="95B3D7"/>
              <w:right w:val="single" w:sz="8" w:color="95B3D7"/>
            </w:tcBorders>
          </w:tcPr>
          <w:p>
            <w:pPr>
              <w:jc w:val="center"/>
              <w:ind w:left="129"/>
              <w:spacing w:after="0" w:line="155" w:lineRule="exact"/>
              <w:rPr>
                <w:sz w:val="20"/>
                <w:szCs w:val="20"/>
                <w:color w:val="auto"/>
              </w:rPr>
            </w:pPr>
            <w:r>
              <w:rPr>
                <w:rFonts w:ascii="Arial" w:cs="Arial" w:eastAsia="Arial" w:hAnsi="Arial"/>
                <w:sz w:val="14"/>
                <w:szCs w:val="14"/>
                <w:color w:val="auto"/>
              </w:rPr>
              <w:t>150,000</w:t>
            </w:r>
          </w:p>
        </w:tc>
        <w:tc>
          <w:tcPr>
            <w:tcW w:w="2060" w:type="dxa"/>
            <w:vAlign w:val="bottom"/>
            <w:tcBorders>
              <w:bottom w:val="single" w:sz="8" w:color="95B3D7"/>
              <w:right w:val="single" w:sz="8" w:color="95B3D7"/>
            </w:tcBorders>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tcPr>
          <w:p>
            <w:pPr>
              <w:jc w:val="center"/>
              <w:ind w:left="268"/>
              <w:spacing w:after="0" w:line="155" w:lineRule="exact"/>
              <w:rPr>
                <w:sz w:val="20"/>
                <w:szCs w:val="20"/>
                <w:color w:val="auto"/>
              </w:rPr>
            </w:pPr>
            <w:r>
              <w:rPr>
                <w:rFonts w:ascii="Arial" w:cs="Arial" w:eastAsia="Arial" w:hAnsi="Arial"/>
                <w:sz w:val="14"/>
                <w:szCs w:val="14"/>
                <w:color w:val="auto"/>
              </w:rPr>
              <w:t>265,625</w:t>
            </w:r>
          </w:p>
        </w:tc>
      </w:tr>
      <w:tr>
        <w:trPr>
          <w:trHeight w:val="156"/>
        </w:trPr>
        <w:tc>
          <w:tcPr>
            <w:tcW w:w="21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Jeffrey Margolis</w:t>
            </w:r>
          </w:p>
        </w:tc>
        <w:tc>
          <w:tcPr>
            <w:tcW w:w="1920" w:type="dxa"/>
            <w:vAlign w:val="bottom"/>
            <w:tcBorders>
              <w:bottom w:val="single" w:sz="8" w:color="95B3D7"/>
              <w:right w:val="single" w:sz="8" w:color="95B3D7"/>
            </w:tcBorders>
            <w:shd w:val="clear" w:color="auto" w:fill="DBE5F1"/>
          </w:tcPr>
          <w:p>
            <w:pPr>
              <w:jc w:val="center"/>
              <w:ind w:left="169"/>
              <w:spacing w:after="0" w:line="155" w:lineRule="exact"/>
              <w:rPr>
                <w:sz w:val="20"/>
                <w:szCs w:val="20"/>
                <w:color w:val="auto"/>
              </w:rPr>
            </w:pPr>
            <w:r>
              <w:rPr>
                <w:rFonts w:ascii="Arial" w:cs="Arial" w:eastAsia="Arial" w:hAnsi="Arial"/>
                <w:sz w:val="14"/>
                <w:szCs w:val="14"/>
                <w:color w:val="auto"/>
              </w:rPr>
              <w:t>100,000</w:t>
            </w:r>
          </w:p>
        </w:tc>
        <w:tc>
          <w:tcPr>
            <w:tcW w:w="1320" w:type="dxa"/>
            <w:vAlign w:val="bottom"/>
            <w:tcBorders>
              <w:bottom w:val="single" w:sz="8" w:color="95B3D7"/>
              <w:right w:val="single" w:sz="8" w:color="95B3D7"/>
            </w:tcBorders>
            <w:shd w:val="clear" w:color="auto" w:fill="DBE5F1"/>
          </w:tcPr>
          <w:p>
            <w:pPr>
              <w:jc w:val="center"/>
              <w:ind w:left="129"/>
              <w:spacing w:after="0" w:line="155" w:lineRule="exact"/>
              <w:rPr>
                <w:sz w:val="20"/>
                <w:szCs w:val="20"/>
                <w:color w:val="auto"/>
              </w:rPr>
            </w:pPr>
            <w:r>
              <w:rPr>
                <w:rFonts w:ascii="Arial" w:cs="Arial" w:eastAsia="Arial" w:hAnsi="Arial"/>
                <w:sz w:val="14"/>
                <w:szCs w:val="14"/>
                <w:color w:val="auto"/>
              </w:rPr>
              <w:t>175,000</w:t>
            </w:r>
          </w:p>
        </w:tc>
        <w:tc>
          <w:tcPr>
            <w:tcW w:w="2060" w:type="dxa"/>
            <w:vAlign w:val="bottom"/>
            <w:tcBorders>
              <w:bottom w:val="single" w:sz="8" w:color="95B3D7"/>
              <w:right w:val="single" w:sz="8" w:color="95B3D7"/>
            </w:tcBorders>
            <w:shd w:val="clear" w:color="auto" w:fill="DBE5F1"/>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shd w:val="clear" w:color="auto" w:fill="DBE5F1"/>
          </w:tcPr>
          <w:p>
            <w:pPr>
              <w:jc w:val="center"/>
              <w:ind w:left="268"/>
              <w:spacing w:after="0" w:line="155" w:lineRule="exact"/>
              <w:rPr>
                <w:sz w:val="20"/>
                <w:szCs w:val="20"/>
                <w:color w:val="auto"/>
              </w:rPr>
            </w:pPr>
            <w:r>
              <w:rPr>
                <w:rFonts w:ascii="Arial" w:cs="Arial" w:eastAsia="Arial" w:hAnsi="Arial"/>
                <w:sz w:val="14"/>
                <w:szCs w:val="14"/>
                <w:color w:val="auto"/>
              </w:rPr>
              <w:t>275,000</w:t>
            </w:r>
          </w:p>
        </w:tc>
      </w:tr>
      <w:tr>
        <w:trPr>
          <w:trHeight w:val="155"/>
        </w:trPr>
        <w:tc>
          <w:tcPr>
            <w:tcW w:w="21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Margaret McCarthy</w:t>
            </w:r>
          </w:p>
        </w:tc>
        <w:tc>
          <w:tcPr>
            <w:tcW w:w="1920" w:type="dxa"/>
            <w:vAlign w:val="bottom"/>
            <w:tcBorders>
              <w:bottom w:val="single" w:sz="8" w:color="95B3D7"/>
              <w:right w:val="single" w:sz="8" w:color="95B3D7"/>
            </w:tcBorders>
          </w:tcPr>
          <w:p>
            <w:pPr>
              <w:jc w:val="center"/>
              <w:ind w:left="169"/>
              <w:spacing w:after="0" w:line="155" w:lineRule="exact"/>
              <w:rPr>
                <w:sz w:val="20"/>
                <w:szCs w:val="20"/>
                <w:color w:val="auto"/>
              </w:rPr>
            </w:pPr>
            <w:r>
              <w:rPr>
                <w:rFonts w:ascii="Arial" w:cs="Arial" w:eastAsia="Arial" w:hAnsi="Arial"/>
                <w:sz w:val="14"/>
                <w:szCs w:val="14"/>
                <w:color w:val="auto"/>
              </w:rPr>
              <w:t>112,917</w:t>
            </w:r>
          </w:p>
        </w:tc>
        <w:tc>
          <w:tcPr>
            <w:tcW w:w="1320" w:type="dxa"/>
            <w:vAlign w:val="bottom"/>
            <w:tcBorders>
              <w:bottom w:val="single" w:sz="8" w:color="95B3D7"/>
              <w:right w:val="single" w:sz="8" w:color="95B3D7"/>
            </w:tcBorders>
          </w:tcPr>
          <w:p>
            <w:pPr>
              <w:jc w:val="center"/>
              <w:ind w:left="129"/>
              <w:spacing w:after="0" w:line="155" w:lineRule="exact"/>
              <w:rPr>
                <w:sz w:val="20"/>
                <w:szCs w:val="20"/>
                <w:color w:val="auto"/>
              </w:rPr>
            </w:pPr>
            <w:r>
              <w:rPr>
                <w:rFonts w:ascii="Arial" w:cs="Arial" w:eastAsia="Arial" w:hAnsi="Arial"/>
                <w:sz w:val="14"/>
                <w:szCs w:val="14"/>
                <w:color w:val="auto"/>
              </w:rPr>
              <w:t>167,500</w:t>
            </w:r>
          </w:p>
        </w:tc>
        <w:tc>
          <w:tcPr>
            <w:tcW w:w="2060" w:type="dxa"/>
            <w:vAlign w:val="bottom"/>
            <w:tcBorders>
              <w:bottom w:val="single" w:sz="8" w:color="95B3D7"/>
              <w:right w:val="single" w:sz="8" w:color="95B3D7"/>
            </w:tcBorders>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tcPr>
          <w:p>
            <w:pPr>
              <w:jc w:val="center"/>
              <w:ind w:left="268"/>
              <w:spacing w:after="0" w:line="155" w:lineRule="exact"/>
              <w:rPr>
                <w:sz w:val="20"/>
                <w:szCs w:val="20"/>
                <w:color w:val="auto"/>
              </w:rPr>
            </w:pPr>
            <w:r>
              <w:rPr>
                <w:rFonts w:ascii="Arial" w:cs="Arial" w:eastAsia="Arial" w:hAnsi="Arial"/>
                <w:sz w:val="14"/>
                <w:szCs w:val="14"/>
                <w:color w:val="auto"/>
              </w:rPr>
              <w:t>280,417</w:t>
            </w:r>
          </w:p>
        </w:tc>
      </w:tr>
      <w:tr>
        <w:trPr>
          <w:trHeight w:val="156"/>
        </w:trPr>
        <w:tc>
          <w:tcPr>
            <w:tcW w:w="21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Mark McClellan</w:t>
            </w:r>
          </w:p>
        </w:tc>
        <w:tc>
          <w:tcPr>
            <w:tcW w:w="1920" w:type="dxa"/>
            <w:vAlign w:val="bottom"/>
            <w:tcBorders>
              <w:bottom w:val="single" w:sz="8" w:color="95B3D7"/>
              <w:right w:val="single" w:sz="8" w:color="95B3D7"/>
            </w:tcBorders>
            <w:shd w:val="clear" w:color="auto" w:fill="DBE5F1"/>
          </w:tcPr>
          <w:p>
            <w:pPr>
              <w:jc w:val="center"/>
              <w:ind w:left="169"/>
              <w:spacing w:after="0" w:line="155" w:lineRule="exact"/>
              <w:rPr>
                <w:sz w:val="20"/>
                <w:szCs w:val="20"/>
                <w:color w:val="auto"/>
              </w:rPr>
            </w:pPr>
            <w:r>
              <w:rPr>
                <w:rFonts w:ascii="Arial" w:cs="Arial" w:eastAsia="Arial" w:hAnsi="Arial"/>
                <w:sz w:val="14"/>
                <w:szCs w:val="14"/>
                <w:color w:val="auto"/>
              </w:rPr>
              <w:t>100,000</w:t>
            </w:r>
          </w:p>
        </w:tc>
        <w:tc>
          <w:tcPr>
            <w:tcW w:w="1320" w:type="dxa"/>
            <w:vAlign w:val="bottom"/>
            <w:tcBorders>
              <w:bottom w:val="single" w:sz="8" w:color="95B3D7"/>
              <w:right w:val="single" w:sz="8" w:color="95B3D7"/>
            </w:tcBorders>
            <w:shd w:val="clear" w:color="auto" w:fill="DBE5F1"/>
          </w:tcPr>
          <w:p>
            <w:pPr>
              <w:jc w:val="center"/>
              <w:ind w:left="129"/>
              <w:spacing w:after="0" w:line="155" w:lineRule="exact"/>
              <w:rPr>
                <w:sz w:val="20"/>
                <w:szCs w:val="20"/>
                <w:color w:val="auto"/>
              </w:rPr>
            </w:pPr>
            <w:r>
              <w:rPr>
                <w:rFonts w:ascii="Arial" w:cs="Arial" w:eastAsia="Arial" w:hAnsi="Arial"/>
                <w:sz w:val="14"/>
                <w:szCs w:val="14"/>
                <w:color w:val="auto"/>
              </w:rPr>
              <w:t>150,000</w:t>
            </w:r>
          </w:p>
        </w:tc>
        <w:tc>
          <w:tcPr>
            <w:tcW w:w="2060" w:type="dxa"/>
            <w:vAlign w:val="bottom"/>
            <w:tcBorders>
              <w:bottom w:val="single" w:sz="8" w:color="95B3D7"/>
              <w:right w:val="single" w:sz="8" w:color="95B3D7"/>
            </w:tcBorders>
            <w:shd w:val="clear" w:color="auto" w:fill="DBE5F1"/>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shd w:val="clear" w:color="auto" w:fill="DBE5F1"/>
          </w:tcPr>
          <w:p>
            <w:pPr>
              <w:jc w:val="center"/>
              <w:ind w:left="268"/>
              <w:spacing w:after="0" w:line="155" w:lineRule="exact"/>
              <w:rPr>
                <w:sz w:val="20"/>
                <w:szCs w:val="20"/>
                <w:color w:val="auto"/>
              </w:rPr>
            </w:pPr>
            <w:r>
              <w:rPr>
                <w:rFonts w:ascii="Arial" w:cs="Arial" w:eastAsia="Arial" w:hAnsi="Arial"/>
                <w:sz w:val="14"/>
                <w:szCs w:val="14"/>
                <w:color w:val="auto"/>
              </w:rPr>
              <w:t>250,000</w:t>
            </w:r>
          </w:p>
        </w:tc>
      </w:tr>
      <w:tr>
        <w:trPr>
          <w:trHeight w:val="156"/>
        </w:trPr>
        <w:tc>
          <w:tcPr>
            <w:tcW w:w="21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Robbert Vorhoff</w:t>
            </w:r>
          </w:p>
        </w:tc>
        <w:tc>
          <w:tcPr>
            <w:tcW w:w="1920" w:type="dxa"/>
            <w:vAlign w:val="bottom"/>
            <w:tcBorders>
              <w:bottom w:val="single" w:sz="8" w:color="95B3D7"/>
              <w:right w:val="single" w:sz="8" w:color="95B3D7"/>
            </w:tcBorders>
          </w:tcPr>
          <w:p>
            <w:pPr>
              <w:jc w:val="center"/>
              <w:ind w:left="169"/>
              <w:spacing w:after="0" w:line="155" w:lineRule="exact"/>
              <w:rPr>
                <w:sz w:val="20"/>
                <w:szCs w:val="20"/>
                <w:color w:val="auto"/>
              </w:rPr>
            </w:pPr>
            <w:r>
              <w:rPr>
                <w:rFonts w:ascii="Arial" w:cs="Arial" w:eastAsia="Arial" w:hAnsi="Arial"/>
                <w:sz w:val="14"/>
                <w:szCs w:val="14"/>
                <w:color w:val="auto"/>
              </w:rPr>
              <w:t>120,000</w:t>
            </w:r>
          </w:p>
        </w:tc>
        <w:tc>
          <w:tcPr>
            <w:tcW w:w="1320" w:type="dxa"/>
            <w:vAlign w:val="bottom"/>
            <w:tcBorders>
              <w:bottom w:val="single" w:sz="8" w:color="95B3D7"/>
              <w:right w:val="single" w:sz="8" w:color="95B3D7"/>
            </w:tcBorders>
          </w:tcPr>
          <w:p>
            <w:pPr>
              <w:jc w:val="center"/>
              <w:ind w:left="129"/>
              <w:spacing w:after="0" w:line="155" w:lineRule="exact"/>
              <w:rPr>
                <w:sz w:val="20"/>
                <w:szCs w:val="20"/>
                <w:color w:val="auto"/>
              </w:rPr>
            </w:pPr>
            <w:r>
              <w:rPr>
                <w:rFonts w:ascii="Arial" w:cs="Arial" w:eastAsia="Arial" w:hAnsi="Arial"/>
                <w:sz w:val="14"/>
                <w:szCs w:val="14"/>
                <w:color w:val="auto"/>
              </w:rPr>
              <w:t>150,000</w:t>
            </w:r>
          </w:p>
        </w:tc>
        <w:tc>
          <w:tcPr>
            <w:tcW w:w="2060" w:type="dxa"/>
            <w:vAlign w:val="bottom"/>
            <w:tcBorders>
              <w:bottom w:val="single" w:sz="8" w:color="95B3D7"/>
              <w:right w:val="single" w:sz="8" w:color="95B3D7"/>
            </w:tcBorders>
          </w:tcPr>
          <w:p>
            <w:pPr>
              <w:jc w:val="center"/>
              <w:ind w:left="329"/>
              <w:spacing w:after="0" w:line="155" w:lineRule="exact"/>
              <w:rPr>
                <w:sz w:val="20"/>
                <w:szCs w:val="20"/>
                <w:color w:val="auto"/>
              </w:rPr>
            </w:pPr>
            <w:r>
              <w:rPr>
                <w:rFonts w:ascii="Arial" w:cs="Arial" w:eastAsia="Arial" w:hAnsi="Arial"/>
                <w:sz w:val="14"/>
                <w:szCs w:val="14"/>
                <w:color w:val="auto"/>
                <w:w w:val="99"/>
              </w:rPr>
              <w:t>—</w:t>
            </w:r>
          </w:p>
        </w:tc>
        <w:tc>
          <w:tcPr>
            <w:tcW w:w="1380" w:type="dxa"/>
            <w:vAlign w:val="bottom"/>
            <w:tcBorders>
              <w:bottom w:val="single" w:sz="8" w:color="95B3D7"/>
            </w:tcBorders>
          </w:tcPr>
          <w:p>
            <w:pPr>
              <w:jc w:val="center"/>
              <w:ind w:left="268"/>
              <w:spacing w:after="0" w:line="155" w:lineRule="exact"/>
              <w:rPr>
                <w:sz w:val="20"/>
                <w:szCs w:val="20"/>
                <w:color w:val="auto"/>
              </w:rPr>
            </w:pPr>
            <w:r>
              <w:rPr>
                <w:rFonts w:ascii="Arial" w:cs="Arial" w:eastAsia="Arial" w:hAnsi="Arial"/>
                <w:sz w:val="14"/>
                <w:szCs w:val="14"/>
                <w:color w:val="auto"/>
              </w:rPr>
              <w:t>270,000</w:t>
            </w:r>
          </w:p>
        </w:tc>
      </w:tr>
    </w:tbl>
    <w:p>
      <w:pPr>
        <w:spacing w:after="0" w:line="234" w:lineRule="exact"/>
        <w:rPr>
          <w:sz w:val="20"/>
          <w:szCs w:val="20"/>
          <w:color w:val="auto"/>
        </w:rPr>
      </w:pPr>
    </w:p>
    <w:p>
      <w:pPr>
        <w:ind w:left="764" w:right="60" w:hanging="332"/>
        <w:spacing w:after="0" w:line="256" w:lineRule="auto"/>
        <w:tabs>
          <w:tab w:leader="none" w:pos="764"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Includes fees earned with respect to Board and committee service during calendar year 2023. Non-employee directors receive annual compensation with an aggregate annual value of $250,000, consisting of a cash retainer in an amount elected by each director from $0 to $100,000, with the balance of the aggregate compensation value paid as an equity grant of restricted shares or restricted stock units. Committee fees range from $7,500 to $10,000 annually, with committee chairs receiving $20,000 to $25,000 annually, in each case payable in cash. Certain amounts are prorated for partial-year service.</w:t>
      </w:r>
    </w:p>
    <w:p>
      <w:pPr>
        <w:spacing w:after="0" w:line="204" w:lineRule="exact"/>
        <w:rPr>
          <w:rFonts w:ascii="Arial" w:cs="Arial" w:eastAsia="Arial" w:hAnsi="Arial"/>
          <w:sz w:val="14"/>
          <w:szCs w:val="14"/>
          <w:color w:val="auto"/>
        </w:rPr>
      </w:pPr>
    </w:p>
    <w:p>
      <w:pPr>
        <w:jc w:val="both"/>
        <w:ind w:left="764" w:hanging="332"/>
        <w:spacing w:after="0" w:line="256" w:lineRule="auto"/>
        <w:tabs>
          <w:tab w:leader="none" w:pos="764" w:val="left"/>
        </w:tabs>
        <w:numPr>
          <w:ilvl w:val="0"/>
          <w:numId w:val="60"/>
        </w:numPr>
        <w:rPr>
          <w:rFonts w:ascii="Arial" w:cs="Arial" w:eastAsia="Arial" w:hAnsi="Arial"/>
          <w:sz w:val="14"/>
          <w:szCs w:val="14"/>
          <w:color w:val="auto"/>
        </w:rPr>
      </w:pPr>
      <w:r>
        <w:rPr>
          <w:rFonts w:ascii="Arial" w:cs="Arial" w:eastAsia="Arial" w:hAnsi="Arial"/>
          <w:sz w:val="14"/>
          <w:szCs w:val="14"/>
          <w:color w:val="auto"/>
        </w:rPr>
        <w:t>Represents the grant date fair values associated with the grant of RSUs of Alignment made under the Policy, computed in accordance with FASB ASC Topic 718. For additional information on the assumptions used in computing the amounts reported herein, see Note 10 to the Consolidated Financial Statements included in the Company’s Annual Report on Form 10-K for the year ended December 31, 2023. As of December 31, 2023, each of the directors held unvested, outstanding stock awards and stock options as follows:</w:t>
      </w:r>
    </w:p>
    <w:p>
      <w:pPr>
        <w:spacing w:after="0" w:line="204"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2320" w:type="dxa"/>
            <w:vAlign w:val="bottom"/>
          </w:tcPr>
          <w:p>
            <w:pPr>
              <w:spacing w:after="0"/>
              <w:rPr>
                <w:sz w:val="14"/>
                <w:szCs w:val="14"/>
                <w:color w:val="auto"/>
              </w:rPr>
            </w:pPr>
          </w:p>
        </w:tc>
        <w:tc>
          <w:tcPr>
            <w:tcW w:w="2040" w:type="dxa"/>
            <w:vAlign w:val="bottom"/>
          </w:tcPr>
          <w:p>
            <w:pPr>
              <w:jc w:val="right"/>
              <w:ind w:right="548"/>
              <w:spacing w:after="0"/>
              <w:rPr>
                <w:sz w:val="20"/>
                <w:szCs w:val="20"/>
                <w:color w:val="auto"/>
              </w:rPr>
            </w:pPr>
            <w:r>
              <w:rPr>
                <w:rFonts w:ascii="Arial" w:cs="Arial" w:eastAsia="Arial" w:hAnsi="Arial"/>
                <w:sz w:val="14"/>
                <w:szCs w:val="14"/>
                <w:b w:val="1"/>
                <w:bCs w:val="1"/>
                <w:color w:val="auto"/>
              </w:rPr>
              <w:t>Restricted</w:t>
            </w:r>
          </w:p>
        </w:tc>
        <w:tc>
          <w:tcPr>
            <w:tcW w:w="2100" w:type="dxa"/>
            <w:vAlign w:val="bottom"/>
          </w:tcPr>
          <w:p>
            <w:pPr>
              <w:spacing w:after="0"/>
              <w:rPr>
                <w:sz w:val="14"/>
                <w:szCs w:val="14"/>
                <w:color w:val="auto"/>
              </w:rPr>
            </w:pPr>
          </w:p>
        </w:tc>
        <w:tc>
          <w:tcPr>
            <w:tcW w:w="1900" w:type="dxa"/>
            <w:vAlign w:val="bottom"/>
          </w:tcPr>
          <w:p>
            <w:pPr>
              <w:spacing w:after="0"/>
              <w:rPr>
                <w:sz w:val="14"/>
                <w:szCs w:val="14"/>
                <w:color w:val="auto"/>
              </w:rPr>
            </w:pPr>
          </w:p>
        </w:tc>
      </w:tr>
      <w:tr>
        <w:trPr>
          <w:trHeight w:val="162"/>
        </w:trPr>
        <w:tc>
          <w:tcPr>
            <w:tcW w:w="2320" w:type="dxa"/>
            <w:vAlign w:val="bottom"/>
          </w:tcPr>
          <w:p>
            <w:pPr>
              <w:spacing w:after="0"/>
              <w:rPr>
                <w:sz w:val="14"/>
                <w:szCs w:val="14"/>
                <w:color w:val="auto"/>
              </w:rPr>
            </w:pPr>
          </w:p>
        </w:tc>
        <w:tc>
          <w:tcPr>
            <w:tcW w:w="2040" w:type="dxa"/>
            <w:vAlign w:val="bottom"/>
          </w:tcPr>
          <w:p>
            <w:pPr>
              <w:jc w:val="right"/>
              <w:ind w:right="648"/>
              <w:spacing w:after="0"/>
              <w:rPr>
                <w:sz w:val="20"/>
                <w:szCs w:val="20"/>
                <w:color w:val="auto"/>
              </w:rPr>
            </w:pPr>
            <w:r>
              <w:rPr>
                <w:rFonts w:ascii="Arial" w:cs="Arial" w:eastAsia="Arial" w:hAnsi="Arial"/>
                <w:sz w:val="14"/>
                <w:szCs w:val="14"/>
                <w:b w:val="1"/>
                <w:bCs w:val="1"/>
                <w:color w:val="auto"/>
              </w:rPr>
              <w:t>Shares</w:t>
            </w:r>
          </w:p>
        </w:tc>
        <w:tc>
          <w:tcPr>
            <w:tcW w:w="2100" w:type="dxa"/>
            <w:vAlign w:val="bottom"/>
          </w:tcPr>
          <w:p>
            <w:pPr>
              <w:jc w:val="right"/>
              <w:ind w:right="108"/>
              <w:spacing w:after="0"/>
              <w:rPr>
                <w:sz w:val="20"/>
                <w:szCs w:val="20"/>
                <w:color w:val="auto"/>
              </w:rPr>
            </w:pPr>
            <w:r>
              <w:rPr>
                <w:rFonts w:ascii="Arial" w:cs="Arial" w:eastAsia="Arial" w:hAnsi="Arial"/>
                <w:sz w:val="14"/>
                <w:szCs w:val="14"/>
                <w:b w:val="1"/>
                <w:bCs w:val="1"/>
                <w:color w:val="auto"/>
              </w:rPr>
              <w:t>RSUs</w:t>
            </w:r>
          </w:p>
        </w:tc>
        <w:tc>
          <w:tcPr>
            <w:tcW w:w="1900" w:type="dxa"/>
            <w:vAlign w:val="bottom"/>
          </w:tcPr>
          <w:p>
            <w:pPr>
              <w:jc w:val="right"/>
              <w:spacing w:after="0"/>
              <w:rPr>
                <w:sz w:val="20"/>
                <w:szCs w:val="20"/>
                <w:color w:val="auto"/>
              </w:rPr>
            </w:pPr>
            <w:r>
              <w:rPr>
                <w:rFonts w:ascii="Arial" w:cs="Arial" w:eastAsia="Arial" w:hAnsi="Arial"/>
                <w:sz w:val="14"/>
                <w:szCs w:val="14"/>
                <w:b w:val="1"/>
                <w:bCs w:val="1"/>
                <w:color w:val="auto"/>
              </w:rPr>
              <w:t>Options</w:t>
            </w:r>
          </w:p>
        </w:tc>
      </w:tr>
      <w:tr>
        <w:trPr>
          <w:trHeight w:val="171"/>
        </w:trPr>
        <w:tc>
          <w:tcPr>
            <w:tcW w:w="2320" w:type="dxa"/>
            <w:vAlign w:val="bottom"/>
            <w:tcBorders>
              <w:bottom w:val="single" w:sz="8" w:color="95B3D7"/>
            </w:tcBorders>
          </w:tcPr>
          <w:p>
            <w:pPr>
              <w:spacing w:after="0"/>
              <w:rPr>
                <w:sz w:val="14"/>
                <w:szCs w:val="14"/>
                <w:color w:val="auto"/>
              </w:rPr>
            </w:pPr>
          </w:p>
        </w:tc>
        <w:tc>
          <w:tcPr>
            <w:tcW w:w="2040" w:type="dxa"/>
            <w:vAlign w:val="bottom"/>
            <w:tcBorders>
              <w:bottom w:val="single" w:sz="8" w:color="95B3D7"/>
            </w:tcBorders>
          </w:tcPr>
          <w:p>
            <w:pPr>
              <w:jc w:val="right"/>
              <w:ind w:right="808"/>
              <w:spacing w:after="0"/>
              <w:rPr>
                <w:sz w:val="20"/>
                <w:szCs w:val="20"/>
                <w:color w:val="auto"/>
              </w:rPr>
            </w:pPr>
            <w:r>
              <w:rPr>
                <w:rFonts w:ascii="Arial" w:cs="Arial" w:eastAsia="Arial" w:hAnsi="Arial"/>
                <w:sz w:val="14"/>
                <w:szCs w:val="14"/>
                <w:b w:val="1"/>
                <w:bCs w:val="1"/>
                <w:color w:val="auto"/>
              </w:rPr>
              <w:t>(#)</w:t>
            </w:r>
          </w:p>
        </w:tc>
        <w:tc>
          <w:tcPr>
            <w:tcW w:w="2100" w:type="dxa"/>
            <w:vAlign w:val="bottom"/>
            <w:tcBorders>
              <w:bottom w:val="single" w:sz="8" w:color="95B3D7"/>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900" w:type="dxa"/>
            <w:vAlign w:val="bottom"/>
            <w:tcBorders>
              <w:bottom w:val="single" w:sz="8" w:color="95B3D7"/>
            </w:tcBorders>
          </w:tcPr>
          <w:p>
            <w:pPr>
              <w:jc w:val="right"/>
              <w:ind w:right="148"/>
              <w:spacing w:after="0"/>
              <w:rPr>
                <w:sz w:val="20"/>
                <w:szCs w:val="20"/>
                <w:color w:val="auto"/>
              </w:rPr>
            </w:pPr>
            <w:r>
              <w:rPr>
                <w:rFonts w:ascii="Arial" w:cs="Arial" w:eastAsia="Arial" w:hAnsi="Arial"/>
                <w:sz w:val="14"/>
                <w:szCs w:val="14"/>
                <w:b w:val="1"/>
                <w:bCs w:val="1"/>
                <w:color w:val="auto"/>
              </w:rPr>
              <w:t>(#)</w:t>
            </w:r>
          </w:p>
        </w:tc>
      </w:tr>
      <w:tr>
        <w:trPr>
          <w:trHeight w:val="155"/>
        </w:trPr>
        <w:tc>
          <w:tcPr>
            <w:tcW w:w="23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Jody Bilney</w:t>
            </w:r>
          </w:p>
        </w:tc>
        <w:tc>
          <w:tcPr>
            <w:tcW w:w="2040" w:type="dxa"/>
            <w:vAlign w:val="bottom"/>
            <w:tcBorders>
              <w:bottom w:val="single" w:sz="8" w:color="95B3D7"/>
              <w:right w:val="single" w:sz="8" w:color="95B3D7"/>
            </w:tcBorders>
            <w:shd w:val="clear" w:color="auto" w:fill="DBE5F1"/>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47,994</w:t>
            </w:r>
          </w:p>
        </w:tc>
        <w:tc>
          <w:tcPr>
            <w:tcW w:w="1900" w:type="dxa"/>
            <w:vAlign w:val="bottom"/>
            <w:tcBorders>
              <w:bottom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23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Thomas Carella</w:t>
            </w:r>
          </w:p>
        </w:tc>
        <w:tc>
          <w:tcPr>
            <w:tcW w:w="2040" w:type="dxa"/>
            <w:vAlign w:val="bottom"/>
            <w:tcBorders>
              <w:bottom w:val="single" w:sz="8" w:color="95B3D7"/>
              <w:right w:val="single" w:sz="8" w:color="95B3D7"/>
            </w:tcBorders>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tcPr>
          <w:p>
            <w:pPr>
              <w:jc w:val="right"/>
              <w:spacing w:after="0" w:line="155" w:lineRule="exact"/>
              <w:rPr>
                <w:sz w:val="20"/>
                <w:szCs w:val="20"/>
                <w:color w:val="auto"/>
              </w:rPr>
            </w:pPr>
            <w:r>
              <w:rPr>
                <w:rFonts w:ascii="Arial" w:cs="Arial" w:eastAsia="Arial" w:hAnsi="Arial"/>
                <w:sz w:val="14"/>
                <w:szCs w:val="14"/>
                <w:color w:val="auto"/>
              </w:rPr>
              <w:t>40,069</w:t>
            </w:r>
          </w:p>
        </w:tc>
        <w:tc>
          <w:tcPr>
            <w:tcW w:w="1900" w:type="dxa"/>
            <w:vAlign w:val="bottom"/>
            <w:tcBorders>
              <w:bottom w:val="single" w:sz="8" w:color="95B3D7"/>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6"/>
        </w:trPr>
        <w:tc>
          <w:tcPr>
            <w:tcW w:w="23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David Hodgson</w:t>
            </w:r>
          </w:p>
        </w:tc>
        <w:tc>
          <w:tcPr>
            <w:tcW w:w="2040" w:type="dxa"/>
            <w:vAlign w:val="bottom"/>
            <w:tcBorders>
              <w:bottom w:val="single" w:sz="8" w:color="95B3D7"/>
              <w:right w:val="single" w:sz="8" w:color="95B3D7"/>
            </w:tcBorders>
            <w:shd w:val="clear" w:color="auto" w:fill="DBE5F1"/>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47,168</w:t>
            </w:r>
          </w:p>
        </w:tc>
        <w:tc>
          <w:tcPr>
            <w:tcW w:w="1900" w:type="dxa"/>
            <w:vAlign w:val="bottom"/>
            <w:tcBorders>
              <w:bottom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3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Yon Jorden</w:t>
            </w:r>
          </w:p>
        </w:tc>
        <w:tc>
          <w:tcPr>
            <w:tcW w:w="2040" w:type="dxa"/>
            <w:vAlign w:val="bottom"/>
            <w:tcBorders>
              <w:bottom w:val="single" w:sz="8" w:color="95B3D7"/>
              <w:right w:val="single" w:sz="8" w:color="95B3D7"/>
            </w:tcBorders>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tcPr>
          <w:p>
            <w:pPr>
              <w:jc w:val="right"/>
              <w:spacing w:after="0" w:line="155" w:lineRule="exact"/>
              <w:rPr>
                <w:sz w:val="20"/>
                <w:szCs w:val="20"/>
                <w:color w:val="auto"/>
              </w:rPr>
            </w:pPr>
            <w:r>
              <w:rPr>
                <w:rFonts w:ascii="Arial" w:cs="Arial" w:eastAsia="Arial" w:hAnsi="Arial"/>
                <w:sz w:val="14"/>
                <w:szCs w:val="14"/>
                <w:color w:val="auto"/>
              </w:rPr>
              <w:t>40,726</w:t>
            </w:r>
          </w:p>
        </w:tc>
        <w:tc>
          <w:tcPr>
            <w:tcW w:w="1900" w:type="dxa"/>
            <w:vAlign w:val="bottom"/>
            <w:tcBorders>
              <w:bottom w:val="single" w:sz="8" w:color="95B3D7"/>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320" w:type="dxa"/>
            <w:vAlign w:val="bottom"/>
            <w:tcBorders>
              <w:bottom w:val="single" w:sz="8" w:color="95B3D7"/>
              <w:right w:val="single" w:sz="8" w:color="95B3D7"/>
            </w:tcBorders>
            <w:shd w:val="clear" w:color="auto" w:fill="DBE5F1"/>
          </w:tcPr>
          <w:p>
            <w:pPr>
              <w:ind w:left="140"/>
              <w:spacing w:after="0" w:line="156" w:lineRule="exact"/>
              <w:rPr>
                <w:sz w:val="20"/>
                <w:szCs w:val="20"/>
                <w:color w:val="auto"/>
              </w:rPr>
            </w:pPr>
            <w:r>
              <w:rPr>
                <w:rFonts w:ascii="Arial" w:cs="Arial" w:eastAsia="Arial" w:hAnsi="Arial"/>
                <w:sz w:val="13"/>
                <w:szCs w:val="13"/>
                <w:color w:val="auto"/>
              </w:rPr>
              <w:t>Joseph Konowiecki</w:t>
            </w:r>
            <w:r>
              <w:rPr>
                <w:rFonts w:ascii="Arial" w:cs="Arial" w:eastAsia="Arial" w:hAnsi="Arial"/>
                <w:sz w:val="18"/>
                <w:szCs w:val="18"/>
                <w:color w:val="auto"/>
                <w:vertAlign w:val="superscript"/>
              </w:rPr>
              <w:t>(a)</w:t>
            </w:r>
          </w:p>
        </w:tc>
        <w:tc>
          <w:tcPr>
            <w:tcW w:w="2040" w:type="dxa"/>
            <w:vAlign w:val="bottom"/>
            <w:tcBorders>
              <w:bottom w:val="single" w:sz="8" w:color="95B3D7"/>
              <w:right w:val="single" w:sz="8" w:color="95B3D7"/>
            </w:tcBorders>
            <w:shd w:val="clear" w:color="auto" w:fill="DBE5F1"/>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225,644</w:t>
            </w:r>
          </w:p>
        </w:tc>
        <w:tc>
          <w:tcPr>
            <w:tcW w:w="1900" w:type="dxa"/>
            <w:vAlign w:val="bottom"/>
            <w:tcBorders>
              <w:bottom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26,862</w:t>
            </w:r>
          </w:p>
        </w:tc>
      </w:tr>
      <w:tr>
        <w:trPr>
          <w:trHeight w:val="156"/>
        </w:trPr>
        <w:tc>
          <w:tcPr>
            <w:tcW w:w="23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Jacqueline Kosecoff</w:t>
            </w:r>
          </w:p>
        </w:tc>
        <w:tc>
          <w:tcPr>
            <w:tcW w:w="2040" w:type="dxa"/>
            <w:vAlign w:val="bottom"/>
            <w:tcBorders>
              <w:bottom w:val="single" w:sz="8" w:color="95B3D7"/>
              <w:right w:val="single" w:sz="8" w:color="95B3D7"/>
            </w:tcBorders>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tcPr>
          <w:p>
            <w:pPr>
              <w:jc w:val="right"/>
              <w:spacing w:after="0" w:line="155" w:lineRule="exact"/>
              <w:rPr>
                <w:sz w:val="20"/>
                <w:szCs w:val="20"/>
                <w:color w:val="auto"/>
              </w:rPr>
            </w:pPr>
            <w:r>
              <w:rPr>
                <w:rFonts w:ascii="Arial" w:cs="Arial" w:eastAsia="Arial" w:hAnsi="Arial"/>
                <w:sz w:val="14"/>
                <w:szCs w:val="14"/>
                <w:color w:val="auto"/>
              </w:rPr>
              <w:t>40,069</w:t>
            </w:r>
          </w:p>
        </w:tc>
        <w:tc>
          <w:tcPr>
            <w:tcW w:w="1900" w:type="dxa"/>
            <w:vAlign w:val="bottom"/>
            <w:tcBorders>
              <w:bottom w:val="single" w:sz="8" w:color="95B3D7"/>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3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Jeffrey Margolis</w:t>
            </w:r>
          </w:p>
        </w:tc>
        <w:tc>
          <w:tcPr>
            <w:tcW w:w="2040" w:type="dxa"/>
            <w:vAlign w:val="bottom"/>
            <w:tcBorders>
              <w:bottom w:val="single" w:sz="8" w:color="95B3D7"/>
              <w:right w:val="single" w:sz="8" w:color="95B3D7"/>
            </w:tcBorders>
            <w:shd w:val="clear" w:color="auto" w:fill="DBE5F1"/>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32,801</w:t>
            </w:r>
          </w:p>
        </w:tc>
        <w:tc>
          <w:tcPr>
            <w:tcW w:w="1900" w:type="dxa"/>
            <w:vAlign w:val="bottom"/>
            <w:tcBorders>
              <w:bottom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3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Margaret McCarthy</w:t>
            </w:r>
          </w:p>
        </w:tc>
        <w:tc>
          <w:tcPr>
            <w:tcW w:w="2040" w:type="dxa"/>
            <w:vAlign w:val="bottom"/>
            <w:tcBorders>
              <w:bottom w:val="single" w:sz="8" w:color="95B3D7"/>
              <w:right w:val="single" w:sz="8" w:color="95B3D7"/>
            </w:tcBorders>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tcPr>
          <w:p>
            <w:pPr>
              <w:jc w:val="right"/>
              <w:spacing w:after="0" w:line="155" w:lineRule="exact"/>
              <w:rPr>
                <w:sz w:val="20"/>
                <w:szCs w:val="20"/>
                <w:color w:val="auto"/>
              </w:rPr>
            </w:pPr>
            <w:r>
              <w:rPr>
                <w:rFonts w:ascii="Arial" w:cs="Arial" w:eastAsia="Arial" w:hAnsi="Arial"/>
                <w:sz w:val="14"/>
                <w:szCs w:val="14"/>
                <w:color w:val="auto"/>
              </w:rPr>
              <w:t>32,801</w:t>
            </w:r>
          </w:p>
        </w:tc>
        <w:tc>
          <w:tcPr>
            <w:tcW w:w="1900" w:type="dxa"/>
            <w:vAlign w:val="bottom"/>
            <w:tcBorders>
              <w:bottom w:val="single" w:sz="8" w:color="95B3D7"/>
            </w:tcBorders>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320" w:type="dxa"/>
            <w:vAlign w:val="bottom"/>
            <w:tcBorders>
              <w:bottom w:val="single" w:sz="8" w:color="95B3D7"/>
              <w:right w:val="single" w:sz="8" w:color="95B3D7"/>
            </w:tcBorders>
            <w:shd w:val="clear" w:color="auto" w:fill="DBE5F1"/>
          </w:tcPr>
          <w:p>
            <w:pPr>
              <w:ind w:left="140"/>
              <w:spacing w:after="0" w:line="155" w:lineRule="exact"/>
              <w:rPr>
                <w:sz w:val="20"/>
                <w:szCs w:val="20"/>
                <w:color w:val="auto"/>
              </w:rPr>
            </w:pPr>
            <w:r>
              <w:rPr>
                <w:rFonts w:ascii="Arial" w:cs="Arial" w:eastAsia="Arial" w:hAnsi="Arial"/>
                <w:sz w:val="14"/>
                <w:szCs w:val="14"/>
                <w:color w:val="auto"/>
              </w:rPr>
              <w:t>Mark McClellan</w:t>
            </w:r>
          </w:p>
        </w:tc>
        <w:tc>
          <w:tcPr>
            <w:tcW w:w="2040" w:type="dxa"/>
            <w:vAlign w:val="bottom"/>
            <w:tcBorders>
              <w:bottom w:val="single" w:sz="8" w:color="95B3D7"/>
              <w:right w:val="single" w:sz="8" w:color="95B3D7"/>
            </w:tcBorders>
            <w:shd w:val="clear" w:color="auto" w:fill="DBE5F1"/>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32,801</w:t>
            </w:r>
          </w:p>
        </w:tc>
        <w:tc>
          <w:tcPr>
            <w:tcW w:w="1900" w:type="dxa"/>
            <w:vAlign w:val="bottom"/>
            <w:tcBorders>
              <w:bottom w:val="single" w:sz="8" w:color="95B3D7"/>
            </w:tcBorders>
            <w:shd w:val="clear" w:color="auto" w:fill="DBE5F1"/>
          </w:tcPr>
          <w:p>
            <w:pPr>
              <w:jc w:val="right"/>
              <w:spacing w:after="0" w:line="155" w:lineRule="exact"/>
              <w:rPr>
                <w:sz w:val="20"/>
                <w:szCs w:val="20"/>
                <w:color w:val="auto"/>
              </w:rPr>
            </w:pPr>
            <w:r>
              <w:rPr>
                <w:rFonts w:ascii="Arial" w:cs="Arial" w:eastAsia="Arial" w:hAnsi="Arial"/>
                <w:sz w:val="14"/>
                <w:szCs w:val="14"/>
                <w:color w:val="auto"/>
              </w:rPr>
              <w:t>—</w:t>
            </w:r>
          </w:p>
        </w:tc>
      </w:tr>
      <w:tr>
        <w:trPr>
          <w:trHeight w:val="155"/>
        </w:trPr>
        <w:tc>
          <w:tcPr>
            <w:tcW w:w="2320" w:type="dxa"/>
            <w:vAlign w:val="bottom"/>
            <w:tcBorders>
              <w:bottom w:val="single" w:sz="8" w:color="95B3D7"/>
              <w:right w:val="single" w:sz="8" w:color="95B3D7"/>
            </w:tcBorders>
          </w:tcPr>
          <w:p>
            <w:pPr>
              <w:ind w:left="140"/>
              <w:spacing w:after="0" w:line="155" w:lineRule="exact"/>
              <w:rPr>
                <w:sz w:val="20"/>
                <w:szCs w:val="20"/>
                <w:color w:val="auto"/>
              </w:rPr>
            </w:pPr>
            <w:r>
              <w:rPr>
                <w:rFonts w:ascii="Arial" w:cs="Arial" w:eastAsia="Arial" w:hAnsi="Arial"/>
                <w:sz w:val="14"/>
                <w:szCs w:val="14"/>
                <w:color w:val="auto"/>
              </w:rPr>
              <w:t>Robbert Vorhoff</w:t>
            </w:r>
          </w:p>
        </w:tc>
        <w:tc>
          <w:tcPr>
            <w:tcW w:w="2040" w:type="dxa"/>
            <w:vAlign w:val="bottom"/>
            <w:tcBorders>
              <w:bottom w:val="single" w:sz="8" w:color="95B3D7"/>
              <w:right w:val="single" w:sz="8" w:color="95B3D7"/>
            </w:tcBorders>
          </w:tcPr>
          <w:p>
            <w:pPr>
              <w:jc w:val="right"/>
              <w:ind w:right="528"/>
              <w:spacing w:after="0" w:line="155" w:lineRule="exact"/>
              <w:rPr>
                <w:sz w:val="20"/>
                <w:szCs w:val="20"/>
                <w:color w:val="auto"/>
              </w:rPr>
            </w:pPr>
            <w:r>
              <w:rPr>
                <w:rFonts w:ascii="Arial" w:cs="Arial" w:eastAsia="Arial" w:hAnsi="Arial"/>
                <w:sz w:val="14"/>
                <w:szCs w:val="14"/>
                <w:color w:val="auto"/>
              </w:rPr>
              <w:t>—</w:t>
            </w:r>
          </w:p>
        </w:tc>
        <w:tc>
          <w:tcPr>
            <w:tcW w:w="2100" w:type="dxa"/>
            <w:vAlign w:val="bottom"/>
            <w:tcBorders>
              <w:bottom w:val="single" w:sz="8" w:color="95B3D7"/>
              <w:right w:val="single" w:sz="8" w:color="95B3D7"/>
            </w:tcBorders>
          </w:tcPr>
          <w:p>
            <w:pPr>
              <w:jc w:val="right"/>
              <w:spacing w:after="0" w:line="155" w:lineRule="exact"/>
              <w:rPr>
                <w:sz w:val="20"/>
                <w:szCs w:val="20"/>
                <w:color w:val="auto"/>
              </w:rPr>
            </w:pPr>
            <w:r>
              <w:rPr>
                <w:rFonts w:ascii="Arial" w:cs="Arial" w:eastAsia="Arial" w:hAnsi="Arial"/>
                <w:sz w:val="14"/>
                <w:szCs w:val="14"/>
                <w:color w:val="auto"/>
              </w:rPr>
              <w:t>47,168</w:t>
            </w:r>
          </w:p>
        </w:tc>
        <w:tc>
          <w:tcPr>
            <w:tcW w:w="1900" w:type="dxa"/>
            <w:vAlign w:val="bottom"/>
            <w:tcBorders>
              <w:bottom w:val="single" w:sz="8" w:color="95B3D7"/>
            </w:tcBorders>
          </w:tcPr>
          <w:p>
            <w:pPr>
              <w:jc w:val="right"/>
              <w:spacing w:after="0" w:line="155" w:lineRule="exact"/>
              <w:rPr>
                <w:sz w:val="20"/>
                <w:szCs w:val="20"/>
                <w:color w:val="auto"/>
              </w:rPr>
            </w:pPr>
            <w:r>
              <w:rPr>
                <w:rFonts w:ascii="Arial" w:cs="Arial" w:eastAsia="Arial" w:hAnsi="Arial"/>
                <w:sz w:val="14"/>
                <w:szCs w:val="14"/>
                <w:color w:val="auto"/>
              </w:rPr>
              <w:t>—</w:t>
            </w:r>
          </w:p>
        </w:tc>
      </w:tr>
    </w:tbl>
    <w:p>
      <w:pPr>
        <w:spacing w:after="0" w:line="234" w:lineRule="exact"/>
        <w:rPr>
          <w:sz w:val="20"/>
          <w:szCs w:val="20"/>
          <w:color w:val="auto"/>
        </w:rPr>
      </w:pPr>
    </w:p>
    <w:p>
      <w:pPr>
        <w:ind w:left="1204" w:right="540" w:hanging="435"/>
        <w:spacing w:after="0" w:line="285" w:lineRule="auto"/>
        <w:tabs>
          <w:tab w:leader="none" w:pos="1204" w:val="left"/>
        </w:tabs>
        <w:numPr>
          <w:ilvl w:val="2"/>
          <w:numId w:val="61"/>
        </w:numPr>
        <w:rPr>
          <w:rFonts w:ascii="Arial" w:cs="Arial" w:eastAsia="Arial" w:hAnsi="Arial"/>
          <w:sz w:val="14"/>
          <w:szCs w:val="14"/>
          <w:color w:val="auto"/>
        </w:rPr>
      </w:pPr>
      <w:r>
        <w:rPr>
          <w:rFonts w:ascii="Arial" w:cs="Arial" w:eastAsia="Arial" w:hAnsi="Arial"/>
          <w:sz w:val="14"/>
          <w:szCs w:val="14"/>
          <w:color w:val="auto"/>
        </w:rPr>
        <w:t>Includes awards granted in connection with Mr. Konowiecki’s consulting agreement with the Company dated January 1, 2022 and his employment agreement with the Company dated October 31, 2022.</w:t>
      </w:r>
    </w:p>
    <w:p>
      <w:pPr>
        <w:spacing w:after="0" w:line="184" w:lineRule="exact"/>
        <w:rPr>
          <w:rFonts w:ascii="Arial" w:cs="Arial" w:eastAsia="Arial" w:hAnsi="Arial"/>
          <w:sz w:val="14"/>
          <w:szCs w:val="14"/>
          <w:color w:val="auto"/>
        </w:rPr>
      </w:pPr>
    </w:p>
    <w:p>
      <w:pPr>
        <w:ind w:left="764" w:right="20" w:hanging="332"/>
        <w:spacing w:after="0" w:line="248" w:lineRule="auto"/>
        <w:tabs>
          <w:tab w:leader="none" w:pos="764" w:val="left"/>
        </w:tabs>
        <w:numPr>
          <w:ilvl w:val="0"/>
          <w:numId w:val="62"/>
        </w:numPr>
        <w:rPr>
          <w:rFonts w:ascii="Arial" w:cs="Arial" w:eastAsia="Arial" w:hAnsi="Arial"/>
          <w:sz w:val="14"/>
          <w:szCs w:val="14"/>
          <w:color w:val="auto"/>
        </w:rPr>
      </w:pPr>
      <w:r>
        <w:rPr>
          <w:rFonts w:ascii="Arial" w:cs="Arial" w:eastAsia="Arial" w:hAnsi="Arial"/>
          <w:sz w:val="14"/>
          <w:szCs w:val="14"/>
          <w:color w:val="auto"/>
        </w:rPr>
        <w:t>Mr. Konowiecki serves as our Chairman of the Board and, during 2023, served in an executive role leading strategic network and business development. Effective upon his appointment to an executive role, we began compensating Mr. Konowiecki under the terms of his employment agreement (see “</w:t>
      </w:r>
      <w:r>
        <w:rPr>
          <w:rFonts w:ascii="Arial" w:cs="Arial" w:eastAsia="Arial" w:hAnsi="Arial"/>
          <w:sz w:val="14"/>
          <w:szCs w:val="14"/>
          <w:i w:val="1"/>
          <w:iCs w:val="1"/>
          <w:color w:val="auto"/>
        </w:rPr>
        <w:t>Certain</w:t>
      </w:r>
      <w:r>
        <w:rPr>
          <w:rFonts w:ascii="Arial" w:cs="Arial" w:eastAsia="Arial" w:hAnsi="Arial"/>
          <w:sz w:val="14"/>
          <w:szCs w:val="14"/>
          <w:color w:val="auto"/>
        </w:rPr>
        <w:t xml:space="preserve"> </w:t>
      </w:r>
      <w:r>
        <w:rPr>
          <w:rFonts w:ascii="Arial" w:cs="Arial" w:eastAsia="Arial" w:hAnsi="Arial"/>
          <w:sz w:val="14"/>
          <w:szCs w:val="14"/>
          <w:i w:val="1"/>
          <w:iCs w:val="1"/>
          <w:color w:val="auto"/>
        </w:rPr>
        <w:t>Relationships and Related Party Transactions—Related-Party Transactions—Konowiecki Employment Agreement</w:t>
      </w:r>
      <w:r>
        <w:rPr>
          <w:rFonts w:ascii="Arial" w:cs="Arial" w:eastAsia="Arial" w:hAnsi="Arial"/>
          <w:sz w:val="14"/>
          <w:szCs w:val="14"/>
          <w:color w:val="auto"/>
        </w:rPr>
        <w:t>”) and he ceased to be compensated under the</w:t>
      </w:r>
      <w:r>
        <w:rPr>
          <w:rFonts w:ascii="Arial" w:cs="Arial" w:eastAsia="Arial" w:hAnsi="Arial"/>
          <w:sz w:val="14"/>
          <w:szCs w:val="14"/>
          <w:i w:val="1"/>
          <w:iCs w:val="1"/>
          <w:color w:val="auto"/>
        </w:rPr>
        <w:t xml:space="preserve"> </w:t>
      </w:r>
      <w:r>
        <w:rPr>
          <w:rFonts w:ascii="Arial" w:cs="Arial" w:eastAsia="Arial" w:hAnsi="Arial"/>
          <w:sz w:val="14"/>
          <w:szCs w:val="14"/>
          <w:color w:val="auto"/>
        </w:rPr>
        <w:t>Policy. Amount shown under “All Other Compensation” represent amounts paid under the employment agreement, including (i) base salary of $560,000; (ii) a discretionary bonus of $85,000; (iii) a grant of restricted stock units with a grant date fair value of $1,000,000; (iv) cash annual plan incentive payouts in the amount of $511,120; and (v) 401(k) employer matching contributions of $13,200. Mr. Konowiecki’s employment terminated as of December 31, 2023. For 2024, he continues to serve as Chairman and will be compensated under the Policy.</w:t>
      </w:r>
    </w:p>
    <w:p>
      <w:pPr>
        <w:spacing w:after="0" w:line="212" w:lineRule="exact"/>
        <w:rPr>
          <w:rFonts w:ascii="Arial" w:cs="Arial" w:eastAsia="Arial" w:hAnsi="Arial"/>
          <w:sz w:val="14"/>
          <w:szCs w:val="14"/>
          <w:color w:val="auto"/>
        </w:rPr>
      </w:pPr>
    </w:p>
    <w:p>
      <w:pPr>
        <w:ind w:left="764" w:right="700" w:hanging="332"/>
        <w:spacing w:after="0" w:line="251" w:lineRule="auto"/>
        <w:tabs>
          <w:tab w:leader="none" w:pos="764" w:val="left"/>
        </w:tabs>
        <w:numPr>
          <w:ilvl w:val="0"/>
          <w:numId w:val="62"/>
        </w:numPr>
        <w:rPr>
          <w:rFonts w:ascii="Arial" w:cs="Arial" w:eastAsia="Arial" w:hAnsi="Arial"/>
          <w:sz w:val="14"/>
          <w:szCs w:val="14"/>
          <w:color w:val="auto"/>
        </w:rPr>
      </w:pPr>
      <w:r>
        <w:rPr>
          <w:rFonts w:ascii="Arial" w:cs="Arial" w:eastAsia="Arial" w:hAnsi="Arial"/>
          <w:sz w:val="14"/>
          <w:szCs w:val="14"/>
          <w:color w:val="auto"/>
        </w:rPr>
        <w:t>Includes (a) base salary in the amount of $560,000; (b) a discretionary cash bonus in the amount of $85,000; (c) an RSU with a grant date fair value of $1,000,000, computed in accordance with FASB ASC Topic 718, issued to Mr. Konowiecki pursuant to his employment agreement with the Company;</w:t>
      </w:r>
    </w:p>
    <w:p>
      <w:pPr>
        <w:spacing w:after="0" w:line="1" w:lineRule="exact"/>
        <w:rPr>
          <w:rFonts w:ascii="Arial" w:cs="Arial" w:eastAsia="Arial" w:hAnsi="Arial"/>
          <w:sz w:val="14"/>
          <w:szCs w:val="14"/>
          <w:color w:val="auto"/>
        </w:rPr>
      </w:pPr>
    </w:p>
    <w:p>
      <w:pPr>
        <w:ind w:left="964" w:hanging="208"/>
        <w:spacing w:after="0"/>
        <w:tabs>
          <w:tab w:leader="none" w:pos="964" w:val="left"/>
        </w:tabs>
        <w:numPr>
          <w:ilvl w:val="1"/>
          <w:numId w:val="62"/>
        </w:numPr>
        <w:rPr>
          <w:rFonts w:ascii="Arial" w:cs="Arial" w:eastAsia="Arial" w:hAnsi="Arial"/>
          <w:sz w:val="14"/>
          <w:szCs w:val="14"/>
          <w:color w:val="auto"/>
        </w:rPr>
      </w:pPr>
      <w:r>
        <w:rPr>
          <w:rFonts w:ascii="Arial" w:cs="Arial" w:eastAsia="Arial" w:hAnsi="Arial"/>
          <w:sz w:val="14"/>
          <w:szCs w:val="14"/>
          <w:color w:val="auto"/>
        </w:rPr>
        <w:t>payments under the Company’s cash annual incentive plan in the aggregate amount of $511,120; and (e) 401(k) matching in the amount of $13,200.</w:t>
      </w:r>
    </w:p>
    <w:p>
      <w:pPr>
        <w:spacing w:after="0" w:line="303"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1F497D"/>
        </w:rPr>
        <w:t>Officer and Director Stock Ownership Policies</w:t>
      </w:r>
    </w:p>
    <w:p>
      <w:pPr>
        <w:spacing w:after="0" w:line="210" w:lineRule="exact"/>
        <w:rPr>
          <w:sz w:val="20"/>
          <w:szCs w:val="20"/>
          <w:color w:val="auto"/>
        </w:rPr>
      </w:pPr>
    </w:p>
    <w:p>
      <w:pPr>
        <w:ind w:left="4" w:right="20" w:firstLine="440"/>
        <w:spacing w:after="0" w:line="244" w:lineRule="auto"/>
        <w:rPr>
          <w:sz w:val="20"/>
          <w:szCs w:val="20"/>
          <w:color w:val="auto"/>
        </w:rPr>
      </w:pPr>
      <w:r>
        <w:rPr>
          <w:rFonts w:ascii="Arial" w:cs="Arial" w:eastAsia="Arial" w:hAnsi="Arial"/>
          <w:sz w:val="18"/>
          <w:szCs w:val="18"/>
          <w:color w:val="auto"/>
        </w:rPr>
        <w:t>In July 2021, our Board adopted a stock ownership policy for our executive officers. The policy requires (i) our CEO to hold shares of common stock with an aggregate market value equal to five times (5x) his base salary; and (ii) certain other executive officers to hold shares of common stock with an aggregate market value equal to two times (2x) his or her base salary. The aggregate value of such shares includes outstanding common stock, unvested restricted shares, RSUs and deferred shares. Officers must comply within five years of the adoption of the guidelines or within five years of the date of their appointment, whichever is later.</w:t>
      </w:r>
    </w:p>
    <w:p>
      <w:pPr>
        <w:spacing w:after="0" w:line="176" w:lineRule="exact"/>
        <w:rPr>
          <w:sz w:val="20"/>
          <w:szCs w:val="20"/>
          <w:color w:val="auto"/>
        </w:rPr>
      </w:pPr>
    </w:p>
    <w:p>
      <w:pPr>
        <w:ind w:left="4" w:right="620" w:firstLine="440"/>
        <w:spacing w:after="0" w:line="259" w:lineRule="auto"/>
        <w:rPr>
          <w:sz w:val="20"/>
          <w:szCs w:val="20"/>
          <w:color w:val="auto"/>
        </w:rPr>
      </w:pPr>
      <w:r>
        <w:rPr>
          <w:rFonts w:ascii="Arial" w:cs="Arial" w:eastAsia="Arial" w:hAnsi="Arial"/>
          <w:sz w:val="17"/>
          <w:szCs w:val="17"/>
          <w:color w:val="auto"/>
        </w:rPr>
        <w:t>In February 2022, our Board adopted a stock ownership policy for our non-employee directors. The policy requires each non-employee director to hold shares of Company common stock having an aggregate market value of at least $400,000 by the later of</w:t>
      </w:r>
    </w:p>
    <w:p>
      <w:pPr>
        <w:spacing w:after="0" w:line="1" w:lineRule="exact"/>
        <w:rPr>
          <w:sz w:val="20"/>
          <w:szCs w:val="20"/>
          <w:color w:val="auto"/>
        </w:rPr>
      </w:pPr>
    </w:p>
    <w:p>
      <w:pPr>
        <w:ind w:left="5404" w:right="5240" w:hanging="5404"/>
        <w:spacing w:after="0" w:line="423" w:lineRule="auto"/>
        <w:tabs>
          <w:tab w:leader="none" w:pos="206" w:val="left"/>
        </w:tabs>
        <w:numPr>
          <w:ilvl w:val="0"/>
          <w:numId w:val="63"/>
        </w:numPr>
        <w:rPr>
          <w:rFonts w:ascii="Arial" w:cs="Arial" w:eastAsia="Arial" w:hAnsi="Arial"/>
          <w:sz w:val="18"/>
          <w:szCs w:val="18"/>
          <w:color w:val="auto"/>
        </w:rPr>
      </w:pPr>
      <w:r>
        <w:rPr>
          <w:rFonts w:ascii="Arial" w:cs="Arial" w:eastAsia="Arial" w:hAnsi="Arial"/>
          <w:sz w:val="18"/>
          <w:szCs w:val="18"/>
          <w:color w:val="auto"/>
        </w:rPr>
        <w:t>February 25, 2027 or (ii) five years from the date of their appointment. 67</w:t>
      </w:r>
    </w:p>
    <w:p>
      <w:pPr>
        <w:sectPr>
          <w:pgSz w:w="11900" w:h="16838" w:orient="portrait"/>
          <w:cols w:equalWidth="0" w:num="1">
            <w:col w:w="11004"/>
          </w:cols>
          <w:pgMar w:left="436" w:top="296" w:right="459" w:bottom="1440" w:gutter="0" w:footer="0" w:header="0"/>
        </w:sectPr>
      </w:pPr>
    </w:p>
    <w:bookmarkStart w:id="75" w:name="page76"/>
    <w:bookmarkEnd w:id="75"/>
    <w:p>
      <w:pPr>
        <w:ind w:left="4"/>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 Versus Performance</w:t>
      </w:r>
    </w:p>
    <w:p>
      <w:pPr>
        <w:spacing w:after="0" w:line="21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and supporting graphics below set out information regarding fiscal years ended December 31, 2023, 2022, and</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2021 in satisfaction of Item 402(v) of Regulation S-K, which requires disclosure regarding executive “Compensation Actually Paid” or</w:t>
      </w:r>
    </w:p>
    <w:p>
      <w:pPr>
        <w:ind w:left="4"/>
        <w:spacing w:after="0" w:line="234" w:lineRule="auto"/>
        <w:rPr>
          <w:sz w:val="20"/>
          <w:szCs w:val="20"/>
          <w:color w:val="auto"/>
        </w:rPr>
      </w:pPr>
      <w:r>
        <w:rPr>
          <w:rFonts w:ascii="Arial" w:cs="Arial" w:eastAsia="Arial" w:hAnsi="Arial"/>
          <w:sz w:val="18"/>
          <w:szCs w:val="18"/>
          <w:color w:val="auto"/>
        </w:rPr>
        <w:t>“CAP” (as calculated in accordance with SEC rules) as compared to certain Company performance measures. You should refer to</w:t>
      </w:r>
    </w:p>
    <w:p>
      <w:pPr>
        <w:ind w:left="4"/>
        <w:spacing w:after="0" w:line="23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in this proxy statement for a complete description of how executive compensation relates to</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performance and how the Compensation Committee makes its decisions.</w:t>
      </w:r>
    </w:p>
    <w:p>
      <w:pPr>
        <w:spacing w:after="0" w:line="23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4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8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 xml:space="preserve">Year-end value of $100   </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Average</w:t>
            </w:r>
          </w:p>
        </w:tc>
        <w:tc>
          <w:tcPr>
            <w:tcW w:w="2480" w:type="dxa"/>
            <w:vAlign w:val="bottom"/>
            <w:gridSpan w:val="2"/>
          </w:tcPr>
          <w:p>
            <w:pPr>
              <w:jc w:val="center"/>
              <w:ind w:right="8"/>
              <w:spacing w:after="0"/>
              <w:rPr>
                <w:sz w:val="20"/>
                <w:szCs w:val="20"/>
                <w:color w:val="auto"/>
              </w:rPr>
            </w:pPr>
            <w:r>
              <w:rPr>
                <w:rFonts w:ascii="Arial" w:cs="Arial" w:eastAsia="Arial" w:hAnsi="Arial"/>
                <w:sz w:val="14"/>
                <w:szCs w:val="14"/>
                <w:b w:val="1"/>
                <w:bCs w:val="1"/>
                <w:color w:val="auto"/>
              </w:rPr>
              <w:t xml:space="preserve">invested on 3/26/2021 in:   </w:t>
            </w: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1"/>
        </w:trPr>
        <w:tc>
          <w:tcPr>
            <w:tcW w:w="1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18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b w:val="1"/>
                <w:bCs w:val="1"/>
                <w:color w:val="auto"/>
              </w:rPr>
              <w:t>Summary</w:t>
            </w:r>
          </w:p>
        </w:tc>
        <w:tc>
          <w:tcPr>
            <w:tcW w:w="116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Summary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Comp.</w:t>
            </w:r>
          </w:p>
        </w:tc>
        <w:tc>
          <w:tcPr>
            <w:tcW w:w="10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NASDAQ</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b w:val="1"/>
                <w:bCs w:val="1"/>
                <w:color w:val="auto"/>
              </w:rPr>
              <w:t>Comp.</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Comp.</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Comp.</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Actually</w:t>
            </w:r>
          </w:p>
        </w:tc>
        <w:tc>
          <w:tcPr>
            <w:tcW w:w="10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Health Care</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w w:val="97"/>
              </w:rPr>
              <w:t>Net</w:t>
            </w:r>
          </w:p>
        </w:tc>
        <w:tc>
          <w:tcPr>
            <w:tcW w:w="900" w:type="dxa"/>
            <w:vAlign w:val="bottom"/>
          </w:tcPr>
          <w:p>
            <w:pPr>
              <w:jc w:val="center"/>
              <w:ind w:left="88"/>
              <w:spacing w:after="0"/>
              <w:rPr>
                <w:sz w:val="20"/>
                <w:szCs w:val="20"/>
                <w:color w:val="auto"/>
              </w:rPr>
            </w:pPr>
            <w:r>
              <w:rPr>
                <w:rFonts w:ascii="Arial" w:cs="Arial" w:eastAsia="Arial" w:hAnsi="Arial"/>
                <w:sz w:val="14"/>
                <w:szCs w:val="14"/>
                <w:b w:val="1"/>
                <w:bCs w:val="1"/>
                <w:color w:val="auto"/>
                <w:w w:val="98"/>
              </w:rPr>
              <w:t>Adj.</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460" w:type="dxa"/>
            <w:vAlign w:val="bottom"/>
          </w:tcPr>
          <w:p>
            <w:pPr>
              <w:jc w:val="center"/>
              <w:ind w:left="208"/>
              <w:spacing w:after="0"/>
              <w:rPr>
                <w:sz w:val="20"/>
                <w:szCs w:val="20"/>
                <w:color w:val="auto"/>
              </w:rPr>
            </w:pPr>
            <w:r>
              <w:rPr>
                <w:rFonts w:ascii="Arial" w:cs="Arial" w:eastAsia="Arial" w:hAnsi="Arial"/>
                <w:sz w:val="14"/>
                <w:szCs w:val="14"/>
                <w:b w:val="1"/>
                <w:bCs w:val="1"/>
                <w:color w:val="auto"/>
              </w:rPr>
              <w:t>Table Total</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Actually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Table Total</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Paid to</w:t>
            </w:r>
          </w:p>
        </w:tc>
        <w:tc>
          <w:tcPr>
            <w:tcW w:w="10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Index Total</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rPr>
              <w:t>Income</w:t>
            </w:r>
          </w:p>
        </w:tc>
        <w:tc>
          <w:tcPr>
            <w:tcW w:w="900" w:type="dxa"/>
            <w:vAlign w:val="bottom"/>
          </w:tcPr>
          <w:p>
            <w:pPr>
              <w:jc w:val="center"/>
              <w:ind w:left="88"/>
              <w:spacing w:after="0"/>
              <w:rPr>
                <w:sz w:val="20"/>
                <w:szCs w:val="20"/>
                <w:color w:val="auto"/>
              </w:rPr>
            </w:pPr>
            <w:r>
              <w:rPr>
                <w:rFonts w:ascii="Arial" w:cs="Arial" w:eastAsia="Arial" w:hAnsi="Arial"/>
                <w:sz w:val="14"/>
                <w:szCs w:val="14"/>
                <w:b w:val="1"/>
                <w:bCs w:val="1"/>
                <w:color w:val="auto"/>
              </w:rPr>
              <w:t>EBITDA</w:t>
            </w:r>
          </w:p>
        </w:tc>
        <w:tc>
          <w:tcPr>
            <w:tcW w:w="0" w:type="dxa"/>
            <w:vAlign w:val="bottom"/>
          </w:tcPr>
          <w:p>
            <w:pPr>
              <w:spacing w:after="0"/>
              <w:rPr>
                <w:sz w:val="1"/>
                <w:szCs w:val="1"/>
                <w:color w:val="auto"/>
              </w:rPr>
            </w:pPr>
          </w:p>
        </w:tc>
      </w:tr>
      <w:tr>
        <w:trPr>
          <w:trHeight w:val="162"/>
        </w:trPr>
        <w:tc>
          <w:tcPr>
            <w:tcW w:w="1460" w:type="dxa"/>
            <w:vAlign w:val="bottom"/>
          </w:tcPr>
          <w:p>
            <w:pPr>
              <w:spacing w:after="0"/>
              <w:rPr>
                <w:sz w:val="14"/>
                <w:szCs w:val="14"/>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b w:val="1"/>
                <w:bCs w:val="1"/>
                <w:color w:val="auto"/>
                <w:w w:val="99"/>
              </w:rPr>
              <w:t>for John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Paid to</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for Non-</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Non-PEO</w:t>
            </w:r>
          </w:p>
        </w:tc>
        <w:tc>
          <w:tcPr>
            <w:tcW w:w="10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Shareholder</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rPr>
              <w:t>(in</w:t>
            </w:r>
          </w:p>
        </w:tc>
        <w:tc>
          <w:tcPr>
            <w:tcW w:w="900" w:type="dxa"/>
            <w:vAlign w:val="bottom"/>
          </w:tcPr>
          <w:p>
            <w:pPr>
              <w:jc w:val="center"/>
              <w:ind w:left="88"/>
              <w:spacing w:after="0"/>
              <w:rPr>
                <w:sz w:val="20"/>
                <w:szCs w:val="20"/>
                <w:color w:val="auto"/>
              </w:rPr>
            </w:pPr>
            <w:r>
              <w:rPr>
                <w:rFonts w:ascii="Arial" w:cs="Arial" w:eastAsia="Arial" w:hAnsi="Arial"/>
                <w:sz w:val="14"/>
                <w:szCs w:val="14"/>
                <w:b w:val="1"/>
                <w:bCs w:val="1"/>
                <w:color w:val="auto"/>
              </w:rPr>
              <w:t>(in</w:t>
            </w:r>
          </w:p>
        </w:tc>
        <w:tc>
          <w:tcPr>
            <w:tcW w:w="0" w:type="dxa"/>
            <w:vAlign w:val="bottom"/>
          </w:tcPr>
          <w:p>
            <w:pPr>
              <w:spacing w:after="0"/>
              <w:rPr>
                <w:sz w:val="1"/>
                <w:szCs w:val="1"/>
                <w:color w:val="auto"/>
              </w:rPr>
            </w:pPr>
          </w:p>
        </w:tc>
      </w:tr>
      <w:tr>
        <w:trPr>
          <w:trHeight w:val="162"/>
        </w:trPr>
        <w:tc>
          <w:tcPr>
            <w:tcW w:w="1460" w:type="dxa"/>
            <w:vAlign w:val="bottom"/>
          </w:tcPr>
          <w:p>
            <w:pPr>
              <w:jc w:val="center"/>
              <w:ind w:left="8"/>
              <w:spacing w:after="0"/>
              <w:rPr>
                <w:sz w:val="20"/>
                <w:szCs w:val="20"/>
                <w:color w:val="auto"/>
              </w:rPr>
            </w:pPr>
            <w:r>
              <w:rPr>
                <w:rFonts w:ascii="Arial" w:cs="Arial" w:eastAsia="Arial" w:hAnsi="Arial"/>
                <w:sz w:val="14"/>
                <w:szCs w:val="14"/>
                <w:b w:val="1"/>
                <w:bCs w:val="1"/>
                <w:color w:val="auto"/>
                <w:w w:val="98"/>
              </w:rPr>
              <w:t>Year</w:t>
            </w:r>
          </w:p>
        </w:tc>
        <w:tc>
          <w:tcPr>
            <w:tcW w:w="1460" w:type="dxa"/>
            <w:vAlign w:val="bottom"/>
          </w:tcPr>
          <w:p>
            <w:pPr>
              <w:jc w:val="center"/>
              <w:ind w:left="208"/>
              <w:spacing w:after="0" w:line="162" w:lineRule="exact"/>
              <w:rPr>
                <w:sz w:val="20"/>
                <w:szCs w:val="20"/>
                <w:color w:val="auto"/>
              </w:rPr>
            </w:pPr>
            <w:r>
              <w:rPr>
                <w:rFonts w:ascii="Arial" w:cs="Arial" w:eastAsia="Arial" w:hAnsi="Arial"/>
                <w:sz w:val="14"/>
                <w:szCs w:val="14"/>
                <w:b w:val="1"/>
                <w:bCs w:val="1"/>
                <w:color w:val="auto"/>
                <w:w w:val="94"/>
              </w:rPr>
              <w:t>Kao</w:t>
            </w:r>
            <w:r>
              <w:rPr>
                <w:rFonts w:ascii="Arial" w:cs="Arial" w:eastAsia="Arial" w:hAnsi="Arial"/>
                <w:sz w:val="17"/>
                <w:szCs w:val="17"/>
                <w:b w:val="1"/>
                <w:bCs w:val="1"/>
                <w:color w:val="auto"/>
                <w:w w:val="94"/>
                <w:vertAlign w:val="superscript"/>
              </w:rPr>
              <w:t>(1)</w:t>
            </w:r>
          </w:p>
        </w:tc>
        <w:tc>
          <w:tcPr>
            <w:tcW w:w="11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5"/>
              </w:rPr>
              <w:t xml:space="preserve">John Kao </w:t>
            </w:r>
            <w:r>
              <w:rPr>
                <w:rFonts w:ascii="Arial" w:cs="Arial" w:eastAsia="Arial" w:hAnsi="Arial"/>
                <w:sz w:val="17"/>
                <w:szCs w:val="17"/>
                <w:b w:val="1"/>
                <w:bCs w:val="1"/>
                <w:color w:val="auto"/>
                <w:w w:val="95"/>
                <w:vertAlign w:val="superscript"/>
              </w:rPr>
              <w:t>(2)</w:t>
            </w:r>
          </w:p>
        </w:tc>
        <w:tc>
          <w:tcPr>
            <w:tcW w:w="124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6"/>
              </w:rPr>
              <w:t xml:space="preserve">PEO NEOs </w:t>
            </w:r>
            <w:r>
              <w:rPr>
                <w:rFonts w:ascii="Arial" w:cs="Arial" w:eastAsia="Arial" w:hAnsi="Arial"/>
                <w:sz w:val="17"/>
                <w:szCs w:val="17"/>
                <w:b w:val="1"/>
                <w:bCs w:val="1"/>
                <w:color w:val="auto"/>
                <w:w w:val="96"/>
                <w:vertAlign w:val="superscript"/>
              </w:rPr>
              <w:t>(3)</w:t>
            </w:r>
          </w:p>
        </w:tc>
        <w:tc>
          <w:tcPr>
            <w:tcW w:w="118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2"/>
              </w:rPr>
              <w:t xml:space="preserve">NEOs </w:t>
            </w:r>
            <w:r>
              <w:rPr>
                <w:rFonts w:ascii="Arial" w:cs="Arial" w:eastAsia="Arial" w:hAnsi="Arial"/>
                <w:sz w:val="17"/>
                <w:szCs w:val="17"/>
                <w:b w:val="1"/>
                <w:bCs w:val="1"/>
                <w:color w:val="auto"/>
                <w:w w:val="92"/>
                <w:vertAlign w:val="superscript"/>
              </w:rPr>
              <w:t>(4)</w:t>
            </w:r>
          </w:p>
        </w:tc>
        <w:tc>
          <w:tcPr>
            <w:tcW w:w="106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ALHC</w:t>
            </w:r>
            <w:r>
              <w:rPr>
                <w:rFonts w:ascii="Arial" w:cs="Arial" w:eastAsia="Arial" w:hAnsi="Arial"/>
                <w:sz w:val="17"/>
                <w:szCs w:val="17"/>
                <w:b w:val="1"/>
                <w:bCs w:val="1"/>
                <w:color w:val="auto"/>
                <w:w w:val="98"/>
                <w:vertAlign w:val="superscript"/>
              </w:rPr>
              <w:t>(5)</w:t>
            </w:r>
          </w:p>
        </w:tc>
        <w:tc>
          <w:tcPr>
            <w:tcW w:w="1420" w:type="dxa"/>
            <w:vAlign w:val="bottom"/>
          </w:tcPr>
          <w:p>
            <w:pPr>
              <w:jc w:val="center"/>
              <w:spacing w:after="0" w:line="162" w:lineRule="exact"/>
              <w:rPr>
                <w:sz w:val="20"/>
                <w:szCs w:val="20"/>
                <w:color w:val="auto"/>
              </w:rPr>
            </w:pPr>
            <w:r>
              <w:rPr>
                <w:rFonts w:ascii="Arial" w:cs="Arial" w:eastAsia="Arial" w:hAnsi="Arial"/>
                <w:sz w:val="14"/>
                <w:szCs w:val="14"/>
                <w:b w:val="1"/>
                <w:bCs w:val="1"/>
                <w:color w:val="auto"/>
                <w:w w:val="98"/>
              </w:rPr>
              <w:t>Return</w:t>
            </w:r>
            <w:r>
              <w:rPr>
                <w:rFonts w:ascii="Arial" w:cs="Arial" w:eastAsia="Arial" w:hAnsi="Arial"/>
                <w:sz w:val="17"/>
                <w:szCs w:val="17"/>
                <w:b w:val="1"/>
                <w:bCs w:val="1"/>
                <w:color w:val="auto"/>
                <w:w w:val="98"/>
                <w:vertAlign w:val="superscript"/>
              </w:rPr>
              <w:t>(6)</w:t>
            </w:r>
          </w:p>
        </w:tc>
        <w:tc>
          <w:tcPr>
            <w:tcW w:w="1140" w:type="dxa"/>
            <w:vAlign w:val="bottom"/>
          </w:tcPr>
          <w:p>
            <w:pPr>
              <w:jc w:val="center"/>
              <w:ind w:left="48"/>
              <w:spacing w:after="0" w:line="162" w:lineRule="exact"/>
              <w:rPr>
                <w:sz w:val="20"/>
                <w:szCs w:val="20"/>
                <w:color w:val="auto"/>
              </w:rPr>
            </w:pPr>
            <w:r>
              <w:rPr>
                <w:rFonts w:ascii="Arial" w:cs="Arial" w:eastAsia="Arial" w:hAnsi="Arial"/>
                <w:sz w:val="14"/>
                <w:szCs w:val="14"/>
                <w:b w:val="1"/>
                <w:bCs w:val="1"/>
                <w:color w:val="auto"/>
                <w:w w:val="98"/>
              </w:rPr>
              <w:t xml:space="preserve">millions) </w:t>
            </w:r>
            <w:r>
              <w:rPr>
                <w:rFonts w:ascii="Arial" w:cs="Arial" w:eastAsia="Arial" w:hAnsi="Arial"/>
                <w:sz w:val="17"/>
                <w:szCs w:val="17"/>
                <w:b w:val="1"/>
                <w:bCs w:val="1"/>
                <w:color w:val="auto"/>
                <w:w w:val="98"/>
                <w:vertAlign w:val="superscript"/>
              </w:rPr>
              <w:t>(7)</w:t>
            </w:r>
          </w:p>
        </w:tc>
        <w:tc>
          <w:tcPr>
            <w:tcW w:w="900" w:type="dxa"/>
            <w:vAlign w:val="bottom"/>
          </w:tcPr>
          <w:p>
            <w:pPr>
              <w:jc w:val="center"/>
              <w:ind w:left="88"/>
              <w:spacing w:after="0" w:line="162" w:lineRule="exact"/>
              <w:rPr>
                <w:sz w:val="20"/>
                <w:szCs w:val="20"/>
                <w:color w:val="auto"/>
              </w:rPr>
            </w:pPr>
            <w:r>
              <w:rPr>
                <w:rFonts w:ascii="Arial" w:cs="Arial" w:eastAsia="Arial" w:hAnsi="Arial"/>
                <w:sz w:val="14"/>
                <w:szCs w:val="14"/>
                <w:b w:val="1"/>
                <w:bCs w:val="1"/>
                <w:color w:val="auto"/>
                <w:w w:val="98"/>
              </w:rPr>
              <w:t xml:space="preserve">millions) </w:t>
            </w:r>
            <w:r>
              <w:rPr>
                <w:rFonts w:ascii="Arial" w:cs="Arial" w:eastAsia="Arial" w:hAnsi="Arial"/>
                <w:sz w:val="17"/>
                <w:szCs w:val="17"/>
                <w:b w:val="1"/>
                <w:bCs w:val="1"/>
                <w:color w:val="auto"/>
                <w:w w:val="98"/>
                <w:vertAlign w:val="superscript"/>
              </w:rPr>
              <w:t>(8)</w:t>
            </w: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1460" w:type="dxa"/>
            <w:vAlign w:val="bottom"/>
          </w:tcPr>
          <w:p>
            <w:pPr>
              <w:jc w:val="center"/>
              <w:ind w:left="228"/>
              <w:spacing w:after="0"/>
              <w:rPr>
                <w:sz w:val="20"/>
                <w:szCs w:val="20"/>
                <w:color w:val="auto"/>
              </w:rPr>
            </w:pPr>
            <w:r>
              <w:rPr>
                <w:rFonts w:ascii="Arial" w:cs="Arial" w:eastAsia="Arial" w:hAnsi="Arial"/>
                <w:sz w:val="14"/>
                <w:szCs w:val="14"/>
                <w:b w:val="1"/>
                <w:bCs w:val="1"/>
                <w:color w:val="auto"/>
                <w:w w:val="93"/>
              </w:rPr>
              <w:t>($)</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center"/>
              <w:ind w:right="8"/>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center"/>
              <w:ind w:left="4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center"/>
              <w:ind w:left="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460" w:type="dxa"/>
            <w:vAlign w:val="bottom"/>
            <w:tcBorders>
              <w:bottom w:val="single" w:sz="8" w:color="auto"/>
            </w:tcBorders>
          </w:tcPr>
          <w:p>
            <w:pPr>
              <w:jc w:val="center"/>
              <w:ind w:left="8"/>
              <w:spacing w:after="0"/>
              <w:rPr>
                <w:sz w:val="20"/>
                <w:szCs w:val="20"/>
                <w:color w:val="auto"/>
              </w:rPr>
            </w:pPr>
            <w:r>
              <w:rPr>
                <w:rFonts w:ascii="Arial" w:cs="Arial" w:eastAsia="Arial" w:hAnsi="Arial"/>
                <w:sz w:val="14"/>
                <w:szCs w:val="14"/>
                <w:color w:val="auto"/>
              </w:rPr>
              <w:t>(a)</w:t>
            </w:r>
          </w:p>
        </w:tc>
        <w:tc>
          <w:tcPr>
            <w:tcW w:w="146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color w:val="auto"/>
                <w:w w:val="93"/>
              </w:rPr>
              <w:t>(b)</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(c)</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(e)</w:t>
            </w:r>
          </w:p>
        </w:tc>
        <w:tc>
          <w:tcPr>
            <w:tcW w:w="10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color w:val="auto"/>
              </w:rPr>
              <w:t>(f)</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(g)</w:t>
            </w:r>
          </w:p>
        </w:tc>
        <w:tc>
          <w:tcPr>
            <w:tcW w:w="1140" w:type="dxa"/>
            <w:vAlign w:val="bottom"/>
            <w:tcBorders>
              <w:bottom w:val="single" w:sz="8" w:color="auto"/>
            </w:tcBorders>
          </w:tcPr>
          <w:p>
            <w:pPr>
              <w:jc w:val="center"/>
              <w:ind w:left="48"/>
              <w:spacing w:after="0"/>
              <w:rPr>
                <w:sz w:val="20"/>
                <w:szCs w:val="20"/>
                <w:color w:val="auto"/>
              </w:rPr>
            </w:pPr>
            <w:r>
              <w:rPr>
                <w:rFonts w:ascii="Arial" w:cs="Arial" w:eastAsia="Arial" w:hAnsi="Arial"/>
                <w:sz w:val="14"/>
                <w:szCs w:val="14"/>
                <w:color w:val="auto"/>
              </w:rPr>
              <w:t>(h)</w:t>
            </w:r>
          </w:p>
        </w:tc>
        <w:tc>
          <w:tcPr>
            <w:tcW w:w="900" w:type="dxa"/>
            <w:vAlign w:val="bottom"/>
            <w:tcBorders>
              <w:bottom w:val="single" w:sz="8" w:color="auto"/>
            </w:tcBorders>
          </w:tcPr>
          <w:p>
            <w:pPr>
              <w:jc w:val="center"/>
              <w:ind w:left="88"/>
              <w:spacing w:after="0"/>
              <w:rPr>
                <w:sz w:val="20"/>
                <w:szCs w:val="20"/>
                <w:color w:val="auto"/>
              </w:rPr>
            </w:pPr>
            <w:r>
              <w:rPr>
                <w:rFonts w:ascii="Arial" w:cs="Arial" w:eastAsia="Arial" w:hAnsi="Arial"/>
                <w:sz w:val="14"/>
                <w:szCs w:val="14"/>
                <w:color w:val="auto"/>
              </w:rPr>
              <w:t>(i)</w:t>
            </w:r>
          </w:p>
        </w:tc>
        <w:tc>
          <w:tcPr>
            <w:tcW w:w="0" w:type="dxa"/>
            <w:vAlign w:val="bottom"/>
          </w:tcPr>
          <w:p>
            <w:pPr>
              <w:spacing w:after="0"/>
              <w:rPr>
                <w:sz w:val="1"/>
                <w:szCs w:val="1"/>
                <w:color w:val="auto"/>
              </w:rPr>
            </w:pPr>
          </w:p>
        </w:tc>
      </w:tr>
      <w:tr>
        <w:trPr>
          <w:trHeight w:val="156"/>
        </w:trPr>
        <w:tc>
          <w:tcPr>
            <w:tcW w:w="1460" w:type="dxa"/>
            <w:vAlign w:val="bottom"/>
            <w:shd w:val="clear" w:color="auto" w:fill="DBE5F1"/>
          </w:tcPr>
          <w:p>
            <w:pPr>
              <w:jc w:val="center"/>
              <w:ind w:left="28"/>
              <w:spacing w:after="0" w:line="155" w:lineRule="exact"/>
              <w:rPr>
                <w:sz w:val="20"/>
                <w:szCs w:val="20"/>
                <w:color w:val="auto"/>
              </w:rPr>
            </w:pPr>
            <w:r>
              <w:rPr>
                <w:rFonts w:ascii="Arial" w:cs="Arial" w:eastAsia="Arial" w:hAnsi="Arial"/>
                <w:sz w:val="14"/>
                <w:szCs w:val="14"/>
                <w:color w:val="auto"/>
              </w:rPr>
              <w:t>2023</w:t>
            </w:r>
          </w:p>
        </w:tc>
        <w:tc>
          <w:tcPr>
            <w:tcW w:w="1460" w:type="dxa"/>
            <w:vAlign w:val="bottom"/>
            <w:shd w:val="clear" w:color="auto" w:fill="DBE5F1"/>
          </w:tcPr>
          <w:p>
            <w:pPr>
              <w:jc w:val="center"/>
              <w:ind w:left="228"/>
              <w:spacing w:after="0" w:line="155" w:lineRule="exact"/>
              <w:rPr>
                <w:sz w:val="20"/>
                <w:szCs w:val="20"/>
                <w:color w:val="auto"/>
              </w:rPr>
            </w:pPr>
            <w:r>
              <w:rPr>
                <w:rFonts w:ascii="Arial" w:cs="Arial" w:eastAsia="Arial" w:hAnsi="Arial"/>
                <w:sz w:val="14"/>
                <w:szCs w:val="14"/>
                <w:color w:val="auto"/>
              </w:rPr>
              <w:t>14,296,476</w:t>
            </w:r>
          </w:p>
        </w:tc>
        <w:tc>
          <w:tcPr>
            <w:tcW w:w="116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color w:val="auto"/>
              </w:rPr>
              <w:t>(2,674,822)</w:t>
            </w:r>
          </w:p>
        </w:tc>
        <w:tc>
          <w:tcPr>
            <w:tcW w:w="124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color w:val="auto"/>
              </w:rPr>
              <w:t>4,760,449</w:t>
            </w:r>
          </w:p>
        </w:tc>
        <w:tc>
          <w:tcPr>
            <w:tcW w:w="118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color w:val="auto"/>
              </w:rPr>
              <w:t>1,769,823</w:t>
            </w:r>
          </w:p>
        </w:tc>
        <w:tc>
          <w:tcPr>
            <w:tcW w:w="106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color w:val="auto"/>
              </w:rPr>
              <w:t>49.74</w:t>
            </w:r>
          </w:p>
        </w:tc>
        <w:tc>
          <w:tcPr>
            <w:tcW w:w="1420" w:type="dxa"/>
            <w:vAlign w:val="bottom"/>
            <w:shd w:val="clear" w:color="auto" w:fill="DBE5F1"/>
          </w:tcPr>
          <w:p>
            <w:pPr>
              <w:jc w:val="center"/>
              <w:spacing w:after="0" w:line="155" w:lineRule="exact"/>
              <w:rPr>
                <w:sz w:val="20"/>
                <w:szCs w:val="20"/>
                <w:color w:val="auto"/>
              </w:rPr>
            </w:pPr>
            <w:r>
              <w:rPr>
                <w:rFonts w:ascii="Arial" w:cs="Arial" w:eastAsia="Arial" w:hAnsi="Arial"/>
                <w:sz w:val="14"/>
                <w:szCs w:val="14"/>
                <w:color w:val="auto"/>
              </w:rPr>
              <w:t>82.87</w:t>
            </w:r>
          </w:p>
        </w:tc>
        <w:tc>
          <w:tcPr>
            <w:tcW w:w="1140" w:type="dxa"/>
            <w:vAlign w:val="bottom"/>
            <w:shd w:val="clear" w:color="auto" w:fill="DBE5F1"/>
          </w:tcPr>
          <w:p>
            <w:pPr>
              <w:jc w:val="center"/>
              <w:ind w:left="48"/>
              <w:spacing w:after="0" w:line="155" w:lineRule="exact"/>
              <w:rPr>
                <w:sz w:val="20"/>
                <w:szCs w:val="20"/>
                <w:color w:val="auto"/>
              </w:rPr>
            </w:pPr>
            <w:r>
              <w:rPr>
                <w:rFonts w:ascii="Arial" w:cs="Arial" w:eastAsia="Arial" w:hAnsi="Arial"/>
                <w:sz w:val="14"/>
                <w:szCs w:val="14"/>
                <w:color w:val="auto"/>
              </w:rPr>
              <w:t>(148.17)</w:t>
            </w:r>
          </w:p>
        </w:tc>
        <w:tc>
          <w:tcPr>
            <w:tcW w:w="900" w:type="dxa"/>
            <w:vAlign w:val="bottom"/>
            <w:shd w:val="clear" w:color="auto" w:fill="DBE5F1"/>
          </w:tcPr>
          <w:p>
            <w:pPr>
              <w:jc w:val="center"/>
              <w:ind w:left="88"/>
              <w:spacing w:after="0" w:line="155" w:lineRule="exact"/>
              <w:rPr>
                <w:sz w:val="20"/>
                <w:szCs w:val="20"/>
                <w:color w:val="auto"/>
              </w:rPr>
            </w:pPr>
            <w:r>
              <w:rPr>
                <w:rFonts w:ascii="Arial" w:cs="Arial" w:eastAsia="Arial" w:hAnsi="Arial"/>
                <w:sz w:val="14"/>
                <w:szCs w:val="14"/>
                <w:color w:val="auto"/>
              </w:rPr>
              <w:t>(35.3)</w:t>
            </w:r>
          </w:p>
        </w:tc>
        <w:tc>
          <w:tcPr>
            <w:tcW w:w="0" w:type="dxa"/>
            <w:vAlign w:val="bottom"/>
          </w:tcPr>
          <w:p>
            <w:pPr>
              <w:spacing w:after="0"/>
              <w:rPr>
                <w:sz w:val="1"/>
                <w:szCs w:val="1"/>
                <w:color w:val="auto"/>
              </w:rPr>
            </w:pPr>
          </w:p>
        </w:tc>
      </w:tr>
      <w:tr>
        <w:trPr>
          <w:trHeight w:val="162"/>
        </w:trPr>
        <w:tc>
          <w:tcPr>
            <w:tcW w:w="1460" w:type="dxa"/>
            <w:vAlign w:val="bottom"/>
          </w:tcPr>
          <w:p>
            <w:pPr>
              <w:jc w:val="center"/>
              <w:ind w:left="28"/>
              <w:spacing w:after="0"/>
              <w:rPr>
                <w:sz w:val="20"/>
                <w:szCs w:val="20"/>
                <w:color w:val="auto"/>
              </w:rPr>
            </w:pPr>
            <w:r>
              <w:rPr>
                <w:rFonts w:ascii="Arial" w:cs="Arial" w:eastAsia="Arial" w:hAnsi="Arial"/>
                <w:sz w:val="14"/>
                <w:szCs w:val="14"/>
                <w:color w:val="auto"/>
              </w:rPr>
              <w:t>2022</w:t>
            </w:r>
          </w:p>
        </w:tc>
        <w:tc>
          <w:tcPr>
            <w:tcW w:w="1460" w:type="dxa"/>
            <w:vAlign w:val="bottom"/>
          </w:tcPr>
          <w:p>
            <w:pPr>
              <w:jc w:val="center"/>
              <w:ind w:left="228"/>
              <w:spacing w:after="0"/>
              <w:rPr>
                <w:sz w:val="20"/>
                <w:szCs w:val="20"/>
                <w:color w:val="auto"/>
              </w:rPr>
            </w:pPr>
            <w:r>
              <w:rPr>
                <w:rFonts w:ascii="Arial" w:cs="Arial" w:eastAsia="Arial" w:hAnsi="Arial"/>
                <w:sz w:val="14"/>
                <w:szCs w:val="14"/>
                <w:color w:val="auto"/>
              </w:rPr>
              <w:t>34,070,592</w:t>
            </w:r>
          </w:p>
        </w:tc>
        <w:tc>
          <w:tcPr>
            <w:tcW w:w="1160" w:type="dxa"/>
            <w:vAlign w:val="bottom"/>
          </w:tcPr>
          <w:p>
            <w:pPr>
              <w:jc w:val="center"/>
              <w:spacing w:after="0"/>
              <w:rPr>
                <w:sz w:val="20"/>
                <w:szCs w:val="20"/>
                <w:color w:val="auto"/>
              </w:rPr>
            </w:pPr>
            <w:r>
              <w:rPr>
                <w:rFonts w:ascii="Arial" w:cs="Arial" w:eastAsia="Arial" w:hAnsi="Arial"/>
                <w:sz w:val="14"/>
                <w:szCs w:val="14"/>
                <w:color w:val="auto"/>
              </w:rPr>
              <w:t>25,813,278</w:t>
            </w:r>
          </w:p>
        </w:tc>
        <w:tc>
          <w:tcPr>
            <w:tcW w:w="1240" w:type="dxa"/>
            <w:vAlign w:val="bottom"/>
          </w:tcPr>
          <w:p>
            <w:pPr>
              <w:jc w:val="center"/>
              <w:spacing w:after="0"/>
              <w:rPr>
                <w:sz w:val="20"/>
                <w:szCs w:val="20"/>
                <w:color w:val="auto"/>
              </w:rPr>
            </w:pPr>
            <w:r>
              <w:rPr>
                <w:rFonts w:ascii="Arial" w:cs="Arial" w:eastAsia="Arial" w:hAnsi="Arial"/>
                <w:sz w:val="14"/>
                <w:szCs w:val="14"/>
                <w:color w:val="auto"/>
              </w:rPr>
              <w:t>7,327,470</w:t>
            </w:r>
          </w:p>
        </w:tc>
        <w:tc>
          <w:tcPr>
            <w:tcW w:w="1180" w:type="dxa"/>
            <w:vAlign w:val="bottom"/>
          </w:tcPr>
          <w:p>
            <w:pPr>
              <w:jc w:val="center"/>
              <w:spacing w:after="0"/>
              <w:rPr>
                <w:sz w:val="20"/>
                <w:szCs w:val="20"/>
                <w:color w:val="auto"/>
              </w:rPr>
            </w:pPr>
            <w:r>
              <w:rPr>
                <w:rFonts w:ascii="Arial" w:cs="Arial" w:eastAsia="Arial" w:hAnsi="Arial"/>
                <w:sz w:val="14"/>
                <w:szCs w:val="14"/>
                <w:color w:val="auto"/>
              </w:rPr>
              <w:t>5,661,779</w:t>
            </w:r>
          </w:p>
        </w:tc>
        <w:tc>
          <w:tcPr>
            <w:tcW w:w="1060" w:type="dxa"/>
            <w:vAlign w:val="bottom"/>
          </w:tcPr>
          <w:p>
            <w:pPr>
              <w:jc w:val="center"/>
              <w:spacing w:after="0"/>
              <w:rPr>
                <w:sz w:val="20"/>
                <w:szCs w:val="20"/>
                <w:color w:val="auto"/>
              </w:rPr>
            </w:pPr>
            <w:r>
              <w:rPr>
                <w:rFonts w:ascii="Arial" w:cs="Arial" w:eastAsia="Arial" w:hAnsi="Arial"/>
                <w:sz w:val="14"/>
                <w:szCs w:val="14"/>
                <w:color w:val="auto"/>
              </w:rPr>
              <w:t>67.94</w:t>
            </w:r>
          </w:p>
        </w:tc>
        <w:tc>
          <w:tcPr>
            <w:tcW w:w="1420" w:type="dxa"/>
            <w:vAlign w:val="bottom"/>
          </w:tcPr>
          <w:p>
            <w:pPr>
              <w:jc w:val="center"/>
              <w:spacing w:after="0"/>
              <w:rPr>
                <w:sz w:val="20"/>
                <w:szCs w:val="20"/>
                <w:color w:val="auto"/>
              </w:rPr>
            </w:pPr>
            <w:r>
              <w:rPr>
                <w:rFonts w:ascii="Arial" w:cs="Arial" w:eastAsia="Arial" w:hAnsi="Arial"/>
                <w:sz w:val="14"/>
                <w:szCs w:val="14"/>
                <w:color w:val="auto"/>
              </w:rPr>
              <w:t>77.79</w:t>
            </w:r>
          </w:p>
        </w:tc>
        <w:tc>
          <w:tcPr>
            <w:tcW w:w="1140" w:type="dxa"/>
            <w:vAlign w:val="bottom"/>
          </w:tcPr>
          <w:p>
            <w:pPr>
              <w:jc w:val="center"/>
              <w:ind w:left="48"/>
              <w:spacing w:after="0"/>
              <w:rPr>
                <w:sz w:val="20"/>
                <w:szCs w:val="20"/>
                <w:color w:val="auto"/>
              </w:rPr>
            </w:pPr>
            <w:r>
              <w:rPr>
                <w:rFonts w:ascii="Arial" w:cs="Arial" w:eastAsia="Arial" w:hAnsi="Arial"/>
                <w:sz w:val="14"/>
                <w:szCs w:val="14"/>
                <w:color w:val="auto"/>
              </w:rPr>
              <w:t>(149.6)</w:t>
            </w:r>
          </w:p>
        </w:tc>
        <w:tc>
          <w:tcPr>
            <w:tcW w:w="900" w:type="dxa"/>
            <w:vAlign w:val="bottom"/>
          </w:tcPr>
          <w:p>
            <w:pPr>
              <w:jc w:val="center"/>
              <w:ind w:left="88"/>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62"/>
        </w:trPr>
        <w:tc>
          <w:tcPr>
            <w:tcW w:w="1460" w:type="dxa"/>
            <w:vAlign w:val="bottom"/>
            <w:tcBorders>
              <w:bottom w:val="single" w:sz="8" w:color="auto"/>
            </w:tcBorders>
            <w:shd w:val="clear" w:color="auto" w:fill="DBE5F1"/>
          </w:tcPr>
          <w:p>
            <w:pPr>
              <w:jc w:val="center"/>
              <w:ind w:left="28"/>
              <w:spacing w:after="0"/>
              <w:rPr>
                <w:sz w:val="20"/>
                <w:szCs w:val="20"/>
                <w:color w:val="auto"/>
              </w:rPr>
            </w:pPr>
            <w:r>
              <w:rPr>
                <w:rFonts w:ascii="Arial" w:cs="Arial" w:eastAsia="Arial" w:hAnsi="Arial"/>
                <w:sz w:val="14"/>
                <w:szCs w:val="14"/>
                <w:color w:val="auto"/>
              </w:rPr>
              <w:t>2021</w:t>
            </w:r>
          </w:p>
        </w:tc>
        <w:tc>
          <w:tcPr>
            <w:tcW w:w="1460" w:type="dxa"/>
            <w:vAlign w:val="bottom"/>
            <w:tcBorders>
              <w:bottom w:val="single" w:sz="8" w:color="auto"/>
            </w:tcBorders>
            <w:shd w:val="clear" w:color="auto" w:fill="DBE5F1"/>
          </w:tcPr>
          <w:p>
            <w:pPr>
              <w:jc w:val="center"/>
              <w:ind w:left="228"/>
              <w:spacing w:after="0"/>
              <w:rPr>
                <w:sz w:val="20"/>
                <w:szCs w:val="20"/>
                <w:color w:val="auto"/>
              </w:rPr>
            </w:pPr>
            <w:r>
              <w:rPr>
                <w:rFonts w:ascii="Arial" w:cs="Arial" w:eastAsia="Arial" w:hAnsi="Arial"/>
                <w:sz w:val="14"/>
                <w:szCs w:val="14"/>
                <w:color w:val="auto"/>
              </w:rPr>
              <w:t>45,998,851</w:t>
            </w:r>
          </w:p>
        </w:tc>
        <w:tc>
          <w:tcPr>
            <w:tcW w:w="116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37,304,187</w:t>
            </w:r>
          </w:p>
        </w:tc>
        <w:tc>
          <w:tcPr>
            <w:tcW w:w="124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10,891,546</w:t>
            </w:r>
          </w:p>
        </w:tc>
        <w:tc>
          <w:tcPr>
            <w:tcW w:w="118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10,053,244</w:t>
            </w:r>
          </w:p>
        </w:tc>
        <w:tc>
          <w:tcPr>
            <w:tcW w:w="106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81.22</w:t>
            </w:r>
          </w:p>
        </w:tc>
        <w:tc>
          <w:tcPr>
            <w:tcW w:w="1420" w:type="dxa"/>
            <w:vAlign w:val="bottom"/>
            <w:tcBorders>
              <w:bottom w:val="single" w:sz="8" w:color="auto"/>
            </w:tcBorders>
            <w:shd w:val="clear" w:color="auto" w:fill="DBE5F1"/>
          </w:tcPr>
          <w:p>
            <w:pPr>
              <w:jc w:val="center"/>
              <w:spacing w:after="0"/>
              <w:rPr>
                <w:sz w:val="20"/>
                <w:szCs w:val="20"/>
                <w:color w:val="auto"/>
              </w:rPr>
            </w:pPr>
            <w:r>
              <w:rPr>
                <w:rFonts w:ascii="Arial" w:cs="Arial" w:eastAsia="Arial" w:hAnsi="Arial"/>
                <w:sz w:val="14"/>
                <w:szCs w:val="14"/>
                <w:color w:val="auto"/>
              </w:rPr>
              <w:t>97.76</w:t>
            </w:r>
          </w:p>
        </w:tc>
        <w:tc>
          <w:tcPr>
            <w:tcW w:w="1140" w:type="dxa"/>
            <w:vAlign w:val="bottom"/>
            <w:tcBorders>
              <w:bottom w:val="single" w:sz="8" w:color="auto"/>
            </w:tcBorders>
            <w:shd w:val="clear" w:color="auto" w:fill="DBE5F1"/>
          </w:tcPr>
          <w:p>
            <w:pPr>
              <w:jc w:val="center"/>
              <w:ind w:left="48"/>
              <w:spacing w:after="0"/>
              <w:rPr>
                <w:sz w:val="20"/>
                <w:szCs w:val="20"/>
                <w:color w:val="auto"/>
              </w:rPr>
            </w:pPr>
            <w:r>
              <w:rPr>
                <w:rFonts w:ascii="Arial" w:cs="Arial" w:eastAsia="Arial" w:hAnsi="Arial"/>
                <w:sz w:val="14"/>
                <w:szCs w:val="14"/>
                <w:color w:val="auto"/>
              </w:rPr>
              <w:t>(195.3)</w:t>
            </w:r>
          </w:p>
        </w:tc>
        <w:tc>
          <w:tcPr>
            <w:tcW w:w="900" w:type="dxa"/>
            <w:vAlign w:val="bottom"/>
            <w:tcBorders>
              <w:bottom w:val="single" w:sz="8" w:color="auto"/>
            </w:tcBorders>
            <w:shd w:val="clear" w:color="auto" w:fill="DBE5F1"/>
          </w:tcPr>
          <w:p>
            <w:pPr>
              <w:jc w:val="center"/>
              <w:ind w:left="88"/>
              <w:spacing w:after="0"/>
              <w:rPr>
                <w:sz w:val="20"/>
                <w:szCs w:val="20"/>
                <w:color w:val="auto"/>
              </w:rPr>
            </w:pPr>
            <w:r>
              <w:rPr>
                <w:rFonts w:ascii="Arial" w:cs="Arial" w:eastAsia="Arial" w:hAnsi="Arial"/>
                <w:sz w:val="14"/>
                <w:szCs w:val="14"/>
                <w:color w:val="auto"/>
              </w:rPr>
              <w:t>(33.1)</w:t>
            </w:r>
          </w:p>
        </w:tc>
        <w:tc>
          <w:tcPr>
            <w:tcW w:w="0" w:type="dxa"/>
            <w:vAlign w:val="bottom"/>
          </w:tcPr>
          <w:p>
            <w:pPr>
              <w:spacing w:after="0"/>
              <w:rPr>
                <w:sz w:val="1"/>
                <w:szCs w:val="1"/>
                <w:color w:val="auto"/>
              </w:rPr>
            </w:pPr>
          </w:p>
        </w:tc>
      </w:tr>
    </w:tbl>
    <w:p>
      <w:pPr>
        <w:spacing w:after="0" w:line="112" w:lineRule="exact"/>
        <w:rPr>
          <w:sz w:val="20"/>
          <w:szCs w:val="20"/>
          <w:color w:val="auto"/>
        </w:rPr>
      </w:pPr>
    </w:p>
    <w:p>
      <w:pPr>
        <w:ind w:left="424" w:right="160" w:hanging="424"/>
        <w:spacing w:after="0" w:line="285" w:lineRule="auto"/>
        <w:tabs>
          <w:tab w:leader="none" w:pos="424"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dollar amounts reported in column (b) are the amounts of total compensation reported for Mr. Kao (the “PEO”) for each corresponding year in the “Total” column of the Summary Compensation Table (“SCT”) in this proxy statement.</w:t>
      </w:r>
    </w:p>
    <w:p>
      <w:pPr>
        <w:spacing w:after="0" w:line="63" w:lineRule="exact"/>
        <w:rPr>
          <w:rFonts w:ascii="Arial" w:cs="Arial" w:eastAsia="Arial" w:hAnsi="Arial"/>
          <w:sz w:val="14"/>
          <w:szCs w:val="14"/>
          <w:color w:val="auto"/>
        </w:rPr>
      </w:pPr>
    </w:p>
    <w:p>
      <w:pPr>
        <w:ind w:left="424" w:right="60" w:hanging="424"/>
        <w:spacing w:after="0" w:line="263" w:lineRule="auto"/>
        <w:tabs>
          <w:tab w:leader="none" w:pos="424" w:val="left"/>
        </w:tabs>
        <w:numPr>
          <w:ilvl w:val="0"/>
          <w:numId w:val="64"/>
        </w:numPr>
        <w:rPr>
          <w:rFonts w:ascii="Arial" w:cs="Arial" w:eastAsia="Arial" w:hAnsi="Arial"/>
          <w:sz w:val="14"/>
          <w:szCs w:val="14"/>
          <w:color w:val="auto"/>
        </w:rPr>
      </w:pPr>
      <w:r>
        <w:rPr>
          <w:rFonts w:ascii="Arial" w:cs="Arial" w:eastAsia="Arial" w:hAnsi="Arial"/>
          <w:sz w:val="14"/>
          <w:szCs w:val="14"/>
          <w:color w:val="auto"/>
        </w:rPr>
        <w:t>The dollar amounts reported in column (c) represent the amount of “compensation actually paid” (“CAP”) to the PEO computed in accordance with Item 402(v) of Regulation S-K. The dollar amounts do not reflect the actual amount of compensation earned by or paid to the PEO during the applicable year. In accordance with the requirements of Item 402(v) of Regulation S-K, the following adjustments were made to the PEO’s total compensation for each year to determine the CAP:</w:t>
      </w:r>
    </w:p>
    <w:p>
      <w:pPr>
        <w:spacing w:after="0" w:line="200" w:lineRule="exact"/>
        <w:rPr>
          <w:sz w:val="20"/>
          <w:szCs w:val="20"/>
          <w:color w:val="auto"/>
        </w:rPr>
      </w:pPr>
    </w:p>
    <w:tbl>
      <w:tblPr>
        <w:tblLayout w:type="fixed"/>
        <w:tblInd w:w="444" w:type="dxa"/>
        <w:tblCellMar>
          <w:top w:w="0" w:type="dxa"/>
          <w:left w:w="0" w:type="dxa"/>
          <w:bottom w:w="0" w:type="dxa"/>
          <w:right w:w="0" w:type="dxa"/>
        </w:tblCellMar>
      </w:tblPr>
      <w:tr>
        <w:trPr>
          <w:trHeight w:val="178"/>
        </w:trPr>
        <w:tc>
          <w:tcPr>
            <w:tcW w:w="7100" w:type="dxa"/>
            <w:vAlign w:val="bottom"/>
            <w:tcBorders>
              <w:bottom w:val="single" w:sz="8" w:color="95B3D7"/>
            </w:tcBorders>
          </w:tcPr>
          <w:p>
            <w:pPr>
              <w:spacing w:after="0"/>
              <w:rPr>
                <w:sz w:val="15"/>
                <w:szCs w:val="15"/>
                <w:color w:val="auto"/>
              </w:rPr>
            </w:pPr>
          </w:p>
        </w:tc>
        <w:tc>
          <w:tcPr>
            <w:tcW w:w="1020" w:type="dxa"/>
            <w:vAlign w:val="bottom"/>
            <w:tcBorders>
              <w:bottom w:val="single" w:sz="8" w:color="95B3D7"/>
            </w:tcBorders>
            <w:gridSpan w:val="2"/>
          </w:tcPr>
          <w:p>
            <w:pPr>
              <w:jc w:val="center"/>
              <w:ind w:left="10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95B3D7"/>
            </w:tcBorders>
          </w:tcPr>
          <w:p>
            <w:pPr>
              <w:spacing w:after="0"/>
              <w:rPr>
                <w:sz w:val="15"/>
                <w:szCs w:val="15"/>
                <w:color w:val="auto"/>
              </w:rPr>
            </w:pPr>
          </w:p>
        </w:tc>
        <w:tc>
          <w:tcPr>
            <w:tcW w:w="1000" w:type="dxa"/>
            <w:vAlign w:val="bottom"/>
            <w:tcBorders>
              <w:bottom w:val="single" w:sz="8" w:color="95B3D7"/>
            </w:tcBorders>
            <w:gridSpan w:val="2"/>
          </w:tcPr>
          <w:p>
            <w:pPr>
              <w:jc w:val="center"/>
              <w:ind w:left="1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95B3D7"/>
            </w:tcBorders>
          </w:tcPr>
          <w:p>
            <w:pPr>
              <w:spacing w:after="0"/>
              <w:rPr>
                <w:sz w:val="15"/>
                <w:szCs w:val="15"/>
                <w:color w:val="auto"/>
              </w:rPr>
            </w:pPr>
          </w:p>
        </w:tc>
        <w:tc>
          <w:tcPr>
            <w:tcW w:w="1020" w:type="dxa"/>
            <w:vAlign w:val="bottom"/>
            <w:tcBorders>
              <w:bottom w:val="single" w:sz="8" w:color="95B3D7"/>
            </w:tcBorders>
            <w:gridSpan w:val="2"/>
          </w:tcPr>
          <w:p>
            <w:pPr>
              <w:jc w:val="center"/>
              <w:ind w:left="1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95B3D7"/>
            </w:tcBorders>
          </w:tcPr>
          <w:p>
            <w:pPr>
              <w:spacing w:after="0"/>
              <w:rPr>
                <w:sz w:val="15"/>
                <w:szCs w:val="15"/>
                <w:color w:val="auto"/>
              </w:rPr>
            </w:pPr>
          </w:p>
        </w:tc>
      </w:tr>
      <w:tr>
        <w:trPr>
          <w:trHeight w:val="162"/>
        </w:trPr>
        <w:tc>
          <w:tcPr>
            <w:tcW w:w="7100" w:type="dxa"/>
            <w:vAlign w:val="bottom"/>
            <w:tcBorders>
              <w:bottom w:val="single" w:sz="8" w:color="95B3D7"/>
              <w:right w:val="single" w:sz="8" w:color="95B3D7"/>
            </w:tcBorders>
            <w:shd w:val="clear" w:color="auto" w:fill="DBE5F1"/>
          </w:tcPr>
          <w:p>
            <w:pPr>
              <w:ind w:left="440"/>
              <w:spacing w:after="0"/>
              <w:rPr>
                <w:sz w:val="20"/>
                <w:szCs w:val="20"/>
                <w:color w:val="auto"/>
              </w:rPr>
            </w:pPr>
            <w:r>
              <w:rPr>
                <w:rFonts w:ascii="Arial" w:cs="Arial" w:eastAsia="Arial" w:hAnsi="Arial"/>
                <w:sz w:val="14"/>
                <w:szCs w:val="14"/>
                <w:color w:val="auto"/>
              </w:rPr>
              <w:t>Total Compensation from SCT</w:t>
            </w:r>
          </w:p>
        </w:tc>
        <w:tc>
          <w:tcPr>
            <w:tcW w:w="1020" w:type="dxa"/>
            <w:vAlign w:val="bottom"/>
            <w:tcBorders>
              <w:bottom w:val="single" w:sz="8" w:color="95B3D7"/>
            </w:tcBorders>
            <w:gridSpan w:val="2"/>
            <w:shd w:val="clear" w:color="auto" w:fill="DBE5F1"/>
          </w:tcPr>
          <w:p>
            <w:pPr>
              <w:jc w:val="center"/>
              <w:ind w:left="108"/>
              <w:spacing w:after="0"/>
              <w:rPr>
                <w:sz w:val="20"/>
                <w:szCs w:val="20"/>
                <w:color w:val="auto"/>
              </w:rPr>
            </w:pPr>
            <w:r>
              <w:rPr>
                <w:rFonts w:ascii="Arial" w:cs="Arial" w:eastAsia="Arial" w:hAnsi="Arial"/>
                <w:sz w:val="14"/>
                <w:szCs w:val="14"/>
                <w:color w:val="auto"/>
              </w:rPr>
              <w:t>14,296,476</w:t>
            </w:r>
          </w:p>
        </w:tc>
        <w:tc>
          <w:tcPr>
            <w:tcW w:w="140" w:type="dxa"/>
            <w:vAlign w:val="bottom"/>
            <w:tcBorders>
              <w:bottom w:val="single" w:sz="8" w:color="95B3D7"/>
              <w:right w:val="single" w:sz="8" w:color="95B3D7"/>
            </w:tcBorders>
            <w:shd w:val="clear" w:color="auto" w:fill="DBE5F1"/>
          </w:tcPr>
          <w:p>
            <w:pPr>
              <w:spacing w:after="0"/>
              <w:rPr>
                <w:sz w:val="14"/>
                <w:szCs w:val="14"/>
                <w:color w:val="auto"/>
              </w:rPr>
            </w:pPr>
          </w:p>
        </w:tc>
        <w:tc>
          <w:tcPr>
            <w:tcW w:w="1160" w:type="dxa"/>
            <w:vAlign w:val="bottom"/>
            <w:tcBorders>
              <w:bottom w:val="single" w:sz="8" w:color="95B3D7"/>
              <w:right w:val="single" w:sz="8" w:color="95B3D7"/>
            </w:tcBorders>
            <w:gridSpan w:val="3"/>
            <w:shd w:val="clear" w:color="auto" w:fill="DBE5F1"/>
          </w:tcPr>
          <w:p>
            <w:pPr>
              <w:jc w:val="center"/>
              <w:spacing w:after="0"/>
              <w:rPr>
                <w:sz w:val="20"/>
                <w:szCs w:val="20"/>
                <w:color w:val="auto"/>
              </w:rPr>
            </w:pPr>
            <w:r>
              <w:rPr>
                <w:rFonts w:ascii="Arial" w:cs="Arial" w:eastAsia="Arial" w:hAnsi="Arial"/>
                <w:sz w:val="14"/>
                <w:szCs w:val="14"/>
                <w:color w:val="auto"/>
              </w:rPr>
              <w:t>$34,070,592</w:t>
            </w:r>
          </w:p>
        </w:tc>
        <w:tc>
          <w:tcPr>
            <w:tcW w:w="1160" w:type="dxa"/>
            <w:vAlign w:val="bottom"/>
            <w:tcBorders>
              <w:bottom w:val="single" w:sz="8" w:color="95B3D7"/>
            </w:tcBorders>
            <w:gridSpan w:val="3"/>
            <w:shd w:val="clear" w:color="auto" w:fill="DBE5F1"/>
          </w:tcPr>
          <w:p>
            <w:pPr>
              <w:jc w:val="center"/>
              <w:ind w:left="8"/>
              <w:spacing w:after="0"/>
              <w:rPr>
                <w:sz w:val="20"/>
                <w:szCs w:val="20"/>
                <w:color w:val="auto"/>
              </w:rPr>
            </w:pPr>
            <w:r>
              <w:rPr>
                <w:rFonts w:ascii="Arial" w:cs="Arial" w:eastAsia="Arial" w:hAnsi="Arial"/>
                <w:sz w:val="14"/>
                <w:szCs w:val="14"/>
                <w:color w:val="auto"/>
              </w:rPr>
              <w:t>$45,998,851</w:t>
            </w:r>
          </w:p>
        </w:tc>
      </w:tr>
      <w:tr>
        <w:trPr>
          <w:trHeight w:val="156"/>
        </w:trPr>
        <w:tc>
          <w:tcPr>
            <w:tcW w:w="7100" w:type="dxa"/>
            <w:vAlign w:val="bottom"/>
            <w:tcBorders>
              <w:bottom w:val="single" w:sz="8" w:color="95B3D7"/>
              <w:right w:val="single" w:sz="8" w:color="95B3D7"/>
            </w:tcBorders>
          </w:tcPr>
          <w:p>
            <w:pPr>
              <w:ind w:left="440"/>
              <w:spacing w:after="0" w:line="155" w:lineRule="exact"/>
              <w:rPr>
                <w:sz w:val="20"/>
                <w:szCs w:val="20"/>
                <w:color w:val="auto"/>
              </w:rPr>
            </w:pPr>
            <w:r>
              <w:rPr>
                <w:rFonts w:ascii="Arial" w:cs="Arial" w:eastAsia="Arial" w:hAnsi="Arial"/>
                <w:sz w:val="14"/>
                <w:szCs w:val="14"/>
                <w:color w:val="auto"/>
              </w:rPr>
              <w:t>Less Reported Value of Equity Awards from SCT</w:t>
            </w:r>
          </w:p>
        </w:tc>
        <w:tc>
          <w:tcPr>
            <w:tcW w:w="1020" w:type="dxa"/>
            <w:vAlign w:val="bottom"/>
            <w:tcBorders>
              <w:bottom w:val="single" w:sz="8" w:color="95B3D7"/>
            </w:tcBorders>
            <w:gridSpan w:val="2"/>
          </w:tcPr>
          <w:p>
            <w:pPr>
              <w:jc w:val="center"/>
              <w:ind w:left="108"/>
              <w:spacing w:after="0" w:line="155" w:lineRule="exact"/>
              <w:rPr>
                <w:sz w:val="20"/>
                <w:szCs w:val="20"/>
                <w:color w:val="auto"/>
              </w:rPr>
            </w:pPr>
            <w:r>
              <w:rPr>
                <w:rFonts w:ascii="Arial" w:cs="Arial" w:eastAsia="Arial" w:hAnsi="Arial"/>
                <w:sz w:val="14"/>
                <w:szCs w:val="14"/>
                <w:color w:val="auto"/>
              </w:rPr>
              <w:t>12,497,891</w:t>
            </w:r>
          </w:p>
        </w:tc>
        <w:tc>
          <w:tcPr>
            <w:tcW w:w="140" w:type="dxa"/>
            <w:vAlign w:val="bottom"/>
            <w:tcBorders>
              <w:bottom w:val="single" w:sz="8" w:color="95B3D7"/>
              <w:right w:val="single" w:sz="8" w:color="95B3D7"/>
            </w:tcBorders>
          </w:tcPr>
          <w:p>
            <w:pPr>
              <w:spacing w:after="0"/>
              <w:rPr>
                <w:sz w:val="13"/>
                <w:szCs w:val="13"/>
                <w:color w:val="auto"/>
              </w:rPr>
            </w:pPr>
          </w:p>
        </w:tc>
        <w:tc>
          <w:tcPr>
            <w:tcW w:w="1160" w:type="dxa"/>
            <w:vAlign w:val="bottom"/>
            <w:tcBorders>
              <w:bottom w:val="single" w:sz="8" w:color="95B3D7"/>
              <w:right w:val="single" w:sz="8" w:color="95B3D7"/>
            </w:tcBorders>
            <w:gridSpan w:val="3"/>
          </w:tcPr>
          <w:p>
            <w:pPr>
              <w:jc w:val="center"/>
              <w:spacing w:after="0" w:line="155" w:lineRule="exact"/>
              <w:rPr>
                <w:sz w:val="20"/>
                <w:szCs w:val="20"/>
                <w:color w:val="auto"/>
              </w:rPr>
            </w:pPr>
            <w:r>
              <w:rPr>
                <w:rFonts w:ascii="Arial" w:cs="Arial" w:eastAsia="Arial" w:hAnsi="Arial"/>
                <w:sz w:val="14"/>
                <w:szCs w:val="14"/>
                <w:color w:val="auto"/>
              </w:rPr>
              <w:t>($32,437,510)</w:t>
            </w:r>
          </w:p>
        </w:tc>
        <w:tc>
          <w:tcPr>
            <w:tcW w:w="1160" w:type="dxa"/>
            <w:vAlign w:val="bottom"/>
            <w:tcBorders>
              <w:bottom w:val="single" w:sz="8" w:color="95B3D7"/>
            </w:tcBorders>
            <w:gridSpan w:val="3"/>
          </w:tcPr>
          <w:p>
            <w:pPr>
              <w:jc w:val="center"/>
              <w:spacing w:after="0" w:line="155" w:lineRule="exact"/>
              <w:rPr>
                <w:sz w:val="20"/>
                <w:szCs w:val="20"/>
                <w:color w:val="auto"/>
              </w:rPr>
            </w:pPr>
            <w:r>
              <w:rPr>
                <w:rFonts w:ascii="Arial" w:cs="Arial" w:eastAsia="Arial" w:hAnsi="Arial"/>
                <w:sz w:val="14"/>
                <w:szCs w:val="14"/>
                <w:color w:val="auto"/>
              </w:rPr>
              <w:t>($44,406,749)</w:t>
            </w:r>
          </w:p>
        </w:tc>
      </w:tr>
      <w:tr>
        <w:trPr>
          <w:trHeight w:val="155"/>
        </w:trPr>
        <w:tc>
          <w:tcPr>
            <w:tcW w:w="7100" w:type="dxa"/>
            <w:vAlign w:val="bottom"/>
            <w:tcBorders>
              <w:bottom w:val="single" w:sz="8" w:color="95B3D7"/>
              <w:right w:val="single" w:sz="8" w:color="95B3D7"/>
            </w:tcBorders>
            <w:shd w:val="clear" w:color="auto" w:fill="DBE5F1"/>
          </w:tcPr>
          <w:p>
            <w:pPr>
              <w:ind w:left="440"/>
              <w:spacing w:after="0" w:line="155" w:lineRule="exact"/>
              <w:rPr>
                <w:sz w:val="20"/>
                <w:szCs w:val="20"/>
                <w:color w:val="auto"/>
              </w:rPr>
            </w:pPr>
            <w:r>
              <w:rPr>
                <w:rFonts w:ascii="Arial" w:cs="Arial" w:eastAsia="Arial" w:hAnsi="Arial"/>
                <w:sz w:val="14"/>
                <w:szCs w:val="14"/>
                <w:b w:val="1"/>
                <w:bCs w:val="1"/>
                <w:color w:val="auto"/>
              </w:rPr>
              <w:t>Subtotal</w:t>
            </w:r>
          </w:p>
        </w:tc>
        <w:tc>
          <w:tcPr>
            <w:tcW w:w="1020" w:type="dxa"/>
            <w:vAlign w:val="bottom"/>
            <w:tcBorders>
              <w:bottom w:val="single" w:sz="8" w:color="95B3D7"/>
            </w:tcBorders>
            <w:gridSpan w:val="2"/>
            <w:shd w:val="clear" w:color="auto" w:fill="DBE5F1"/>
          </w:tcPr>
          <w:p>
            <w:pPr>
              <w:jc w:val="center"/>
              <w:ind w:left="108"/>
              <w:spacing w:after="0" w:line="155" w:lineRule="exact"/>
              <w:rPr>
                <w:sz w:val="20"/>
                <w:szCs w:val="20"/>
                <w:color w:val="auto"/>
              </w:rPr>
            </w:pPr>
            <w:r>
              <w:rPr>
                <w:rFonts w:ascii="Arial" w:cs="Arial" w:eastAsia="Arial" w:hAnsi="Arial"/>
                <w:sz w:val="14"/>
                <w:szCs w:val="14"/>
                <w:b w:val="1"/>
                <w:bCs w:val="1"/>
                <w:color w:val="auto"/>
              </w:rPr>
              <w:t>1,798,585</w:t>
            </w:r>
          </w:p>
        </w:tc>
        <w:tc>
          <w:tcPr>
            <w:tcW w:w="140" w:type="dxa"/>
            <w:vAlign w:val="bottom"/>
            <w:tcBorders>
              <w:bottom w:val="single" w:sz="8" w:color="95B3D7"/>
              <w:right w:val="single" w:sz="8" w:color="95B3D7"/>
            </w:tcBorders>
            <w:shd w:val="clear" w:color="auto" w:fill="DBE5F1"/>
          </w:tcPr>
          <w:p>
            <w:pPr>
              <w:spacing w:after="0"/>
              <w:rPr>
                <w:sz w:val="13"/>
                <w:szCs w:val="13"/>
                <w:color w:val="auto"/>
              </w:rPr>
            </w:pPr>
          </w:p>
        </w:tc>
        <w:tc>
          <w:tcPr>
            <w:tcW w:w="1000" w:type="dxa"/>
            <w:vAlign w:val="bottom"/>
            <w:tcBorders>
              <w:bottom w:val="single" w:sz="8" w:color="95B3D7"/>
            </w:tcBorders>
            <w:gridSpan w:val="2"/>
            <w:shd w:val="clear" w:color="auto" w:fill="DBE5F1"/>
          </w:tcPr>
          <w:p>
            <w:pPr>
              <w:jc w:val="center"/>
              <w:ind w:left="128"/>
              <w:spacing w:after="0" w:line="155" w:lineRule="exact"/>
              <w:rPr>
                <w:sz w:val="20"/>
                <w:szCs w:val="20"/>
                <w:color w:val="auto"/>
              </w:rPr>
            </w:pPr>
            <w:r>
              <w:rPr>
                <w:rFonts w:ascii="Arial" w:cs="Arial" w:eastAsia="Arial" w:hAnsi="Arial"/>
                <w:sz w:val="14"/>
                <w:szCs w:val="14"/>
                <w:b w:val="1"/>
                <w:bCs w:val="1"/>
                <w:color w:val="auto"/>
              </w:rPr>
              <w:t>$1,633,082</w:t>
            </w:r>
          </w:p>
        </w:tc>
        <w:tc>
          <w:tcPr>
            <w:tcW w:w="160" w:type="dxa"/>
            <w:vAlign w:val="bottom"/>
            <w:tcBorders>
              <w:bottom w:val="single" w:sz="8" w:color="95B3D7"/>
              <w:right w:val="single" w:sz="8" w:color="95B3D7"/>
            </w:tcBorders>
            <w:shd w:val="clear" w:color="auto" w:fill="DBE5F1"/>
          </w:tcPr>
          <w:p>
            <w:pPr>
              <w:spacing w:after="0"/>
              <w:rPr>
                <w:sz w:val="13"/>
                <w:szCs w:val="13"/>
                <w:color w:val="auto"/>
              </w:rPr>
            </w:pPr>
          </w:p>
        </w:tc>
        <w:tc>
          <w:tcPr>
            <w:tcW w:w="1020" w:type="dxa"/>
            <w:vAlign w:val="bottom"/>
            <w:tcBorders>
              <w:bottom w:val="single" w:sz="8" w:color="95B3D7"/>
            </w:tcBorders>
            <w:gridSpan w:val="2"/>
            <w:shd w:val="clear" w:color="auto" w:fill="DBE5F1"/>
          </w:tcPr>
          <w:p>
            <w:pPr>
              <w:jc w:val="center"/>
              <w:ind w:left="148"/>
              <w:spacing w:after="0" w:line="155" w:lineRule="exact"/>
              <w:rPr>
                <w:sz w:val="20"/>
                <w:szCs w:val="20"/>
                <w:color w:val="auto"/>
              </w:rPr>
            </w:pPr>
            <w:r>
              <w:rPr>
                <w:rFonts w:ascii="Arial" w:cs="Arial" w:eastAsia="Arial" w:hAnsi="Arial"/>
                <w:sz w:val="14"/>
                <w:szCs w:val="14"/>
                <w:b w:val="1"/>
                <w:bCs w:val="1"/>
                <w:color w:val="auto"/>
              </w:rPr>
              <w:t>$1,592,102</w:t>
            </w:r>
          </w:p>
        </w:tc>
        <w:tc>
          <w:tcPr>
            <w:tcW w:w="140" w:type="dxa"/>
            <w:vAlign w:val="bottom"/>
            <w:tcBorders>
              <w:bottom w:val="single" w:sz="8" w:color="95B3D7"/>
            </w:tcBorders>
            <w:shd w:val="clear" w:color="auto" w:fill="DBE5F1"/>
          </w:tcPr>
          <w:p>
            <w:pPr>
              <w:spacing w:after="0"/>
              <w:rPr>
                <w:sz w:val="13"/>
                <w:szCs w:val="13"/>
                <w:color w:val="auto"/>
              </w:rPr>
            </w:pPr>
          </w:p>
        </w:tc>
      </w:tr>
      <w:tr>
        <w:trPr>
          <w:trHeight w:val="146"/>
        </w:trPr>
        <w:tc>
          <w:tcPr>
            <w:tcW w:w="7100" w:type="dxa"/>
            <w:vAlign w:val="bottom"/>
            <w:tcBorders>
              <w:right w:val="single" w:sz="8" w:color="95B3D7"/>
            </w:tcBorders>
          </w:tcPr>
          <w:p>
            <w:pPr>
              <w:ind w:left="440"/>
              <w:spacing w:after="0" w:line="147" w:lineRule="exact"/>
              <w:rPr>
                <w:sz w:val="20"/>
                <w:szCs w:val="20"/>
                <w:color w:val="auto"/>
              </w:rPr>
            </w:pPr>
            <w:r>
              <w:rPr>
                <w:rFonts w:ascii="Arial" w:cs="Arial" w:eastAsia="Arial" w:hAnsi="Arial"/>
                <w:sz w:val="14"/>
                <w:szCs w:val="14"/>
                <w:color w:val="auto"/>
              </w:rPr>
              <w:t>Year-end fair value of any equity awards granted in applicable year that are outstanding and unvested</w:t>
            </w:r>
          </w:p>
        </w:tc>
        <w:tc>
          <w:tcPr>
            <w:tcW w:w="1020" w:type="dxa"/>
            <w:vAlign w:val="bottom"/>
            <w:gridSpan w:val="2"/>
          </w:tcPr>
          <w:p>
            <w:pPr>
              <w:jc w:val="center"/>
              <w:ind w:left="108"/>
              <w:spacing w:after="0" w:line="147" w:lineRule="exact"/>
              <w:rPr>
                <w:sz w:val="20"/>
                <w:szCs w:val="20"/>
                <w:color w:val="auto"/>
              </w:rPr>
            </w:pPr>
            <w:r>
              <w:rPr>
                <w:rFonts w:ascii="Arial" w:cs="Arial" w:eastAsia="Arial" w:hAnsi="Arial"/>
                <w:sz w:val="14"/>
                <w:szCs w:val="14"/>
                <w:color w:val="auto"/>
              </w:rPr>
              <w:t>$16,247,259</w:t>
            </w:r>
          </w:p>
        </w:tc>
        <w:tc>
          <w:tcPr>
            <w:tcW w:w="140" w:type="dxa"/>
            <w:vAlign w:val="bottom"/>
            <w:tcBorders>
              <w:right w:val="single" w:sz="8" w:color="95B3D7"/>
            </w:tcBorders>
          </w:tcPr>
          <w:p>
            <w:pPr>
              <w:spacing w:after="0"/>
              <w:rPr>
                <w:sz w:val="12"/>
                <w:szCs w:val="12"/>
                <w:color w:val="auto"/>
              </w:rPr>
            </w:pPr>
          </w:p>
        </w:tc>
        <w:tc>
          <w:tcPr>
            <w:tcW w:w="1160" w:type="dxa"/>
            <w:vAlign w:val="bottom"/>
            <w:tcBorders>
              <w:right w:val="single" w:sz="8" w:color="95B3D7"/>
            </w:tcBorders>
            <w:gridSpan w:val="3"/>
          </w:tcPr>
          <w:p>
            <w:pPr>
              <w:jc w:val="center"/>
              <w:spacing w:after="0" w:line="147" w:lineRule="exact"/>
              <w:rPr>
                <w:sz w:val="20"/>
                <w:szCs w:val="20"/>
                <w:color w:val="auto"/>
              </w:rPr>
            </w:pPr>
            <w:r>
              <w:rPr>
                <w:rFonts w:ascii="Arial" w:cs="Arial" w:eastAsia="Arial" w:hAnsi="Arial"/>
                <w:sz w:val="14"/>
                <w:szCs w:val="14"/>
                <w:color w:val="auto"/>
              </w:rPr>
              <w:t>$27,710,914</w:t>
            </w:r>
          </w:p>
        </w:tc>
        <w:tc>
          <w:tcPr>
            <w:tcW w:w="1160" w:type="dxa"/>
            <w:vAlign w:val="bottom"/>
            <w:gridSpan w:val="3"/>
          </w:tcPr>
          <w:p>
            <w:pPr>
              <w:jc w:val="center"/>
              <w:ind w:left="8"/>
              <w:spacing w:after="0" w:line="147" w:lineRule="exact"/>
              <w:rPr>
                <w:sz w:val="20"/>
                <w:szCs w:val="20"/>
                <w:color w:val="auto"/>
              </w:rPr>
            </w:pPr>
            <w:r>
              <w:rPr>
                <w:rFonts w:ascii="Arial" w:cs="Arial" w:eastAsia="Arial" w:hAnsi="Arial"/>
                <w:sz w:val="14"/>
                <w:szCs w:val="14"/>
                <w:color w:val="auto"/>
              </w:rPr>
              <w:t>$20,804,877</w:t>
            </w:r>
          </w:p>
        </w:tc>
      </w:tr>
      <w:tr>
        <w:trPr>
          <w:trHeight w:val="171"/>
        </w:trPr>
        <w:tc>
          <w:tcPr>
            <w:tcW w:w="7100" w:type="dxa"/>
            <w:vAlign w:val="bottom"/>
            <w:tcBorders>
              <w:bottom w:val="single" w:sz="8" w:color="95B3D7"/>
              <w:right w:val="single" w:sz="8" w:color="95B3D7"/>
            </w:tcBorders>
          </w:tcPr>
          <w:p>
            <w:pPr>
              <w:ind w:left="440"/>
              <w:spacing w:after="0"/>
              <w:rPr>
                <w:sz w:val="20"/>
                <w:szCs w:val="20"/>
                <w:color w:val="auto"/>
              </w:rPr>
            </w:pPr>
            <w:r>
              <w:rPr>
                <w:rFonts w:ascii="Arial" w:cs="Arial" w:eastAsia="Arial" w:hAnsi="Arial"/>
                <w:sz w:val="14"/>
                <w:szCs w:val="14"/>
                <w:color w:val="auto"/>
              </w:rPr>
              <w:t>as of the end of the year</w:t>
            </w:r>
          </w:p>
        </w:tc>
        <w:tc>
          <w:tcPr>
            <w:tcW w:w="200" w:type="dxa"/>
            <w:vAlign w:val="bottom"/>
            <w:tcBorders>
              <w:bottom w:val="single" w:sz="8" w:color="95B3D7"/>
            </w:tcBorders>
          </w:tcPr>
          <w:p>
            <w:pPr>
              <w:spacing w:after="0"/>
              <w:rPr>
                <w:sz w:val="14"/>
                <w:szCs w:val="14"/>
                <w:color w:val="auto"/>
              </w:rPr>
            </w:pPr>
          </w:p>
        </w:tc>
        <w:tc>
          <w:tcPr>
            <w:tcW w:w="820" w:type="dxa"/>
            <w:vAlign w:val="bottom"/>
            <w:tcBorders>
              <w:bottom w:val="single" w:sz="8" w:color="95B3D7"/>
            </w:tcBorders>
          </w:tcPr>
          <w:p>
            <w:pPr>
              <w:spacing w:after="0"/>
              <w:rPr>
                <w:sz w:val="14"/>
                <w:szCs w:val="14"/>
                <w:color w:val="auto"/>
              </w:rPr>
            </w:pPr>
          </w:p>
        </w:tc>
        <w:tc>
          <w:tcPr>
            <w:tcW w:w="140" w:type="dxa"/>
            <w:vAlign w:val="bottom"/>
            <w:tcBorders>
              <w:bottom w:val="single" w:sz="8" w:color="95B3D7"/>
              <w:right w:val="single" w:sz="8" w:color="95B3D7"/>
            </w:tcBorders>
          </w:tcPr>
          <w:p>
            <w:pPr>
              <w:spacing w:after="0"/>
              <w:rPr>
                <w:sz w:val="14"/>
                <w:szCs w:val="14"/>
                <w:color w:val="auto"/>
              </w:rPr>
            </w:pPr>
          </w:p>
        </w:tc>
        <w:tc>
          <w:tcPr>
            <w:tcW w:w="200" w:type="dxa"/>
            <w:vAlign w:val="bottom"/>
            <w:tcBorders>
              <w:bottom w:val="single" w:sz="8" w:color="95B3D7"/>
            </w:tcBorders>
          </w:tcPr>
          <w:p>
            <w:pPr>
              <w:spacing w:after="0"/>
              <w:rPr>
                <w:sz w:val="14"/>
                <w:szCs w:val="14"/>
                <w:color w:val="auto"/>
              </w:rPr>
            </w:pPr>
          </w:p>
        </w:tc>
        <w:tc>
          <w:tcPr>
            <w:tcW w:w="800" w:type="dxa"/>
            <w:vAlign w:val="bottom"/>
            <w:tcBorders>
              <w:bottom w:val="single" w:sz="8" w:color="95B3D7"/>
            </w:tcBorders>
          </w:tcPr>
          <w:p>
            <w:pPr>
              <w:spacing w:after="0"/>
              <w:rPr>
                <w:sz w:val="14"/>
                <w:szCs w:val="14"/>
                <w:color w:val="auto"/>
              </w:rPr>
            </w:pPr>
          </w:p>
        </w:tc>
        <w:tc>
          <w:tcPr>
            <w:tcW w:w="160" w:type="dxa"/>
            <w:vAlign w:val="bottom"/>
            <w:tcBorders>
              <w:bottom w:val="single" w:sz="8" w:color="95B3D7"/>
              <w:right w:val="single" w:sz="8" w:color="95B3D7"/>
            </w:tcBorders>
          </w:tcPr>
          <w:p>
            <w:pPr>
              <w:spacing w:after="0"/>
              <w:rPr>
                <w:sz w:val="14"/>
                <w:szCs w:val="14"/>
                <w:color w:val="auto"/>
              </w:rPr>
            </w:pPr>
          </w:p>
        </w:tc>
        <w:tc>
          <w:tcPr>
            <w:tcW w:w="220" w:type="dxa"/>
            <w:vAlign w:val="bottom"/>
            <w:tcBorders>
              <w:bottom w:val="single" w:sz="8" w:color="95B3D7"/>
            </w:tcBorders>
          </w:tcPr>
          <w:p>
            <w:pPr>
              <w:spacing w:after="0"/>
              <w:rPr>
                <w:sz w:val="14"/>
                <w:szCs w:val="14"/>
                <w:color w:val="auto"/>
              </w:rPr>
            </w:pPr>
          </w:p>
        </w:tc>
        <w:tc>
          <w:tcPr>
            <w:tcW w:w="800" w:type="dxa"/>
            <w:vAlign w:val="bottom"/>
            <w:tcBorders>
              <w:bottom w:val="single" w:sz="8" w:color="95B3D7"/>
            </w:tcBorders>
          </w:tcPr>
          <w:p>
            <w:pPr>
              <w:spacing w:after="0"/>
              <w:rPr>
                <w:sz w:val="14"/>
                <w:szCs w:val="14"/>
                <w:color w:val="auto"/>
              </w:rPr>
            </w:pPr>
          </w:p>
        </w:tc>
        <w:tc>
          <w:tcPr>
            <w:tcW w:w="140" w:type="dxa"/>
            <w:vAlign w:val="bottom"/>
            <w:tcBorders>
              <w:bottom w:val="single" w:sz="8" w:color="95B3D7"/>
            </w:tcBorders>
          </w:tcPr>
          <w:p>
            <w:pPr>
              <w:spacing w:after="0"/>
              <w:rPr>
                <w:sz w:val="14"/>
                <w:szCs w:val="14"/>
                <w:color w:val="auto"/>
              </w:rPr>
            </w:pPr>
          </w:p>
        </w:tc>
      </w:tr>
      <w:tr>
        <w:trPr>
          <w:trHeight w:val="146"/>
        </w:trPr>
        <w:tc>
          <w:tcPr>
            <w:tcW w:w="7100" w:type="dxa"/>
            <w:vAlign w:val="bottom"/>
            <w:tcBorders>
              <w:right w:val="single" w:sz="8" w:color="95B3D7"/>
            </w:tcBorders>
            <w:shd w:val="clear" w:color="auto" w:fill="DBE5F1"/>
          </w:tcPr>
          <w:p>
            <w:pPr>
              <w:ind w:left="440"/>
              <w:spacing w:after="0" w:line="147" w:lineRule="exact"/>
              <w:rPr>
                <w:sz w:val="20"/>
                <w:szCs w:val="20"/>
                <w:color w:val="auto"/>
              </w:rPr>
            </w:pPr>
            <w:r>
              <w:rPr>
                <w:rFonts w:ascii="Arial" w:cs="Arial" w:eastAsia="Arial" w:hAnsi="Arial"/>
                <w:sz w:val="14"/>
                <w:szCs w:val="14"/>
                <w:color w:val="auto"/>
              </w:rPr>
              <w:t>The amount of change as of the end of the applicable year (from the end of the prior fiscal year) in fair</w:t>
            </w:r>
          </w:p>
        </w:tc>
        <w:tc>
          <w:tcPr>
            <w:tcW w:w="1160" w:type="dxa"/>
            <w:vAlign w:val="bottom"/>
            <w:tcBorders>
              <w:right w:val="single" w:sz="8" w:color="95B3D7"/>
            </w:tcBorders>
            <w:gridSpan w:val="3"/>
            <w:shd w:val="clear" w:color="auto" w:fill="DBE5F1"/>
          </w:tcPr>
          <w:p>
            <w:pPr>
              <w:jc w:val="center"/>
              <w:spacing w:after="0" w:line="147" w:lineRule="exact"/>
              <w:rPr>
                <w:sz w:val="20"/>
                <w:szCs w:val="20"/>
                <w:color w:val="auto"/>
              </w:rPr>
            </w:pPr>
            <w:r>
              <w:rPr>
                <w:rFonts w:ascii="Arial" w:cs="Arial" w:eastAsia="Arial" w:hAnsi="Arial"/>
                <w:sz w:val="14"/>
                <w:szCs w:val="14"/>
                <w:color w:val="auto"/>
              </w:rPr>
              <w:t>($12,858,959)</w:t>
            </w:r>
          </w:p>
        </w:tc>
        <w:tc>
          <w:tcPr>
            <w:tcW w:w="1160" w:type="dxa"/>
            <w:vAlign w:val="bottom"/>
            <w:tcBorders>
              <w:right w:val="single" w:sz="8" w:color="95B3D7"/>
            </w:tcBorders>
            <w:gridSpan w:val="3"/>
            <w:shd w:val="clear" w:color="auto" w:fill="DBE5F1"/>
          </w:tcPr>
          <w:p>
            <w:pPr>
              <w:jc w:val="center"/>
              <w:spacing w:after="0" w:line="147" w:lineRule="exact"/>
              <w:rPr>
                <w:sz w:val="20"/>
                <w:szCs w:val="20"/>
                <w:color w:val="auto"/>
              </w:rPr>
            </w:pPr>
            <w:r>
              <w:rPr>
                <w:rFonts w:ascii="Arial" w:cs="Arial" w:eastAsia="Arial" w:hAnsi="Arial"/>
                <w:sz w:val="14"/>
                <w:szCs w:val="14"/>
                <w:color w:val="auto"/>
              </w:rPr>
              <w:t>($1,347,517)</w:t>
            </w:r>
          </w:p>
        </w:tc>
        <w:tc>
          <w:tcPr>
            <w:tcW w:w="1020" w:type="dxa"/>
            <w:vAlign w:val="bottom"/>
            <w:gridSpan w:val="2"/>
            <w:shd w:val="clear" w:color="auto" w:fill="DBE5F1"/>
          </w:tcPr>
          <w:p>
            <w:pPr>
              <w:jc w:val="center"/>
              <w:ind w:left="148"/>
              <w:spacing w:after="0" w:line="147" w:lineRule="exact"/>
              <w:rPr>
                <w:sz w:val="20"/>
                <w:szCs w:val="20"/>
                <w:color w:val="auto"/>
              </w:rPr>
            </w:pPr>
            <w:r>
              <w:rPr>
                <w:rFonts w:ascii="Arial" w:cs="Arial" w:eastAsia="Arial" w:hAnsi="Arial"/>
                <w:sz w:val="14"/>
                <w:szCs w:val="14"/>
                <w:color w:val="auto"/>
              </w:rPr>
              <w:t>$8,950,439</w:t>
            </w:r>
          </w:p>
        </w:tc>
        <w:tc>
          <w:tcPr>
            <w:tcW w:w="140" w:type="dxa"/>
            <w:vAlign w:val="bottom"/>
            <w:shd w:val="clear" w:color="auto" w:fill="DBE5F1"/>
          </w:tcPr>
          <w:p>
            <w:pPr>
              <w:spacing w:after="0"/>
              <w:rPr>
                <w:sz w:val="12"/>
                <w:szCs w:val="12"/>
                <w:color w:val="auto"/>
              </w:rPr>
            </w:pPr>
          </w:p>
        </w:tc>
      </w:tr>
      <w:tr>
        <w:trPr>
          <w:trHeight w:val="162"/>
        </w:trPr>
        <w:tc>
          <w:tcPr>
            <w:tcW w:w="7100" w:type="dxa"/>
            <w:vAlign w:val="bottom"/>
            <w:tcBorders>
              <w:right w:val="single" w:sz="8" w:color="95B3D7"/>
            </w:tcBorders>
            <w:shd w:val="clear" w:color="auto" w:fill="DBE5F1"/>
          </w:tcPr>
          <w:p>
            <w:pPr>
              <w:ind w:left="440"/>
              <w:spacing w:after="0"/>
              <w:rPr>
                <w:sz w:val="20"/>
                <w:szCs w:val="20"/>
                <w:color w:val="auto"/>
              </w:rPr>
            </w:pPr>
            <w:r>
              <w:rPr>
                <w:rFonts w:ascii="Arial" w:cs="Arial" w:eastAsia="Arial" w:hAnsi="Arial"/>
                <w:sz w:val="14"/>
                <w:szCs w:val="14"/>
                <w:color w:val="auto"/>
              </w:rPr>
              <w:t>value of any awards granted in prior years that are outstanding and unvested as of the end of the</w:t>
            </w:r>
          </w:p>
        </w:tc>
        <w:tc>
          <w:tcPr>
            <w:tcW w:w="200" w:type="dxa"/>
            <w:vAlign w:val="bottom"/>
            <w:shd w:val="clear" w:color="auto" w:fill="DBE5F1"/>
          </w:tcPr>
          <w:p>
            <w:pPr>
              <w:spacing w:after="0"/>
              <w:rPr>
                <w:sz w:val="14"/>
                <w:szCs w:val="14"/>
                <w:color w:val="auto"/>
              </w:rPr>
            </w:pPr>
          </w:p>
        </w:tc>
        <w:tc>
          <w:tcPr>
            <w:tcW w:w="820" w:type="dxa"/>
            <w:vAlign w:val="bottom"/>
            <w:shd w:val="clear" w:color="auto" w:fill="DBE5F1"/>
          </w:tcPr>
          <w:p>
            <w:pPr>
              <w:spacing w:after="0"/>
              <w:rPr>
                <w:sz w:val="14"/>
                <w:szCs w:val="14"/>
                <w:color w:val="auto"/>
              </w:rPr>
            </w:pPr>
          </w:p>
        </w:tc>
        <w:tc>
          <w:tcPr>
            <w:tcW w:w="140" w:type="dxa"/>
            <w:vAlign w:val="bottom"/>
            <w:tcBorders>
              <w:right w:val="single" w:sz="8" w:color="95B3D7"/>
            </w:tcBorders>
            <w:shd w:val="clear" w:color="auto" w:fill="DBE5F1"/>
          </w:tcPr>
          <w:p>
            <w:pPr>
              <w:spacing w:after="0"/>
              <w:rPr>
                <w:sz w:val="14"/>
                <w:szCs w:val="14"/>
                <w:color w:val="auto"/>
              </w:rPr>
            </w:pPr>
          </w:p>
        </w:tc>
        <w:tc>
          <w:tcPr>
            <w:tcW w:w="200" w:type="dxa"/>
            <w:vAlign w:val="bottom"/>
            <w:shd w:val="clear" w:color="auto" w:fill="DBE5F1"/>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160" w:type="dxa"/>
            <w:vAlign w:val="bottom"/>
            <w:tcBorders>
              <w:right w:val="single" w:sz="8" w:color="95B3D7"/>
            </w:tcBorders>
            <w:shd w:val="clear" w:color="auto" w:fill="DBE5F1"/>
          </w:tcPr>
          <w:p>
            <w:pPr>
              <w:spacing w:after="0"/>
              <w:rPr>
                <w:sz w:val="14"/>
                <w:szCs w:val="14"/>
                <w:color w:val="auto"/>
              </w:rPr>
            </w:pPr>
          </w:p>
        </w:tc>
        <w:tc>
          <w:tcPr>
            <w:tcW w:w="220" w:type="dxa"/>
            <w:vAlign w:val="bottom"/>
            <w:shd w:val="clear" w:color="auto" w:fill="DBE5F1"/>
          </w:tcPr>
          <w:p>
            <w:pPr>
              <w:spacing w:after="0"/>
              <w:rPr>
                <w:sz w:val="14"/>
                <w:szCs w:val="14"/>
                <w:color w:val="auto"/>
              </w:rPr>
            </w:pPr>
          </w:p>
        </w:tc>
        <w:tc>
          <w:tcPr>
            <w:tcW w:w="800" w:type="dxa"/>
            <w:vAlign w:val="bottom"/>
            <w:shd w:val="clear" w:color="auto" w:fill="DBE5F1"/>
          </w:tcPr>
          <w:p>
            <w:pPr>
              <w:spacing w:after="0"/>
              <w:rPr>
                <w:sz w:val="14"/>
                <w:szCs w:val="14"/>
                <w:color w:val="auto"/>
              </w:rPr>
            </w:pPr>
          </w:p>
        </w:tc>
        <w:tc>
          <w:tcPr>
            <w:tcW w:w="140" w:type="dxa"/>
            <w:vAlign w:val="bottom"/>
            <w:shd w:val="clear" w:color="auto" w:fill="DBE5F1"/>
          </w:tcPr>
          <w:p>
            <w:pPr>
              <w:spacing w:after="0"/>
              <w:rPr>
                <w:sz w:val="14"/>
                <w:szCs w:val="14"/>
                <w:color w:val="auto"/>
              </w:rPr>
            </w:pPr>
          </w:p>
        </w:tc>
      </w:tr>
      <w:tr>
        <w:trPr>
          <w:trHeight w:val="171"/>
        </w:trPr>
        <w:tc>
          <w:tcPr>
            <w:tcW w:w="7100" w:type="dxa"/>
            <w:vAlign w:val="bottom"/>
            <w:tcBorders>
              <w:bottom w:val="single" w:sz="8" w:color="95B3D7"/>
              <w:right w:val="single" w:sz="8" w:color="95B3D7"/>
            </w:tcBorders>
            <w:shd w:val="clear" w:color="auto" w:fill="DBE5F1"/>
          </w:tcPr>
          <w:p>
            <w:pPr>
              <w:ind w:left="440"/>
              <w:spacing w:after="0"/>
              <w:rPr>
                <w:sz w:val="20"/>
                <w:szCs w:val="20"/>
                <w:color w:val="auto"/>
              </w:rPr>
            </w:pPr>
            <w:r>
              <w:rPr>
                <w:rFonts w:ascii="Arial" w:cs="Arial" w:eastAsia="Arial" w:hAnsi="Arial"/>
                <w:sz w:val="14"/>
                <w:szCs w:val="14"/>
                <w:color w:val="auto"/>
              </w:rPr>
              <w:t>applicable year</w:t>
            </w:r>
          </w:p>
        </w:tc>
        <w:tc>
          <w:tcPr>
            <w:tcW w:w="200" w:type="dxa"/>
            <w:vAlign w:val="bottom"/>
            <w:tcBorders>
              <w:bottom w:val="single" w:sz="8" w:color="95B3D7"/>
            </w:tcBorders>
            <w:shd w:val="clear" w:color="auto" w:fill="DBE5F1"/>
          </w:tcPr>
          <w:p>
            <w:pPr>
              <w:spacing w:after="0"/>
              <w:rPr>
                <w:sz w:val="14"/>
                <w:szCs w:val="14"/>
                <w:color w:val="auto"/>
              </w:rPr>
            </w:pPr>
          </w:p>
        </w:tc>
        <w:tc>
          <w:tcPr>
            <w:tcW w:w="820" w:type="dxa"/>
            <w:vAlign w:val="bottom"/>
            <w:tcBorders>
              <w:bottom w:val="single" w:sz="8" w:color="95B3D7"/>
            </w:tcBorders>
            <w:shd w:val="clear" w:color="auto" w:fill="DBE5F1"/>
          </w:tcPr>
          <w:p>
            <w:pPr>
              <w:spacing w:after="0"/>
              <w:rPr>
                <w:sz w:val="14"/>
                <w:szCs w:val="14"/>
                <w:color w:val="auto"/>
              </w:rPr>
            </w:pPr>
          </w:p>
        </w:tc>
        <w:tc>
          <w:tcPr>
            <w:tcW w:w="140" w:type="dxa"/>
            <w:vAlign w:val="bottom"/>
            <w:tcBorders>
              <w:bottom w:val="single" w:sz="8" w:color="95B3D7"/>
              <w:right w:val="single" w:sz="8" w:color="95B3D7"/>
            </w:tcBorders>
            <w:shd w:val="clear" w:color="auto" w:fill="DBE5F1"/>
          </w:tcPr>
          <w:p>
            <w:pPr>
              <w:spacing w:after="0"/>
              <w:rPr>
                <w:sz w:val="14"/>
                <w:szCs w:val="14"/>
                <w:color w:val="auto"/>
              </w:rPr>
            </w:pPr>
          </w:p>
        </w:tc>
        <w:tc>
          <w:tcPr>
            <w:tcW w:w="200" w:type="dxa"/>
            <w:vAlign w:val="bottom"/>
            <w:tcBorders>
              <w:bottom w:val="single" w:sz="8" w:color="95B3D7"/>
            </w:tcBorders>
            <w:shd w:val="clear" w:color="auto" w:fill="DBE5F1"/>
          </w:tcPr>
          <w:p>
            <w:pPr>
              <w:spacing w:after="0"/>
              <w:rPr>
                <w:sz w:val="14"/>
                <w:szCs w:val="14"/>
                <w:color w:val="auto"/>
              </w:rPr>
            </w:pPr>
          </w:p>
        </w:tc>
        <w:tc>
          <w:tcPr>
            <w:tcW w:w="800" w:type="dxa"/>
            <w:vAlign w:val="bottom"/>
            <w:tcBorders>
              <w:bottom w:val="single" w:sz="8" w:color="95B3D7"/>
            </w:tcBorders>
            <w:shd w:val="clear" w:color="auto" w:fill="DBE5F1"/>
          </w:tcPr>
          <w:p>
            <w:pPr>
              <w:spacing w:after="0"/>
              <w:rPr>
                <w:sz w:val="14"/>
                <w:szCs w:val="14"/>
                <w:color w:val="auto"/>
              </w:rPr>
            </w:pPr>
          </w:p>
        </w:tc>
        <w:tc>
          <w:tcPr>
            <w:tcW w:w="160" w:type="dxa"/>
            <w:vAlign w:val="bottom"/>
            <w:tcBorders>
              <w:bottom w:val="single" w:sz="8" w:color="95B3D7"/>
              <w:right w:val="single" w:sz="8" w:color="95B3D7"/>
            </w:tcBorders>
            <w:shd w:val="clear" w:color="auto" w:fill="DBE5F1"/>
          </w:tcPr>
          <w:p>
            <w:pPr>
              <w:spacing w:after="0"/>
              <w:rPr>
                <w:sz w:val="14"/>
                <w:szCs w:val="14"/>
                <w:color w:val="auto"/>
              </w:rPr>
            </w:pPr>
          </w:p>
        </w:tc>
        <w:tc>
          <w:tcPr>
            <w:tcW w:w="220" w:type="dxa"/>
            <w:vAlign w:val="bottom"/>
            <w:tcBorders>
              <w:bottom w:val="single" w:sz="8" w:color="95B3D7"/>
            </w:tcBorders>
            <w:shd w:val="clear" w:color="auto" w:fill="DBE5F1"/>
          </w:tcPr>
          <w:p>
            <w:pPr>
              <w:spacing w:after="0"/>
              <w:rPr>
                <w:sz w:val="14"/>
                <w:szCs w:val="14"/>
                <w:color w:val="auto"/>
              </w:rPr>
            </w:pPr>
          </w:p>
        </w:tc>
        <w:tc>
          <w:tcPr>
            <w:tcW w:w="800" w:type="dxa"/>
            <w:vAlign w:val="bottom"/>
            <w:tcBorders>
              <w:bottom w:val="single" w:sz="8" w:color="95B3D7"/>
            </w:tcBorders>
            <w:shd w:val="clear" w:color="auto" w:fill="DBE5F1"/>
          </w:tcPr>
          <w:p>
            <w:pPr>
              <w:spacing w:after="0"/>
              <w:rPr>
                <w:sz w:val="14"/>
                <w:szCs w:val="14"/>
                <w:color w:val="auto"/>
              </w:rPr>
            </w:pPr>
          </w:p>
        </w:tc>
        <w:tc>
          <w:tcPr>
            <w:tcW w:w="140" w:type="dxa"/>
            <w:vAlign w:val="bottom"/>
            <w:tcBorders>
              <w:bottom w:val="single" w:sz="8" w:color="95B3D7"/>
            </w:tcBorders>
            <w:shd w:val="clear" w:color="auto" w:fill="DBE5F1"/>
          </w:tcPr>
          <w:p>
            <w:pPr>
              <w:spacing w:after="0"/>
              <w:rPr>
                <w:sz w:val="14"/>
                <w:szCs w:val="14"/>
                <w:color w:val="auto"/>
              </w:rPr>
            </w:pPr>
          </w:p>
        </w:tc>
      </w:tr>
      <w:tr>
        <w:trPr>
          <w:trHeight w:val="146"/>
        </w:trPr>
        <w:tc>
          <w:tcPr>
            <w:tcW w:w="7100" w:type="dxa"/>
            <w:vAlign w:val="bottom"/>
            <w:tcBorders>
              <w:right w:val="single" w:sz="8" w:color="95B3D7"/>
            </w:tcBorders>
          </w:tcPr>
          <w:p>
            <w:pPr>
              <w:ind w:left="440"/>
              <w:spacing w:after="0" w:line="147" w:lineRule="exact"/>
              <w:rPr>
                <w:sz w:val="20"/>
                <w:szCs w:val="20"/>
                <w:color w:val="auto"/>
              </w:rPr>
            </w:pPr>
            <w:r>
              <w:rPr>
                <w:rFonts w:ascii="Arial" w:cs="Arial" w:eastAsia="Arial" w:hAnsi="Arial"/>
                <w:sz w:val="14"/>
                <w:szCs w:val="14"/>
                <w:color w:val="auto"/>
              </w:rPr>
              <w:t>For awards granted in prior years that vest in the applicable year, the amount equal to the change as of</w:t>
            </w: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right w:val="single" w:sz="8" w:color="95B3D7"/>
            </w:tcBorders>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Borders>
              <w:right w:val="single" w:sz="8" w:color="95B3D7"/>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171"/>
        </w:trPr>
        <w:tc>
          <w:tcPr>
            <w:tcW w:w="7100" w:type="dxa"/>
            <w:vAlign w:val="bottom"/>
            <w:tcBorders>
              <w:bottom w:val="single" w:sz="8" w:color="95B3D7"/>
              <w:right w:val="single" w:sz="8" w:color="95B3D7"/>
            </w:tcBorders>
          </w:tcPr>
          <w:p>
            <w:pPr>
              <w:ind w:left="440"/>
              <w:spacing w:after="0"/>
              <w:rPr>
                <w:sz w:val="20"/>
                <w:szCs w:val="20"/>
                <w:color w:val="auto"/>
              </w:rPr>
            </w:pPr>
            <w:r>
              <w:rPr>
                <w:rFonts w:ascii="Arial" w:cs="Arial" w:eastAsia="Arial" w:hAnsi="Arial"/>
                <w:sz w:val="14"/>
                <w:szCs w:val="14"/>
                <w:color w:val="auto"/>
              </w:rPr>
              <w:t>the vesting date (from the end of the prior fiscal year) in fair value</w:t>
            </w:r>
          </w:p>
        </w:tc>
        <w:tc>
          <w:tcPr>
            <w:tcW w:w="1160" w:type="dxa"/>
            <w:vAlign w:val="bottom"/>
            <w:tcBorders>
              <w:bottom w:val="single" w:sz="8" w:color="95B3D7"/>
              <w:right w:val="single" w:sz="8" w:color="95B3D7"/>
            </w:tcBorders>
            <w:gridSpan w:val="3"/>
          </w:tcPr>
          <w:p>
            <w:pPr>
              <w:jc w:val="center"/>
              <w:spacing w:after="0"/>
              <w:rPr>
                <w:sz w:val="20"/>
                <w:szCs w:val="20"/>
                <w:color w:val="auto"/>
              </w:rPr>
            </w:pPr>
            <w:r>
              <w:rPr>
                <w:rFonts w:ascii="Arial" w:cs="Arial" w:eastAsia="Arial" w:hAnsi="Arial"/>
                <w:sz w:val="14"/>
                <w:szCs w:val="14"/>
                <w:color w:val="auto"/>
              </w:rPr>
              <w:t>($7,861,706)</w:t>
            </w:r>
          </w:p>
        </w:tc>
        <w:tc>
          <w:tcPr>
            <w:tcW w:w="1160" w:type="dxa"/>
            <w:vAlign w:val="bottom"/>
            <w:tcBorders>
              <w:bottom w:val="single" w:sz="8" w:color="95B3D7"/>
              <w:right w:val="single" w:sz="8" w:color="95B3D7"/>
            </w:tcBorders>
            <w:gridSpan w:val="3"/>
          </w:tcPr>
          <w:p>
            <w:pPr>
              <w:jc w:val="center"/>
              <w:spacing w:after="0"/>
              <w:rPr>
                <w:sz w:val="20"/>
                <w:szCs w:val="20"/>
                <w:color w:val="auto"/>
              </w:rPr>
            </w:pPr>
            <w:r>
              <w:rPr>
                <w:rFonts w:ascii="Arial" w:cs="Arial" w:eastAsia="Arial" w:hAnsi="Arial"/>
                <w:sz w:val="14"/>
                <w:szCs w:val="14"/>
                <w:color w:val="auto"/>
              </w:rPr>
              <w:t>($2,183,201)</w:t>
            </w:r>
          </w:p>
        </w:tc>
        <w:tc>
          <w:tcPr>
            <w:tcW w:w="1020" w:type="dxa"/>
            <w:vAlign w:val="bottom"/>
            <w:tcBorders>
              <w:bottom w:val="single" w:sz="8" w:color="95B3D7"/>
            </w:tcBorders>
            <w:gridSpan w:val="2"/>
          </w:tcPr>
          <w:p>
            <w:pPr>
              <w:jc w:val="center"/>
              <w:ind w:left="148"/>
              <w:spacing w:after="0"/>
              <w:rPr>
                <w:sz w:val="20"/>
                <w:szCs w:val="20"/>
                <w:color w:val="auto"/>
              </w:rPr>
            </w:pPr>
            <w:r>
              <w:rPr>
                <w:rFonts w:ascii="Arial" w:cs="Arial" w:eastAsia="Arial" w:hAnsi="Arial"/>
                <w:sz w:val="14"/>
                <w:szCs w:val="14"/>
                <w:color w:val="auto"/>
              </w:rPr>
              <w:t>$5,956,769</w:t>
            </w:r>
          </w:p>
        </w:tc>
        <w:tc>
          <w:tcPr>
            <w:tcW w:w="140" w:type="dxa"/>
            <w:vAlign w:val="bottom"/>
            <w:tcBorders>
              <w:bottom w:val="single" w:sz="8" w:color="95B3D7"/>
            </w:tcBorders>
          </w:tcPr>
          <w:p>
            <w:pPr>
              <w:spacing w:after="0"/>
              <w:rPr>
                <w:sz w:val="14"/>
                <w:szCs w:val="14"/>
                <w:color w:val="auto"/>
              </w:rPr>
            </w:pPr>
          </w:p>
        </w:tc>
      </w:tr>
      <w:tr>
        <w:trPr>
          <w:trHeight w:val="156"/>
        </w:trPr>
        <w:tc>
          <w:tcPr>
            <w:tcW w:w="7100" w:type="dxa"/>
            <w:vAlign w:val="bottom"/>
            <w:tcBorders>
              <w:bottom w:val="single" w:sz="8" w:color="95B3D7"/>
              <w:right w:val="single" w:sz="8" w:color="95B3D7"/>
            </w:tcBorders>
            <w:shd w:val="clear" w:color="auto" w:fill="DBE5F1"/>
          </w:tcPr>
          <w:p>
            <w:pPr>
              <w:ind w:left="440"/>
              <w:spacing w:after="0" w:line="155" w:lineRule="exact"/>
              <w:rPr>
                <w:sz w:val="20"/>
                <w:szCs w:val="20"/>
                <w:color w:val="auto"/>
              </w:rPr>
            </w:pPr>
            <w:r>
              <w:rPr>
                <w:rFonts w:ascii="Arial" w:cs="Arial" w:eastAsia="Arial" w:hAnsi="Arial"/>
                <w:sz w:val="14"/>
                <w:szCs w:val="14"/>
                <w:b w:val="1"/>
                <w:bCs w:val="1"/>
                <w:color w:val="auto"/>
              </w:rPr>
              <w:t>Net Adjustment to Subtotal</w:t>
            </w:r>
          </w:p>
        </w:tc>
        <w:tc>
          <w:tcPr>
            <w:tcW w:w="1160" w:type="dxa"/>
            <w:vAlign w:val="bottom"/>
            <w:tcBorders>
              <w:bottom w:val="single" w:sz="8" w:color="95B3D7"/>
              <w:right w:val="single" w:sz="8" w:color="95B3D7"/>
            </w:tcBorders>
            <w:gridSpan w:val="3"/>
            <w:shd w:val="clear" w:color="auto" w:fill="DBE5F1"/>
          </w:tcPr>
          <w:p>
            <w:pPr>
              <w:jc w:val="center"/>
              <w:spacing w:after="0" w:line="155" w:lineRule="exact"/>
              <w:rPr>
                <w:sz w:val="20"/>
                <w:szCs w:val="20"/>
                <w:color w:val="auto"/>
              </w:rPr>
            </w:pPr>
            <w:r>
              <w:rPr>
                <w:rFonts w:ascii="Arial" w:cs="Arial" w:eastAsia="Arial" w:hAnsi="Arial"/>
                <w:sz w:val="14"/>
                <w:szCs w:val="14"/>
                <w:b w:val="1"/>
                <w:bCs w:val="1"/>
                <w:color w:val="auto"/>
              </w:rPr>
              <w:t>($4,473,407)</w:t>
            </w:r>
          </w:p>
        </w:tc>
        <w:tc>
          <w:tcPr>
            <w:tcW w:w="1160" w:type="dxa"/>
            <w:vAlign w:val="bottom"/>
            <w:tcBorders>
              <w:bottom w:val="single" w:sz="8" w:color="95B3D7"/>
              <w:right w:val="single" w:sz="8" w:color="95B3D7"/>
            </w:tcBorders>
            <w:gridSpan w:val="3"/>
            <w:shd w:val="clear" w:color="auto" w:fill="DBE5F1"/>
          </w:tcPr>
          <w:p>
            <w:pPr>
              <w:jc w:val="center"/>
              <w:spacing w:after="0" w:line="155" w:lineRule="exact"/>
              <w:rPr>
                <w:sz w:val="20"/>
                <w:szCs w:val="20"/>
                <w:color w:val="auto"/>
              </w:rPr>
            </w:pPr>
            <w:r>
              <w:rPr>
                <w:rFonts w:ascii="Arial" w:cs="Arial" w:eastAsia="Arial" w:hAnsi="Arial"/>
                <w:sz w:val="14"/>
                <w:szCs w:val="14"/>
                <w:b w:val="1"/>
                <w:bCs w:val="1"/>
                <w:color w:val="auto"/>
              </w:rPr>
              <w:t>$24,180,196</w:t>
            </w:r>
          </w:p>
        </w:tc>
        <w:tc>
          <w:tcPr>
            <w:tcW w:w="1160" w:type="dxa"/>
            <w:vAlign w:val="bottom"/>
            <w:tcBorders>
              <w:bottom w:val="single" w:sz="8" w:color="95B3D7"/>
            </w:tcBorders>
            <w:gridSpan w:val="3"/>
            <w:shd w:val="clear" w:color="auto" w:fill="DBE5F1"/>
          </w:tcPr>
          <w:p>
            <w:pPr>
              <w:jc w:val="center"/>
              <w:ind w:left="8"/>
              <w:spacing w:after="0" w:line="155" w:lineRule="exact"/>
              <w:rPr>
                <w:sz w:val="20"/>
                <w:szCs w:val="20"/>
                <w:color w:val="auto"/>
              </w:rPr>
            </w:pPr>
            <w:r>
              <w:rPr>
                <w:rFonts w:ascii="Arial" w:cs="Arial" w:eastAsia="Arial" w:hAnsi="Arial"/>
                <w:sz w:val="14"/>
                <w:szCs w:val="14"/>
                <w:b w:val="1"/>
                <w:bCs w:val="1"/>
                <w:color w:val="auto"/>
              </w:rPr>
              <w:t>$35,712,085</w:t>
            </w:r>
          </w:p>
        </w:tc>
      </w:tr>
      <w:tr>
        <w:trPr>
          <w:trHeight w:val="142"/>
        </w:trPr>
        <w:tc>
          <w:tcPr>
            <w:tcW w:w="7100" w:type="dxa"/>
            <w:vAlign w:val="bottom"/>
            <w:tcBorders>
              <w:right w:val="single" w:sz="8" w:color="95B3D7"/>
            </w:tcBorders>
          </w:tcPr>
          <w:p>
            <w:pPr>
              <w:ind w:left="440"/>
              <w:spacing w:after="0" w:line="142" w:lineRule="exact"/>
              <w:rPr>
                <w:sz w:val="20"/>
                <w:szCs w:val="20"/>
                <w:color w:val="auto"/>
              </w:rPr>
            </w:pPr>
            <w:r>
              <w:rPr>
                <w:rFonts w:ascii="Arial" w:cs="Arial" w:eastAsia="Arial" w:hAnsi="Arial"/>
                <w:sz w:val="14"/>
                <w:szCs w:val="14"/>
                <w:b w:val="1"/>
                <w:bCs w:val="1"/>
                <w:color w:val="auto"/>
              </w:rPr>
              <w:t>Compensation Actually Paid</w:t>
            </w:r>
          </w:p>
        </w:tc>
        <w:tc>
          <w:tcPr>
            <w:tcW w:w="1160" w:type="dxa"/>
            <w:vAlign w:val="bottom"/>
            <w:tcBorders>
              <w:right w:val="single" w:sz="8" w:color="95B3D7"/>
            </w:tcBorders>
            <w:gridSpan w:val="3"/>
          </w:tcPr>
          <w:p>
            <w:pPr>
              <w:jc w:val="center"/>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2,674,822)</w:t>
            </w:r>
          </w:p>
        </w:tc>
        <w:tc>
          <w:tcPr>
            <w:tcW w:w="1160" w:type="dxa"/>
            <w:vAlign w:val="bottom"/>
            <w:tcBorders>
              <w:right w:val="single" w:sz="8" w:color="95B3D7"/>
            </w:tcBorders>
            <w:gridSpan w:val="3"/>
          </w:tcPr>
          <w:p>
            <w:pPr>
              <w:jc w:val="center"/>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25,813,278</w:t>
            </w:r>
          </w:p>
        </w:tc>
        <w:tc>
          <w:tcPr>
            <w:tcW w:w="1160" w:type="dxa"/>
            <w:vAlign w:val="bottom"/>
            <w:gridSpan w:val="3"/>
          </w:tcPr>
          <w:p>
            <w:pPr>
              <w:jc w:val="center"/>
              <w:ind w:left="8"/>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37,304,187</w:t>
            </w:r>
          </w:p>
        </w:tc>
      </w:tr>
      <w:tr>
        <w:trPr>
          <w:trHeight w:val="61"/>
        </w:trPr>
        <w:tc>
          <w:tcPr>
            <w:tcW w:w="7100" w:type="dxa"/>
            <w:vAlign w:val="bottom"/>
            <w:tcBorders>
              <w:bottom w:val="single" w:sz="8" w:color="95B3D7"/>
              <w:right w:val="single" w:sz="8" w:color="95B3D7"/>
            </w:tcBorders>
          </w:tcPr>
          <w:p>
            <w:pPr>
              <w:spacing w:after="0"/>
              <w:rPr>
                <w:sz w:val="5"/>
                <w:szCs w:val="5"/>
                <w:color w:val="auto"/>
              </w:rPr>
            </w:pPr>
          </w:p>
        </w:tc>
        <w:tc>
          <w:tcPr>
            <w:tcW w:w="200" w:type="dxa"/>
            <w:vAlign w:val="bottom"/>
            <w:tcBorders>
              <w:bottom w:val="single" w:sz="8" w:color="95B3D7"/>
            </w:tcBorders>
          </w:tcPr>
          <w:p>
            <w:pPr>
              <w:spacing w:after="0"/>
              <w:rPr>
                <w:sz w:val="5"/>
                <w:szCs w:val="5"/>
                <w:color w:val="auto"/>
              </w:rPr>
            </w:pPr>
          </w:p>
        </w:tc>
        <w:tc>
          <w:tcPr>
            <w:tcW w:w="820" w:type="dxa"/>
            <w:vAlign w:val="bottom"/>
            <w:tcBorders>
              <w:top w:val="single" w:sz="8" w:color="auto"/>
              <w:bottom w:val="single" w:sz="8" w:color="95B3D7"/>
            </w:tcBorders>
          </w:tcPr>
          <w:p>
            <w:pPr>
              <w:spacing w:after="0"/>
              <w:rPr>
                <w:sz w:val="5"/>
                <w:szCs w:val="5"/>
                <w:color w:val="auto"/>
              </w:rPr>
            </w:pPr>
          </w:p>
        </w:tc>
        <w:tc>
          <w:tcPr>
            <w:tcW w:w="140" w:type="dxa"/>
            <w:vAlign w:val="bottom"/>
            <w:tcBorders>
              <w:bottom w:val="single" w:sz="8" w:color="95B3D7"/>
              <w:right w:val="single" w:sz="8" w:color="95B3D7"/>
            </w:tcBorders>
          </w:tcPr>
          <w:p>
            <w:pPr>
              <w:spacing w:after="0"/>
              <w:rPr>
                <w:sz w:val="5"/>
                <w:szCs w:val="5"/>
                <w:color w:val="auto"/>
              </w:rPr>
            </w:pPr>
          </w:p>
        </w:tc>
        <w:tc>
          <w:tcPr>
            <w:tcW w:w="200" w:type="dxa"/>
            <w:vAlign w:val="bottom"/>
            <w:tcBorders>
              <w:bottom w:val="single" w:sz="8" w:color="95B3D7"/>
            </w:tcBorders>
          </w:tcPr>
          <w:p>
            <w:pPr>
              <w:spacing w:after="0"/>
              <w:rPr>
                <w:sz w:val="5"/>
                <w:szCs w:val="5"/>
                <w:color w:val="auto"/>
              </w:rPr>
            </w:pPr>
          </w:p>
        </w:tc>
        <w:tc>
          <w:tcPr>
            <w:tcW w:w="800" w:type="dxa"/>
            <w:vAlign w:val="bottom"/>
            <w:tcBorders>
              <w:top w:val="single" w:sz="8" w:color="auto"/>
              <w:bottom w:val="single" w:sz="8" w:color="95B3D7"/>
            </w:tcBorders>
          </w:tcPr>
          <w:p>
            <w:pPr>
              <w:spacing w:after="0"/>
              <w:rPr>
                <w:sz w:val="5"/>
                <w:szCs w:val="5"/>
                <w:color w:val="auto"/>
              </w:rPr>
            </w:pPr>
          </w:p>
        </w:tc>
        <w:tc>
          <w:tcPr>
            <w:tcW w:w="160" w:type="dxa"/>
            <w:vAlign w:val="bottom"/>
            <w:tcBorders>
              <w:bottom w:val="single" w:sz="8" w:color="95B3D7"/>
              <w:right w:val="single" w:sz="8" w:color="95B3D7"/>
            </w:tcBorders>
          </w:tcPr>
          <w:p>
            <w:pPr>
              <w:spacing w:after="0"/>
              <w:rPr>
                <w:sz w:val="5"/>
                <w:szCs w:val="5"/>
                <w:color w:val="auto"/>
              </w:rPr>
            </w:pPr>
          </w:p>
        </w:tc>
        <w:tc>
          <w:tcPr>
            <w:tcW w:w="220" w:type="dxa"/>
            <w:vAlign w:val="bottom"/>
            <w:tcBorders>
              <w:bottom w:val="single" w:sz="8" w:color="95B3D7"/>
            </w:tcBorders>
          </w:tcPr>
          <w:p>
            <w:pPr>
              <w:spacing w:after="0"/>
              <w:rPr>
                <w:sz w:val="5"/>
                <w:szCs w:val="5"/>
                <w:color w:val="auto"/>
              </w:rPr>
            </w:pPr>
          </w:p>
        </w:tc>
        <w:tc>
          <w:tcPr>
            <w:tcW w:w="800" w:type="dxa"/>
            <w:vAlign w:val="bottom"/>
            <w:tcBorders>
              <w:top w:val="single" w:sz="8" w:color="auto"/>
              <w:bottom w:val="single" w:sz="8" w:color="95B3D7"/>
            </w:tcBorders>
          </w:tcPr>
          <w:p>
            <w:pPr>
              <w:spacing w:after="0"/>
              <w:rPr>
                <w:sz w:val="5"/>
                <w:szCs w:val="5"/>
                <w:color w:val="auto"/>
              </w:rPr>
            </w:pPr>
          </w:p>
        </w:tc>
        <w:tc>
          <w:tcPr>
            <w:tcW w:w="140" w:type="dxa"/>
            <w:vAlign w:val="bottom"/>
            <w:tcBorders>
              <w:bottom w:val="single" w:sz="8" w:color="95B3D7"/>
            </w:tcBorders>
          </w:tcPr>
          <w:p>
            <w:pPr>
              <w:spacing w:after="0"/>
              <w:rPr>
                <w:sz w:val="5"/>
                <w:szCs w:val="5"/>
                <w:color w:val="auto"/>
              </w:rPr>
            </w:pPr>
          </w:p>
        </w:tc>
      </w:tr>
    </w:tbl>
    <w:p>
      <w:pPr>
        <w:spacing w:after="0" w:line="234" w:lineRule="exact"/>
        <w:rPr>
          <w:sz w:val="20"/>
          <w:szCs w:val="20"/>
          <w:color w:val="auto"/>
        </w:rPr>
      </w:pPr>
    </w:p>
    <w:p>
      <w:pPr>
        <w:ind w:left="424" w:right="60" w:hanging="424"/>
        <w:spacing w:after="0" w:line="256" w:lineRule="auto"/>
        <w:tabs>
          <w:tab w:leader="none" w:pos="424"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dollar amounts reported in column (d) are the average of the amounts of total compensation reported for the non-PEO NEOs for each corresponding year in the “Total” column of the SCT. For 2023, the Non-PEO NEOs were Thomas Freeman, Dawn Maroney, Hakan Kardes and Hyong (Ken) Kim, M.D. For 2022, the Non-PEO NEOs were Thomas Freeman, Dawn Maroney, Dinesh Kumar and Richard Cross. For 2021, the Non-PEO NEOs were Thomas Freeman, Dawn Maroney, Dinesh Kumar and Rajesh Shrestha.</w:t>
      </w:r>
    </w:p>
    <w:p>
      <w:pPr>
        <w:spacing w:after="0" w:line="204" w:lineRule="exact"/>
        <w:rPr>
          <w:rFonts w:ascii="Arial" w:cs="Arial" w:eastAsia="Arial" w:hAnsi="Arial"/>
          <w:sz w:val="14"/>
          <w:szCs w:val="14"/>
          <w:color w:val="auto"/>
        </w:rPr>
      </w:pPr>
    </w:p>
    <w:p>
      <w:pPr>
        <w:ind w:left="424" w:right="200" w:hanging="424"/>
        <w:spacing w:after="0" w:line="256" w:lineRule="auto"/>
        <w:tabs>
          <w:tab w:leader="none" w:pos="424"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dollar amounts reported in column (e) represent the average amount of CAP to the non-PEO NEOs as a group computed in accordance with Item 402(v) of Regulation S-K. The dollar amounts do not reflect the actual amount of compensation earned by or paid to the Non-PEO NEOs during the applicable year. In accordance with the requirements of Item 402(v) of Regulation S-K, the following adjustments were made to average total compensation for the Non-PEO NEOs for each year to determine the CAP:</w:t>
      </w:r>
    </w:p>
    <w:p>
      <w:pPr>
        <w:spacing w:after="0" w:line="10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4"/>
          </w:cols>
          <w:pgMar w:left="436" w:top="296"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7640" w:type="dxa"/>
            <w:vAlign w:val="bottom"/>
            <w:tcBorders>
              <w:bottom w:val="single" w:sz="8" w:color="95B3D7"/>
            </w:tcBorders>
          </w:tcPr>
          <w:p>
            <w:pPr>
              <w:spacing w:after="0"/>
              <w:rPr>
                <w:sz w:val="14"/>
                <w:szCs w:val="14"/>
                <w:color w:val="auto"/>
              </w:rPr>
            </w:pPr>
          </w:p>
        </w:tc>
        <w:tc>
          <w:tcPr>
            <w:tcW w:w="840" w:type="dxa"/>
            <w:vAlign w:val="bottom"/>
            <w:tcBorders>
              <w:bottom w:val="single" w:sz="8" w:color="95B3D7"/>
            </w:tcBorders>
            <w:gridSpan w:val="2"/>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bottom w:val="single" w:sz="8" w:color="95B3D7"/>
            </w:tcBorders>
          </w:tcPr>
          <w:p>
            <w:pPr>
              <w:spacing w:after="0"/>
              <w:rPr>
                <w:sz w:val="14"/>
                <w:szCs w:val="14"/>
                <w:color w:val="auto"/>
              </w:rPr>
            </w:pPr>
          </w:p>
        </w:tc>
        <w:tc>
          <w:tcPr>
            <w:tcW w:w="840" w:type="dxa"/>
            <w:vAlign w:val="bottom"/>
            <w:tcBorders>
              <w:bottom w:val="single" w:sz="8" w:color="95B3D7"/>
            </w:tcBorders>
            <w:gridSpan w:val="2"/>
          </w:tcPr>
          <w:p>
            <w:pPr>
              <w:jc w:val="right"/>
              <w:ind w:right="88"/>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95B3D7"/>
            </w:tcBorders>
          </w:tcPr>
          <w:p>
            <w:pPr>
              <w:spacing w:after="0"/>
              <w:rPr>
                <w:sz w:val="14"/>
                <w:szCs w:val="14"/>
                <w:color w:val="auto"/>
              </w:rPr>
            </w:pPr>
          </w:p>
        </w:tc>
        <w:tc>
          <w:tcPr>
            <w:tcW w:w="900" w:type="dxa"/>
            <w:vAlign w:val="bottom"/>
            <w:tcBorders>
              <w:bottom w:val="single" w:sz="8" w:color="95B3D7"/>
            </w:tcBorders>
            <w:gridSpan w:val="2"/>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95B3D7"/>
            </w:tcBorders>
          </w:tcPr>
          <w:p>
            <w:pPr>
              <w:spacing w:after="0"/>
              <w:rPr>
                <w:sz w:val="14"/>
                <w:szCs w:val="14"/>
                <w:color w:val="auto"/>
              </w:rPr>
            </w:pPr>
          </w:p>
        </w:tc>
      </w:tr>
      <w:tr>
        <w:trPr>
          <w:trHeight w:val="155"/>
        </w:trPr>
        <w:tc>
          <w:tcPr>
            <w:tcW w:w="7640" w:type="dxa"/>
            <w:vAlign w:val="bottom"/>
            <w:tcBorders>
              <w:bottom w:val="single" w:sz="8" w:color="95B3D7"/>
              <w:right w:val="single" w:sz="8" w:color="95B3D7"/>
            </w:tcBorders>
            <w:shd w:val="clear" w:color="auto" w:fill="DBE5F1"/>
          </w:tcPr>
          <w:p>
            <w:pPr>
              <w:ind w:left="280"/>
              <w:spacing w:after="0" w:line="155" w:lineRule="exact"/>
              <w:rPr>
                <w:sz w:val="20"/>
                <w:szCs w:val="20"/>
                <w:color w:val="auto"/>
              </w:rPr>
            </w:pPr>
            <w:r>
              <w:rPr>
                <w:rFonts w:ascii="Arial" w:cs="Arial" w:eastAsia="Arial" w:hAnsi="Arial"/>
                <w:sz w:val="14"/>
                <w:szCs w:val="14"/>
                <w:color w:val="auto"/>
              </w:rPr>
              <w:t>Average Total Compensation from SCT</w:t>
            </w:r>
          </w:p>
        </w:tc>
        <w:tc>
          <w:tcPr>
            <w:tcW w:w="120" w:type="dxa"/>
            <w:vAlign w:val="bottom"/>
            <w:tcBorders>
              <w:bottom w:val="single" w:sz="8" w:color="95B3D7"/>
            </w:tcBorders>
            <w:shd w:val="clear" w:color="auto" w:fill="DBE5F1"/>
          </w:tcPr>
          <w:p>
            <w:pPr>
              <w:spacing w:after="0"/>
              <w:rPr>
                <w:sz w:val="13"/>
                <w:szCs w:val="13"/>
                <w:color w:val="auto"/>
              </w:rPr>
            </w:pPr>
          </w:p>
        </w:tc>
        <w:tc>
          <w:tcPr>
            <w:tcW w:w="860" w:type="dxa"/>
            <w:vAlign w:val="bottom"/>
            <w:tcBorders>
              <w:bottom w:val="single" w:sz="8" w:color="95B3D7"/>
              <w:right w:val="single" w:sz="8" w:color="95B3D7"/>
            </w:tcBorders>
            <w:gridSpan w:val="2"/>
            <w:shd w:val="clear" w:color="auto" w:fill="DBE5F1"/>
          </w:tcPr>
          <w:p>
            <w:pPr>
              <w:jc w:val="center"/>
              <w:ind w:right="100"/>
              <w:spacing w:after="0" w:line="155" w:lineRule="exact"/>
              <w:rPr>
                <w:sz w:val="20"/>
                <w:szCs w:val="20"/>
                <w:color w:val="auto"/>
              </w:rPr>
            </w:pPr>
            <w:r>
              <w:rPr>
                <w:rFonts w:ascii="Arial" w:cs="Arial" w:eastAsia="Arial" w:hAnsi="Arial"/>
                <w:sz w:val="14"/>
                <w:szCs w:val="14"/>
                <w:color w:val="auto"/>
                <w:w w:val="98"/>
              </w:rPr>
              <w:t>$4,760,449 </w:t>
            </w:r>
          </w:p>
        </w:tc>
        <w:tc>
          <w:tcPr>
            <w:tcW w:w="980" w:type="dxa"/>
            <w:vAlign w:val="bottom"/>
            <w:tcBorders>
              <w:bottom w:val="single" w:sz="8" w:color="95B3D7"/>
              <w:right w:val="single" w:sz="8" w:color="95B3D7"/>
            </w:tcBorders>
            <w:gridSpan w:val="3"/>
            <w:shd w:val="clear" w:color="auto" w:fill="DBE5F1"/>
          </w:tcPr>
          <w:p>
            <w:pPr>
              <w:jc w:val="center"/>
              <w:spacing w:after="0" w:line="155" w:lineRule="exact"/>
              <w:rPr>
                <w:sz w:val="20"/>
                <w:szCs w:val="20"/>
                <w:color w:val="auto"/>
              </w:rPr>
            </w:pPr>
            <w:r>
              <w:rPr>
                <w:rFonts w:ascii="Arial" w:cs="Arial" w:eastAsia="Arial" w:hAnsi="Arial"/>
                <w:sz w:val="14"/>
                <w:szCs w:val="14"/>
                <w:color w:val="auto"/>
                <w:w w:val="98"/>
              </w:rPr>
              <w:t>$7,327,470 </w:t>
            </w:r>
          </w:p>
        </w:tc>
        <w:tc>
          <w:tcPr>
            <w:tcW w:w="980" w:type="dxa"/>
            <w:vAlign w:val="bottom"/>
            <w:tcBorders>
              <w:bottom w:val="single" w:sz="8" w:color="95B3D7"/>
            </w:tcBorders>
            <w:gridSpan w:val="3"/>
            <w:shd w:val="clear" w:color="auto" w:fill="DBE5F1"/>
          </w:tcPr>
          <w:p>
            <w:pPr>
              <w:jc w:val="center"/>
              <w:spacing w:after="0" w:line="155" w:lineRule="exact"/>
              <w:rPr>
                <w:sz w:val="20"/>
                <w:szCs w:val="20"/>
                <w:color w:val="auto"/>
              </w:rPr>
            </w:pPr>
            <w:r>
              <w:rPr>
                <w:rFonts w:ascii="Arial" w:cs="Arial" w:eastAsia="Arial" w:hAnsi="Arial"/>
                <w:sz w:val="14"/>
                <w:szCs w:val="14"/>
                <w:color w:val="auto"/>
              </w:rPr>
              <w:t>$10,891,546</w:t>
            </w:r>
          </w:p>
        </w:tc>
      </w:tr>
      <w:tr>
        <w:trPr>
          <w:trHeight w:val="156"/>
        </w:trPr>
        <w:tc>
          <w:tcPr>
            <w:tcW w:w="7640" w:type="dxa"/>
            <w:vAlign w:val="bottom"/>
            <w:tcBorders>
              <w:bottom w:val="single" w:sz="8" w:color="95B3D7"/>
              <w:right w:val="single" w:sz="8" w:color="95B3D7"/>
            </w:tcBorders>
          </w:tcPr>
          <w:p>
            <w:pPr>
              <w:ind w:left="280"/>
              <w:spacing w:after="0" w:line="155" w:lineRule="exact"/>
              <w:rPr>
                <w:sz w:val="20"/>
                <w:szCs w:val="20"/>
                <w:color w:val="auto"/>
              </w:rPr>
            </w:pPr>
            <w:r>
              <w:rPr>
                <w:rFonts w:ascii="Arial" w:cs="Arial" w:eastAsia="Arial" w:hAnsi="Arial"/>
                <w:sz w:val="14"/>
                <w:szCs w:val="14"/>
                <w:color w:val="auto"/>
              </w:rPr>
              <w:t>Less Average Reported Value of Equity Awards from SCT</w:t>
            </w:r>
          </w:p>
        </w:tc>
        <w:tc>
          <w:tcPr>
            <w:tcW w:w="980" w:type="dxa"/>
            <w:vAlign w:val="bottom"/>
            <w:tcBorders>
              <w:bottom w:val="single" w:sz="8" w:color="95B3D7"/>
              <w:right w:val="single" w:sz="8" w:color="95B3D7"/>
            </w:tcBorders>
            <w:gridSpan w:val="3"/>
          </w:tcPr>
          <w:p>
            <w:pPr>
              <w:jc w:val="center"/>
              <w:spacing w:after="0" w:line="155" w:lineRule="exact"/>
              <w:rPr>
                <w:sz w:val="20"/>
                <w:szCs w:val="20"/>
                <w:color w:val="auto"/>
              </w:rPr>
            </w:pPr>
            <w:r>
              <w:rPr>
                <w:rFonts w:ascii="Arial" w:cs="Arial" w:eastAsia="Arial" w:hAnsi="Arial"/>
                <w:sz w:val="14"/>
                <w:szCs w:val="14"/>
                <w:color w:val="auto"/>
              </w:rPr>
              <w:t xml:space="preserve">($3,786,785) </w:t>
            </w:r>
          </w:p>
        </w:tc>
        <w:tc>
          <w:tcPr>
            <w:tcW w:w="980" w:type="dxa"/>
            <w:vAlign w:val="bottom"/>
            <w:tcBorders>
              <w:bottom w:val="single" w:sz="8" w:color="95B3D7"/>
              <w:right w:val="single" w:sz="8" w:color="95B3D7"/>
            </w:tcBorders>
            <w:gridSpan w:val="3"/>
          </w:tcPr>
          <w:p>
            <w:pPr>
              <w:jc w:val="center"/>
              <w:spacing w:after="0" w:line="155" w:lineRule="exact"/>
              <w:rPr>
                <w:sz w:val="20"/>
                <w:szCs w:val="20"/>
                <w:color w:val="auto"/>
              </w:rPr>
            </w:pPr>
            <w:r>
              <w:rPr>
                <w:rFonts w:ascii="Arial" w:cs="Arial" w:eastAsia="Arial" w:hAnsi="Arial"/>
                <w:sz w:val="14"/>
                <w:szCs w:val="14"/>
                <w:color w:val="auto"/>
              </w:rPr>
              <w:t xml:space="preserve">($6,383,827) </w:t>
            </w:r>
          </w:p>
        </w:tc>
        <w:tc>
          <w:tcPr>
            <w:tcW w:w="980" w:type="dxa"/>
            <w:vAlign w:val="bottom"/>
            <w:tcBorders>
              <w:bottom w:val="single" w:sz="8" w:color="95B3D7"/>
            </w:tcBorders>
            <w:gridSpan w:val="3"/>
          </w:tcPr>
          <w:p>
            <w:pPr>
              <w:jc w:val="center"/>
              <w:spacing w:after="0" w:line="155" w:lineRule="exact"/>
              <w:rPr>
                <w:sz w:val="20"/>
                <w:szCs w:val="20"/>
                <w:color w:val="auto"/>
              </w:rPr>
            </w:pPr>
            <w:r>
              <w:rPr>
                <w:rFonts w:ascii="Arial" w:cs="Arial" w:eastAsia="Arial" w:hAnsi="Arial"/>
                <w:sz w:val="14"/>
                <w:szCs w:val="14"/>
                <w:color w:val="auto"/>
              </w:rPr>
              <w:t>($9,913,214)</w:t>
            </w:r>
          </w:p>
        </w:tc>
      </w:tr>
      <w:tr>
        <w:trPr>
          <w:trHeight w:val="155"/>
        </w:trPr>
        <w:tc>
          <w:tcPr>
            <w:tcW w:w="7640" w:type="dxa"/>
            <w:vAlign w:val="bottom"/>
            <w:tcBorders>
              <w:bottom w:val="single" w:sz="8" w:color="95B3D7"/>
              <w:right w:val="single" w:sz="8" w:color="95B3D7"/>
            </w:tcBorders>
            <w:shd w:val="clear" w:color="auto" w:fill="DBE5F1"/>
          </w:tcPr>
          <w:p>
            <w:pPr>
              <w:ind w:left="280"/>
              <w:spacing w:after="0" w:line="155" w:lineRule="exact"/>
              <w:rPr>
                <w:sz w:val="20"/>
                <w:szCs w:val="20"/>
                <w:color w:val="auto"/>
              </w:rPr>
            </w:pPr>
            <w:r>
              <w:rPr>
                <w:rFonts w:ascii="Arial" w:cs="Arial" w:eastAsia="Arial" w:hAnsi="Arial"/>
                <w:sz w:val="14"/>
                <w:szCs w:val="14"/>
                <w:b w:val="1"/>
                <w:bCs w:val="1"/>
                <w:color w:val="auto"/>
              </w:rPr>
              <w:t>Subtotal</w:t>
            </w:r>
          </w:p>
        </w:tc>
        <w:tc>
          <w:tcPr>
            <w:tcW w:w="120" w:type="dxa"/>
            <w:vAlign w:val="bottom"/>
            <w:tcBorders>
              <w:bottom w:val="single" w:sz="8" w:color="95B3D7"/>
            </w:tcBorders>
            <w:shd w:val="clear" w:color="auto" w:fill="DBE5F1"/>
          </w:tcPr>
          <w:p>
            <w:pPr>
              <w:spacing w:after="0"/>
              <w:rPr>
                <w:sz w:val="13"/>
                <w:szCs w:val="13"/>
                <w:color w:val="auto"/>
              </w:rPr>
            </w:pPr>
          </w:p>
        </w:tc>
        <w:tc>
          <w:tcPr>
            <w:tcW w:w="860" w:type="dxa"/>
            <w:vAlign w:val="bottom"/>
            <w:tcBorders>
              <w:bottom w:val="single" w:sz="8" w:color="95B3D7"/>
              <w:right w:val="single" w:sz="8" w:color="95B3D7"/>
            </w:tcBorders>
            <w:gridSpan w:val="2"/>
            <w:shd w:val="clear" w:color="auto" w:fill="DBE5F1"/>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$973,664 </w:t>
            </w:r>
          </w:p>
        </w:tc>
        <w:tc>
          <w:tcPr>
            <w:tcW w:w="120" w:type="dxa"/>
            <w:vAlign w:val="bottom"/>
            <w:tcBorders>
              <w:bottom w:val="single" w:sz="8" w:color="95B3D7"/>
            </w:tcBorders>
            <w:shd w:val="clear" w:color="auto" w:fill="DBE5F1"/>
          </w:tcPr>
          <w:p>
            <w:pPr>
              <w:spacing w:after="0"/>
              <w:rPr>
                <w:sz w:val="13"/>
                <w:szCs w:val="13"/>
                <w:color w:val="auto"/>
              </w:rPr>
            </w:pPr>
          </w:p>
        </w:tc>
        <w:tc>
          <w:tcPr>
            <w:tcW w:w="860" w:type="dxa"/>
            <w:vAlign w:val="bottom"/>
            <w:tcBorders>
              <w:bottom w:val="single" w:sz="8" w:color="95B3D7"/>
              <w:right w:val="single" w:sz="8" w:color="95B3D7"/>
            </w:tcBorders>
            <w:gridSpan w:val="2"/>
            <w:shd w:val="clear" w:color="auto" w:fill="DBE5F1"/>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$943,643 </w:t>
            </w:r>
          </w:p>
        </w:tc>
        <w:tc>
          <w:tcPr>
            <w:tcW w:w="900" w:type="dxa"/>
            <w:vAlign w:val="bottom"/>
            <w:tcBorders>
              <w:bottom w:val="single" w:sz="8" w:color="95B3D7"/>
            </w:tcBorders>
            <w:gridSpan w:val="2"/>
            <w:shd w:val="clear" w:color="auto" w:fill="DBE5F1"/>
          </w:tcPr>
          <w:p>
            <w:pPr>
              <w:jc w:val="center"/>
              <w:ind w:left="28"/>
              <w:spacing w:after="0" w:line="155" w:lineRule="exact"/>
              <w:rPr>
                <w:sz w:val="20"/>
                <w:szCs w:val="20"/>
                <w:color w:val="auto"/>
              </w:rPr>
            </w:pPr>
            <w:r>
              <w:rPr>
                <w:rFonts w:ascii="Arial" w:cs="Arial" w:eastAsia="Arial" w:hAnsi="Arial"/>
                <w:sz w:val="14"/>
                <w:szCs w:val="14"/>
                <w:b w:val="1"/>
                <w:bCs w:val="1"/>
                <w:color w:val="auto"/>
              </w:rPr>
              <w:t>$978,332</w:t>
            </w:r>
          </w:p>
        </w:tc>
        <w:tc>
          <w:tcPr>
            <w:tcW w:w="80" w:type="dxa"/>
            <w:vAlign w:val="bottom"/>
            <w:tcBorders>
              <w:bottom w:val="single" w:sz="8" w:color="95B3D7"/>
            </w:tcBorders>
            <w:shd w:val="clear" w:color="auto" w:fill="DBE5F1"/>
          </w:tcPr>
          <w:p>
            <w:pPr>
              <w:spacing w:after="0"/>
              <w:rPr>
                <w:sz w:val="13"/>
                <w:szCs w:val="13"/>
                <w:color w:val="auto"/>
              </w:rPr>
            </w:pPr>
          </w:p>
        </w:tc>
      </w:tr>
      <w:tr>
        <w:trPr>
          <w:trHeight w:val="156"/>
        </w:trPr>
        <w:tc>
          <w:tcPr>
            <w:tcW w:w="7640" w:type="dxa"/>
            <w:vAlign w:val="bottom"/>
            <w:tcBorders>
              <w:bottom w:val="single" w:sz="8" w:color="95B3D7"/>
              <w:right w:val="single" w:sz="8" w:color="95B3D7"/>
            </w:tcBorders>
          </w:tcPr>
          <w:p>
            <w:pPr>
              <w:ind w:left="280"/>
              <w:spacing w:after="0" w:line="155" w:lineRule="exact"/>
              <w:rPr>
                <w:sz w:val="20"/>
                <w:szCs w:val="20"/>
                <w:color w:val="auto"/>
              </w:rPr>
            </w:pPr>
            <w:r>
              <w:rPr>
                <w:rFonts w:ascii="Arial" w:cs="Arial" w:eastAsia="Arial" w:hAnsi="Arial"/>
                <w:sz w:val="14"/>
                <w:szCs w:val="14"/>
                <w:i w:val="1"/>
                <w:iCs w:val="1"/>
                <w:color w:val="auto"/>
              </w:rPr>
              <w:t>Average Equity Award Adjustments</w:t>
            </w:r>
          </w:p>
        </w:tc>
        <w:tc>
          <w:tcPr>
            <w:tcW w:w="120" w:type="dxa"/>
            <w:vAlign w:val="bottom"/>
            <w:tcBorders>
              <w:bottom w:val="single" w:sz="8" w:color="95B3D7"/>
            </w:tcBorders>
          </w:tcPr>
          <w:p>
            <w:pPr>
              <w:spacing w:after="0"/>
              <w:rPr>
                <w:sz w:val="13"/>
                <w:szCs w:val="13"/>
                <w:color w:val="auto"/>
              </w:rPr>
            </w:pPr>
          </w:p>
        </w:tc>
        <w:tc>
          <w:tcPr>
            <w:tcW w:w="720" w:type="dxa"/>
            <w:vAlign w:val="bottom"/>
            <w:tcBorders>
              <w:bottom w:val="single" w:sz="8" w:color="95B3D7"/>
            </w:tcBorders>
          </w:tcPr>
          <w:p>
            <w:pPr>
              <w:spacing w:after="0"/>
              <w:rPr>
                <w:sz w:val="13"/>
                <w:szCs w:val="13"/>
                <w:color w:val="auto"/>
              </w:rPr>
            </w:pPr>
          </w:p>
        </w:tc>
        <w:tc>
          <w:tcPr>
            <w:tcW w:w="140" w:type="dxa"/>
            <w:vAlign w:val="bottom"/>
            <w:tcBorders>
              <w:bottom w:val="single" w:sz="8" w:color="95B3D7"/>
              <w:right w:val="single" w:sz="8" w:color="95B3D7"/>
            </w:tcBorders>
          </w:tcPr>
          <w:p>
            <w:pPr>
              <w:spacing w:after="0"/>
              <w:rPr>
                <w:sz w:val="13"/>
                <w:szCs w:val="13"/>
                <w:color w:val="auto"/>
              </w:rPr>
            </w:pPr>
          </w:p>
        </w:tc>
        <w:tc>
          <w:tcPr>
            <w:tcW w:w="120" w:type="dxa"/>
            <w:vAlign w:val="bottom"/>
            <w:tcBorders>
              <w:bottom w:val="single" w:sz="8" w:color="95B3D7"/>
            </w:tcBorders>
          </w:tcPr>
          <w:p>
            <w:pPr>
              <w:spacing w:after="0"/>
              <w:rPr>
                <w:sz w:val="13"/>
                <w:szCs w:val="13"/>
                <w:color w:val="auto"/>
              </w:rPr>
            </w:pPr>
          </w:p>
        </w:tc>
        <w:tc>
          <w:tcPr>
            <w:tcW w:w="720" w:type="dxa"/>
            <w:vAlign w:val="bottom"/>
            <w:tcBorders>
              <w:bottom w:val="single" w:sz="8" w:color="95B3D7"/>
            </w:tcBorders>
          </w:tcPr>
          <w:p>
            <w:pPr>
              <w:spacing w:after="0"/>
              <w:rPr>
                <w:sz w:val="13"/>
                <w:szCs w:val="13"/>
                <w:color w:val="auto"/>
              </w:rPr>
            </w:pPr>
          </w:p>
        </w:tc>
        <w:tc>
          <w:tcPr>
            <w:tcW w:w="140" w:type="dxa"/>
            <w:vAlign w:val="bottom"/>
            <w:tcBorders>
              <w:bottom w:val="single" w:sz="8" w:color="95B3D7"/>
              <w:right w:val="single" w:sz="8" w:color="95B3D7"/>
            </w:tcBorders>
          </w:tcPr>
          <w:p>
            <w:pPr>
              <w:spacing w:after="0"/>
              <w:rPr>
                <w:sz w:val="13"/>
                <w:szCs w:val="13"/>
                <w:color w:val="auto"/>
              </w:rPr>
            </w:pPr>
          </w:p>
        </w:tc>
        <w:tc>
          <w:tcPr>
            <w:tcW w:w="100" w:type="dxa"/>
            <w:vAlign w:val="bottom"/>
            <w:tcBorders>
              <w:bottom w:val="single" w:sz="8" w:color="95B3D7"/>
            </w:tcBorders>
          </w:tcPr>
          <w:p>
            <w:pPr>
              <w:spacing w:after="0"/>
              <w:rPr>
                <w:sz w:val="13"/>
                <w:szCs w:val="13"/>
                <w:color w:val="auto"/>
              </w:rPr>
            </w:pPr>
          </w:p>
        </w:tc>
        <w:tc>
          <w:tcPr>
            <w:tcW w:w="800" w:type="dxa"/>
            <w:vAlign w:val="bottom"/>
            <w:tcBorders>
              <w:bottom w:val="single" w:sz="8" w:color="95B3D7"/>
            </w:tcBorders>
          </w:tcPr>
          <w:p>
            <w:pPr>
              <w:spacing w:after="0"/>
              <w:rPr>
                <w:sz w:val="13"/>
                <w:szCs w:val="13"/>
                <w:color w:val="auto"/>
              </w:rPr>
            </w:pPr>
          </w:p>
        </w:tc>
        <w:tc>
          <w:tcPr>
            <w:tcW w:w="80" w:type="dxa"/>
            <w:vAlign w:val="bottom"/>
            <w:tcBorders>
              <w:bottom w:val="single" w:sz="8" w:color="95B3D7"/>
            </w:tcBorders>
          </w:tcPr>
          <w:p>
            <w:pPr>
              <w:spacing w:after="0"/>
              <w:rPr>
                <w:sz w:val="13"/>
                <w:szCs w:val="13"/>
                <w:color w:val="auto"/>
              </w:rPr>
            </w:pPr>
          </w:p>
        </w:tc>
      </w:tr>
      <w:tr>
        <w:trPr>
          <w:trHeight w:val="146"/>
        </w:trPr>
        <w:tc>
          <w:tcPr>
            <w:tcW w:w="7640" w:type="dxa"/>
            <w:vAlign w:val="bottom"/>
            <w:tcBorders>
              <w:right w:val="single" w:sz="8" w:color="95B3D7"/>
            </w:tcBorders>
            <w:shd w:val="clear" w:color="auto" w:fill="DBE5F1"/>
          </w:tcPr>
          <w:p>
            <w:pPr>
              <w:ind w:left="280"/>
              <w:spacing w:after="0" w:line="147" w:lineRule="exact"/>
              <w:rPr>
                <w:sz w:val="20"/>
                <w:szCs w:val="20"/>
                <w:color w:val="auto"/>
              </w:rPr>
            </w:pPr>
            <w:r>
              <w:rPr>
                <w:rFonts w:ascii="Arial" w:cs="Arial" w:eastAsia="Arial" w:hAnsi="Arial"/>
                <w:sz w:val="14"/>
                <w:szCs w:val="14"/>
                <w:color w:val="auto"/>
              </w:rPr>
              <w:t>Year-end fair value of any equity awards granted in applicable yar that are outstanding and unvested as of the</w:t>
            </w:r>
          </w:p>
        </w:tc>
        <w:tc>
          <w:tcPr>
            <w:tcW w:w="12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140" w:type="dxa"/>
            <w:vAlign w:val="bottom"/>
            <w:tcBorders>
              <w:right w:val="single" w:sz="8" w:color="95B3D7"/>
            </w:tcBorders>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140" w:type="dxa"/>
            <w:vAlign w:val="bottom"/>
            <w:tcBorders>
              <w:right w:val="single" w:sz="8" w:color="95B3D7"/>
            </w:tcBorders>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r>
      <w:tr>
        <w:trPr>
          <w:trHeight w:val="171"/>
        </w:trPr>
        <w:tc>
          <w:tcPr>
            <w:tcW w:w="7640" w:type="dxa"/>
            <w:vAlign w:val="bottom"/>
            <w:tcBorders>
              <w:bottom w:val="single" w:sz="8" w:color="95B3D7"/>
              <w:right w:val="single" w:sz="8" w:color="95B3D7"/>
            </w:tcBorders>
            <w:shd w:val="clear" w:color="auto" w:fill="DBE5F1"/>
          </w:tcPr>
          <w:p>
            <w:pPr>
              <w:ind w:left="280"/>
              <w:spacing w:after="0"/>
              <w:rPr>
                <w:sz w:val="20"/>
                <w:szCs w:val="20"/>
                <w:color w:val="auto"/>
              </w:rPr>
            </w:pPr>
            <w:r>
              <w:rPr>
                <w:rFonts w:ascii="Arial" w:cs="Arial" w:eastAsia="Arial" w:hAnsi="Arial"/>
                <w:sz w:val="14"/>
                <w:szCs w:val="14"/>
                <w:color w:val="auto"/>
              </w:rPr>
              <w:t>end of the year</w:t>
            </w:r>
          </w:p>
        </w:tc>
        <w:tc>
          <w:tcPr>
            <w:tcW w:w="120" w:type="dxa"/>
            <w:vAlign w:val="bottom"/>
            <w:tcBorders>
              <w:bottom w:val="single" w:sz="8" w:color="95B3D7"/>
            </w:tcBorders>
            <w:shd w:val="clear" w:color="auto" w:fill="DBE5F1"/>
          </w:tcPr>
          <w:p>
            <w:pPr>
              <w:spacing w:after="0"/>
              <w:rPr>
                <w:sz w:val="14"/>
                <w:szCs w:val="14"/>
                <w:color w:val="auto"/>
              </w:rPr>
            </w:pPr>
          </w:p>
        </w:tc>
        <w:tc>
          <w:tcPr>
            <w:tcW w:w="860" w:type="dxa"/>
            <w:vAlign w:val="bottom"/>
            <w:tcBorders>
              <w:bottom w:val="single" w:sz="8" w:color="95B3D7"/>
              <w:right w:val="single" w:sz="8" w:color="95B3D7"/>
            </w:tcBorders>
            <w:gridSpan w:val="2"/>
            <w:shd w:val="clear" w:color="auto" w:fill="DBE5F1"/>
          </w:tcPr>
          <w:p>
            <w:pPr>
              <w:jc w:val="center"/>
              <w:ind w:right="100"/>
              <w:spacing w:after="0"/>
              <w:rPr>
                <w:sz w:val="20"/>
                <w:szCs w:val="20"/>
                <w:color w:val="auto"/>
              </w:rPr>
            </w:pPr>
            <w:r>
              <w:rPr>
                <w:rFonts w:ascii="Arial" w:cs="Arial" w:eastAsia="Arial" w:hAnsi="Arial"/>
                <w:sz w:val="14"/>
                <w:szCs w:val="14"/>
                <w:color w:val="auto"/>
                <w:w w:val="98"/>
              </w:rPr>
              <w:t>$4,110,320 </w:t>
            </w:r>
          </w:p>
        </w:tc>
        <w:tc>
          <w:tcPr>
            <w:tcW w:w="980" w:type="dxa"/>
            <w:vAlign w:val="bottom"/>
            <w:tcBorders>
              <w:bottom w:val="single" w:sz="8" w:color="95B3D7"/>
              <w:right w:val="single" w:sz="8" w:color="95B3D7"/>
            </w:tcBorders>
            <w:gridSpan w:val="3"/>
            <w:shd w:val="clear" w:color="auto" w:fill="DBE5F1"/>
          </w:tcPr>
          <w:p>
            <w:pPr>
              <w:jc w:val="center"/>
              <w:spacing w:after="0"/>
              <w:rPr>
                <w:sz w:val="20"/>
                <w:szCs w:val="20"/>
                <w:color w:val="auto"/>
              </w:rPr>
            </w:pPr>
            <w:r>
              <w:rPr>
                <w:rFonts w:ascii="Arial" w:cs="Arial" w:eastAsia="Arial" w:hAnsi="Arial"/>
                <w:sz w:val="14"/>
                <w:szCs w:val="14"/>
                <w:color w:val="auto"/>
                <w:w w:val="98"/>
              </w:rPr>
              <w:t>$5,881,206 </w:t>
            </w:r>
          </w:p>
        </w:tc>
        <w:tc>
          <w:tcPr>
            <w:tcW w:w="900" w:type="dxa"/>
            <w:vAlign w:val="bottom"/>
            <w:tcBorders>
              <w:bottom w:val="single" w:sz="8" w:color="95B3D7"/>
            </w:tcBorders>
            <w:gridSpan w:val="2"/>
            <w:shd w:val="clear" w:color="auto" w:fill="DBE5F1"/>
          </w:tcPr>
          <w:p>
            <w:pPr>
              <w:jc w:val="center"/>
              <w:ind w:left="28"/>
              <w:spacing w:after="0"/>
              <w:rPr>
                <w:sz w:val="20"/>
                <w:szCs w:val="20"/>
                <w:color w:val="auto"/>
              </w:rPr>
            </w:pPr>
            <w:r>
              <w:rPr>
                <w:rFonts w:ascii="Arial" w:cs="Arial" w:eastAsia="Arial" w:hAnsi="Arial"/>
                <w:sz w:val="14"/>
                <w:szCs w:val="14"/>
                <w:color w:val="auto"/>
              </w:rPr>
              <w:t>$4,532,610</w:t>
            </w:r>
          </w:p>
        </w:tc>
        <w:tc>
          <w:tcPr>
            <w:tcW w:w="80" w:type="dxa"/>
            <w:vAlign w:val="bottom"/>
            <w:tcBorders>
              <w:bottom w:val="single" w:sz="8" w:color="95B3D7"/>
            </w:tcBorders>
            <w:shd w:val="clear" w:color="auto" w:fill="DBE5F1"/>
          </w:tcPr>
          <w:p>
            <w:pPr>
              <w:spacing w:after="0"/>
              <w:rPr>
                <w:sz w:val="14"/>
                <w:szCs w:val="14"/>
                <w:color w:val="auto"/>
              </w:rPr>
            </w:pPr>
          </w:p>
        </w:tc>
      </w:tr>
      <w:tr>
        <w:trPr>
          <w:trHeight w:val="146"/>
        </w:trPr>
        <w:tc>
          <w:tcPr>
            <w:tcW w:w="7640" w:type="dxa"/>
            <w:vAlign w:val="bottom"/>
            <w:tcBorders>
              <w:right w:val="single" w:sz="8" w:color="95B3D7"/>
            </w:tcBorders>
          </w:tcPr>
          <w:p>
            <w:pPr>
              <w:ind w:left="280"/>
              <w:spacing w:after="0" w:line="147" w:lineRule="exact"/>
              <w:rPr>
                <w:sz w:val="20"/>
                <w:szCs w:val="20"/>
                <w:color w:val="auto"/>
              </w:rPr>
            </w:pPr>
            <w:r>
              <w:rPr>
                <w:rFonts w:ascii="Arial" w:cs="Arial" w:eastAsia="Arial" w:hAnsi="Arial"/>
                <w:sz w:val="14"/>
                <w:szCs w:val="14"/>
                <w:color w:val="auto"/>
              </w:rPr>
              <w:t>The amount of change as of the end of the applicable year (from the end of the prior fiscal year) in fair value of</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95B3D7"/>
            </w:tcBorders>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Borders>
              <w:right w:val="single" w:sz="8" w:color="95B3D7"/>
            </w:tcBorders>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71"/>
        </w:trPr>
        <w:tc>
          <w:tcPr>
            <w:tcW w:w="7640" w:type="dxa"/>
            <w:vAlign w:val="bottom"/>
            <w:tcBorders>
              <w:bottom w:val="single" w:sz="8" w:color="95B3D7"/>
              <w:right w:val="single" w:sz="8" w:color="95B3D7"/>
            </w:tcBorders>
          </w:tcPr>
          <w:p>
            <w:pPr>
              <w:ind w:left="280"/>
              <w:spacing w:after="0"/>
              <w:rPr>
                <w:sz w:val="20"/>
                <w:szCs w:val="20"/>
                <w:color w:val="auto"/>
              </w:rPr>
            </w:pPr>
            <w:r>
              <w:rPr>
                <w:rFonts w:ascii="Arial" w:cs="Arial" w:eastAsia="Arial" w:hAnsi="Arial"/>
                <w:sz w:val="14"/>
                <w:szCs w:val="14"/>
                <w:color w:val="auto"/>
              </w:rPr>
              <w:t>any awards granted in prior years that are outstanding and unvested as of the end of the applicable year</w:t>
            </w:r>
          </w:p>
        </w:tc>
        <w:tc>
          <w:tcPr>
            <w:tcW w:w="980" w:type="dxa"/>
            <w:vAlign w:val="bottom"/>
            <w:tcBorders>
              <w:bottom w:val="single" w:sz="8" w:color="95B3D7"/>
              <w:right w:val="single" w:sz="8" w:color="95B3D7"/>
            </w:tcBorders>
            <w:gridSpan w:val="3"/>
          </w:tcPr>
          <w:p>
            <w:pPr>
              <w:jc w:val="center"/>
              <w:spacing w:after="0"/>
              <w:rPr>
                <w:sz w:val="20"/>
                <w:szCs w:val="20"/>
                <w:color w:val="auto"/>
              </w:rPr>
            </w:pPr>
            <w:r>
              <w:rPr>
                <w:rFonts w:ascii="Arial" w:cs="Arial" w:eastAsia="Arial" w:hAnsi="Arial"/>
                <w:sz w:val="14"/>
                <w:szCs w:val="14"/>
                <w:color w:val="auto"/>
              </w:rPr>
              <w:t xml:space="preserve">($1,755,990) </w:t>
            </w:r>
          </w:p>
        </w:tc>
        <w:tc>
          <w:tcPr>
            <w:tcW w:w="120" w:type="dxa"/>
            <w:vAlign w:val="bottom"/>
            <w:tcBorders>
              <w:bottom w:val="single" w:sz="8" w:color="95B3D7"/>
            </w:tcBorders>
          </w:tcPr>
          <w:p>
            <w:pPr>
              <w:spacing w:after="0"/>
              <w:rPr>
                <w:sz w:val="14"/>
                <w:szCs w:val="14"/>
                <w:color w:val="auto"/>
              </w:rPr>
            </w:pPr>
          </w:p>
        </w:tc>
        <w:tc>
          <w:tcPr>
            <w:tcW w:w="860" w:type="dxa"/>
            <w:vAlign w:val="bottom"/>
            <w:tcBorders>
              <w:bottom w:val="single" w:sz="8" w:color="95B3D7"/>
              <w:right w:val="single" w:sz="8" w:color="95B3D7"/>
            </w:tcBorders>
            <w:gridSpan w:val="2"/>
          </w:tcPr>
          <w:p>
            <w:pPr>
              <w:jc w:val="center"/>
              <w:ind w:right="80"/>
              <w:spacing w:after="0"/>
              <w:rPr>
                <w:sz w:val="20"/>
                <w:szCs w:val="20"/>
                <w:color w:val="auto"/>
              </w:rPr>
            </w:pPr>
            <w:r>
              <w:rPr>
                <w:rFonts w:ascii="Arial" w:cs="Arial" w:eastAsia="Arial" w:hAnsi="Arial"/>
                <w:sz w:val="14"/>
                <w:szCs w:val="14"/>
                <w:color w:val="auto"/>
              </w:rPr>
              <w:t xml:space="preserve">($551,977) </w:t>
            </w:r>
          </w:p>
        </w:tc>
        <w:tc>
          <w:tcPr>
            <w:tcW w:w="900" w:type="dxa"/>
            <w:vAlign w:val="bottom"/>
            <w:tcBorders>
              <w:bottom w:val="single" w:sz="8" w:color="95B3D7"/>
            </w:tcBorders>
            <w:gridSpan w:val="2"/>
          </w:tcPr>
          <w:p>
            <w:pPr>
              <w:jc w:val="center"/>
              <w:ind w:left="28"/>
              <w:spacing w:after="0"/>
              <w:rPr>
                <w:sz w:val="20"/>
                <w:szCs w:val="20"/>
                <w:color w:val="auto"/>
              </w:rPr>
            </w:pPr>
            <w:r>
              <w:rPr>
                <w:rFonts w:ascii="Arial" w:cs="Arial" w:eastAsia="Arial" w:hAnsi="Arial"/>
                <w:sz w:val="14"/>
                <w:szCs w:val="14"/>
                <w:color w:val="auto"/>
              </w:rPr>
              <w:t>$2,876,585</w:t>
            </w:r>
          </w:p>
        </w:tc>
        <w:tc>
          <w:tcPr>
            <w:tcW w:w="80" w:type="dxa"/>
            <w:vAlign w:val="bottom"/>
            <w:tcBorders>
              <w:bottom w:val="single" w:sz="8" w:color="95B3D7"/>
            </w:tcBorders>
          </w:tcPr>
          <w:p>
            <w:pPr>
              <w:spacing w:after="0"/>
              <w:rPr>
                <w:sz w:val="14"/>
                <w:szCs w:val="14"/>
                <w:color w:val="auto"/>
              </w:rPr>
            </w:pPr>
          </w:p>
        </w:tc>
      </w:tr>
      <w:tr>
        <w:trPr>
          <w:trHeight w:val="146"/>
        </w:trPr>
        <w:tc>
          <w:tcPr>
            <w:tcW w:w="7640" w:type="dxa"/>
            <w:vAlign w:val="bottom"/>
            <w:tcBorders>
              <w:right w:val="single" w:sz="8" w:color="95B3D7"/>
            </w:tcBorders>
            <w:shd w:val="clear" w:color="auto" w:fill="DBE5F1"/>
          </w:tcPr>
          <w:p>
            <w:pPr>
              <w:ind w:left="280"/>
              <w:spacing w:after="0" w:line="147" w:lineRule="exact"/>
              <w:rPr>
                <w:sz w:val="20"/>
                <w:szCs w:val="20"/>
                <w:color w:val="auto"/>
              </w:rPr>
            </w:pPr>
            <w:r>
              <w:rPr>
                <w:rFonts w:ascii="Arial" w:cs="Arial" w:eastAsia="Arial" w:hAnsi="Arial"/>
                <w:sz w:val="14"/>
                <w:szCs w:val="14"/>
                <w:color w:val="auto"/>
              </w:rPr>
              <w:t>For awards granted in prior years that vest in the applicable year, the amount equal to the change as of the</w:t>
            </w:r>
          </w:p>
        </w:tc>
        <w:tc>
          <w:tcPr>
            <w:tcW w:w="12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140" w:type="dxa"/>
            <w:vAlign w:val="bottom"/>
            <w:tcBorders>
              <w:right w:val="single" w:sz="8" w:color="95B3D7"/>
            </w:tcBorders>
            <w:shd w:val="clear" w:color="auto" w:fill="DBE5F1"/>
          </w:tcPr>
          <w:p>
            <w:pPr>
              <w:spacing w:after="0"/>
              <w:rPr>
                <w:sz w:val="12"/>
                <w:szCs w:val="12"/>
                <w:color w:val="auto"/>
              </w:rPr>
            </w:pPr>
          </w:p>
        </w:tc>
        <w:tc>
          <w:tcPr>
            <w:tcW w:w="120" w:type="dxa"/>
            <w:vAlign w:val="bottom"/>
            <w:shd w:val="clear" w:color="auto" w:fill="DBE5F1"/>
          </w:tcPr>
          <w:p>
            <w:pPr>
              <w:spacing w:after="0"/>
              <w:rPr>
                <w:sz w:val="12"/>
                <w:szCs w:val="12"/>
                <w:color w:val="auto"/>
              </w:rPr>
            </w:pPr>
          </w:p>
        </w:tc>
        <w:tc>
          <w:tcPr>
            <w:tcW w:w="720" w:type="dxa"/>
            <w:vAlign w:val="bottom"/>
            <w:shd w:val="clear" w:color="auto" w:fill="DBE5F1"/>
          </w:tcPr>
          <w:p>
            <w:pPr>
              <w:spacing w:after="0"/>
              <w:rPr>
                <w:sz w:val="12"/>
                <w:szCs w:val="12"/>
                <w:color w:val="auto"/>
              </w:rPr>
            </w:pPr>
          </w:p>
        </w:tc>
        <w:tc>
          <w:tcPr>
            <w:tcW w:w="140" w:type="dxa"/>
            <w:vAlign w:val="bottom"/>
            <w:tcBorders>
              <w:right w:val="single" w:sz="8" w:color="95B3D7"/>
            </w:tcBorders>
            <w:shd w:val="clear" w:color="auto" w:fill="DBE5F1"/>
          </w:tcPr>
          <w:p>
            <w:pPr>
              <w:spacing w:after="0"/>
              <w:rPr>
                <w:sz w:val="12"/>
                <w:szCs w:val="12"/>
                <w:color w:val="auto"/>
              </w:rPr>
            </w:pPr>
          </w:p>
        </w:tc>
        <w:tc>
          <w:tcPr>
            <w:tcW w:w="100" w:type="dxa"/>
            <w:vAlign w:val="bottom"/>
            <w:shd w:val="clear" w:color="auto" w:fill="DBE5F1"/>
          </w:tcPr>
          <w:p>
            <w:pPr>
              <w:spacing w:after="0"/>
              <w:rPr>
                <w:sz w:val="12"/>
                <w:szCs w:val="12"/>
                <w:color w:val="auto"/>
              </w:rPr>
            </w:pPr>
          </w:p>
        </w:tc>
        <w:tc>
          <w:tcPr>
            <w:tcW w:w="800" w:type="dxa"/>
            <w:vAlign w:val="bottom"/>
            <w:shd w:val="clear" w:color="auto" w:fill="DBE5F1"/>
          </w:tcPr>
          <w:p>
            <w:pPr>
              <w:spacing w:after="0"/>
              <w:rPr>
                <w:sz w:val="12"/>
                <w:szCs w:val="12"/>
                <w:color w:val="auto"/>
              </w:rPr>
            </w:pPr>
          </w:p>
        </w:tc>
        <w:tc>
          <w:tcPr>
            <w:tcW w:w="80" w:type="dxa"/>
            <w:vAlign w:val="bottom"/>
            <w:shd w:val="clear" w:color="auto" w:fill="DBE5F1"/>
          </w:tcPr>
          <w:p>
            <w:pPr>
              <w:spacing w:after="0"/>
              <w:rPr>
                <w:sz w:val="12"/>
                <w:szCs w:val="12"/>
                <w:color w:val="auto"/>
              </w:rPr>
            </w:pPr>
          </w:p>
        </w:tc>
      </w:tr>
      <w:tr>
        <w:trPr>
          <w:trHeight w:val="171"/>
        </w:trPr>
        <w:tc>
          <w:tcPr>
            <w:tcW w:w="7640" w:type="dxa"/>
            <w:vAlign w:val="bottom"/>
            <w:tcBorders>
              <w:bottom w:val="single" w:sz="8" w:color="95B3D7"/>
              <w:right w:val="single" w:sz="8" w:color="95B3D7"/>
            </w:tcBorders>
            <w:shd w:val="clear" w:color="auto" w:fill="DBE5F1"/>
          </w:tcPr>
          <w:p>
            <w:pPr>
              <w:ind w:left="280"/>
              <w:spacing w:after="0"/>
              <w:rPr>
                <w:sz w:val="20"/>
                <w:szCs w:val="20"/>
                <w:color w:val="auto"/>
              </w:rPr>
            </w:pPr>
            <w:r>
              <w:rPr>
                <w:rFonts w:ascii="Arial" w:cs="Arial" w:eastAsia="Arial" w:hAnsi="Arial"/>
                <w:sz w:val="14"/>
                <w:szCs w:val="14"/>
                <w:color w:val="auto"/>
              </w:rPr>
              <w:t>vesting date (from the end of the prior fiscal year) in fair value</w:t>
            </w:r>
          </w:p>
        </w:tc>
        <w:tc>
          <w:tcPr>
            <w:tcW w:w="980" w:type="dxa"/>
            <w:vAlign w:val="bottom"/>
            <w:tcBorders>
              <w:bottom w:val="single" w:sz="8" w:color="95B3D7"/>
              <w:right w:val="single" w:sz="8" w:color="95B3D7"/>
            </w:tcBorders>
            <w:gridSpan w:val="3"/>
            <w:shd w:val="clear" w:color="auto" w:fill="DBE5F1"/>
          </w:tcPr>
          <w:p>
            <w:pPr>
              <w:jc w:val="center"/>
              <w:spacing w:after="0"/>
              <w:rPr>
                <w:sz w:val="20"/>
                <w:szCs w:val="20"/>
                <w:color w:val="auto"/>
              </w:rPr>
            </w:pPr>
            <w:r>
              <w:rPr>
                <w:rFonts w:ascii="Arial" w:cs="Arial" w:eastAsia="Arial" w:hAnsi="Arial"/>
                <w:sz w:val="14"/>
                <w:szCs w:val="14"/>
                <w:color w:val="auto"/>
              </w:rPr>
              <w:t xml:space="preserve">($1,558,171) </w:t>
            </w:r>
          </w:p>
        </w:tc>
        <w:tc>
          <w:tcPr>
            <w:tcW w:w="120" w:type="dxa"/>
            <w:vAlign w:val="bottom"/>
            <w:tcBorders>
              <w:bottom w:val="single" w:sz="8" w:color="95B3D7"/>
            </w:tcBorders>
            <w:shd w:val="clear" w:color="auto" w:fill="DBE5F1"/>
          </w:tcPr>
          <w:p>
            <w:pPr>
              <w:spacing w:after="0"/>
              <w:rPr>
                <w:sz w:val="14"/>
                <w:szCs w:val="14"/>
                <w:color w:val="auto"/>
              </w:rPr>
            </w:pPr>
          </w:p>
        </w:tc>
        <w:tc>
          <w:tcPr>
            <w:tcW w:w="860" w:type="dxa"/>
            <w:vAlign w:val="bottom"/>
            <w:tcBorders>
              <w:bottom w:val="single" w:sz="8" w:color="95B3D7"/>
              <w:right w:val="single" w:sz="8" w:color="95B3D7"/>
            </w:tcBorders>
            <w:gridSpan w:val="2"/>
            <w:shd w:val="clear" w:color="auto" w:fill="DBE5F1"/>
          </w:tcPr>
          <w:p>
            <w:pPr>
              <w:jc w:val="center"/>
              <w:ind w:right="100"/>
              <w:spacing w:after="0"/>
              <w:rPr>
                <w:sz w:val="20"/>
                <w:szCs w:val="20"/>
                <w:color w:val="auto"/>
              </w:rPr>
            </w:pPr>
            <w:r>
              <w:rPr>
                <w:rFonts w:ascii="Arial" w:cs="Arial" w:eastAsia="Arial" w:hAnsi="Arial"/>
                <w:sz w:val="14"/>
                <w:szCs w:val="14"/>
                <w:color w:val="auto"/>
              </w:rPr>
              <w:t xml:space="preserve">($611,093) </w:t>
            </w:r>
          </w:p>
        </w:tc>
        <w:tc>
          <w:tcPr>
            <w:tcW w:w="900" w:type="dxa"/>
            <w:vAlign w:val="bottom"/>
            <w:tcBorders>
              <w:bottom w:val="single" w:sz="8" w:color="95B3D7"/>
            </w:tcBorders>
            <w:gridSpan w:val="2"/>
            <w:shd w:val="clear" w:color="auto" w:fill="DBE5F1"/>
          </w:tcPr>
          <w:p>
            <w:pPr>
              <w:jc w:val="center"/>
              <w:ind w:left="28"/>
              <w:spacing w:after="0"/>
              <w:rPr>
                <w:sz w:val="20"/>
                <w:szCs w:val="20"/>
                <w:color w:val="auto"/>
              </w:rPr>
            </w:pPr>
            <w:r>
              <w:rPr>
                <w:rFonts w:ascii="Arial" w:cs="Arial" w:eastAsia="Arial" w:hAnsi="Arial"/>
                <w:sz w:val="14"/>
                <w:szCs w:val="14"/>
                <w:color w:val="auto"/>
              </w:rPr>
              <w:t>$1,665,717</w:t>
            </w:r>
          </w:p>
        </w:tc>
        <w:tc>
          <w:tcPr>
            <w:tcW w:w="80" w:type="dxa"/>
            <w:vAlign w:val="bottom"/>
            <w:tcBorders>
              <w:bottom w:val="single" w:sz="8" w:color="95B3D7"/>
            </w:tcBorders>
            <w:shd w:val="clear" w:color="auto" w:fill="DBE5F1"/>
          </w:tcPr>
          <w:p>
            <w:pPr>
              <w:spacing w:after="0"/>
              <w:rPr>
                <w:sz w:val="14"/>
                <w:szCs w:val="14"/>
                <w:color w:val="auto"/>
              </w:rPr>
            </w:pPr>
          </w:p>
        </w:tc>
      </w:tr>
      <w:tr>
        <w:trPr>
          <w:trHeight w:val="156"/>
        </w:trPr>
        <w:tc>
          <w:tcPr>
            <w:tcW w:w="7640" w:type="dxa"/>
            <w:vAlign w:val="bottom"/>
            <w:tcBorders>
              <w:bottom w:val="single" w:sz="8" w:color="95B3D7"/>
              <w:right w:val="single" w:sz="8" w:color="95B3D7"/>
            </w:tcBorders>
          </w:tcPr>
          <w:p>
            <w:pPr>
              <w:ind w:left="280"/>
              <w:spacing w:after="0" w:line="155" w:lineRule="exact"/>
              <w:rPr>
                <w:sz w:val="20"/>
                <w:szCs w:val="20"/>
                <w:color w:val="auto"/>
              </w:rPr>
            </w:pPr>
            <w:r>
              <w:rPr>
                <w:rFonts w:ascii="Arial" w:cs="Arial" w:eastAsia="Arial" w:hAnsi="Arial"/>
                <w:sz w:val="14"/>
                <w:szCs w:val="14"/>
                <w:b w:val="1"/>
                <w:bCs w:val="1"/>
                <w:color w:val="auto"/>
              </w:rPr>
              <w:t>Total Net Adjustment to Subtotal</w:t>
            </w:r>
          </w:p>
        </w:tc>
        <w:tc>
          <w:tcPr>
            <w:tcW w:w="120" w:type="dxa"/>
            <w:vAlign w:val="bottom"/>
            <w:tcBorders>
              <w:bottom w:val="single" w:sz="8" w:color="95B3D7"/>
            </w:tcBorders>
          </w:tcPr>
          <w:p>
            <w:pPr>
              <w:spacing w:after="0"/>
              <w:rPr>
                <w:sz w:val="13"/>
                <w:szCs w:val="13"/>
                <w:color w:val="auto"/>
              </w:rPr>
            </w:pPr>
          </w:p>
        </w:tc>
        <w:tc>
          <w:tcPr>
            <w:tcW w:w="860" w:type="dxa"/>
            <w:vAlign w:val="bottom"/>
            <w:tcBorders>
              <w:bottom w:val="single" w:sz="8" w:color="95B3D7"/>
              <w:right w:val="single" w:sz="8" w:color="95B3D7"/>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7"/>
              </w:rPr>
              <w:t>$796,159 </w:t>
            </w:r>
          </w:p>
        </w:tc>
        <w:tc>
          <w:tcPr>
            <w:tcW w:w="980" w:type="dxa"/>
            <w:vAlign w:val="bottom"/>
            <w:tcBorders>
              <w:bottom w:val="single" w:sz="8" w:color="95B3D7"/>
              <w:right w:val="single" w:sz="8" w:color="95B3D7"/>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8"/>
              </w:rPr>
              <w:t>$4,718,136 </w:t>
            </w:r>
          </w:p>
        </w:tc>
        <w:tc>
          <w:tcPr>
            <w:tcW w:w="900" w:type="dxa"/>
            <w:vAlign w:val="bottom"/>
            <w:tcBorders>
              <w:bottom w:val="single" w:sz="8" w:color="95B3D7"/>
            </w:tcBorders>
            <w:gridSpan w:val="2"/>
          </w:tcPr>
          <w:p>
            <w:pPr>
              <w:jc w:val="center"/>
              <w:ind w:left="28"/>
              <w:spacing w:after="0" w:line="155" w:lineRule="exact"/>
              <w:rPr>
                <w:sz w:val="20"/>
                <w:szCs w:val="20"/>
                <w:color w:val="auto"/>
              </w:rPr>
            </w:pPr>
            <w:r>
              <w:rPr>
                <w:rFonts w:ascii="Arial" w:cs="Arial" w:eastAsia="Arial" w:hAnsi="Arial"/>
                <w:sz w:val="14"/>
                <w:szCs w:val="14"/>
                <w:b w:val="1"/>
                <w:bCs w:val="1"/>
                <w:color w:val="auto"/>
              </w:rPr>
              <w:t>$9,074,912</w:t>
            </w:r>
          </w:p>
        </w:tc>
        <w:tc>
          <w:tcPr>
            <w:tcW w:w="80" w:type="dxa"/>
            <w:vAlign w:val="bottom"/>
            <w:tcBorders>
              <w:bottom w:val="single" w:sz="8" w:color="95B3D7"/>
            </w:tcBorders>
          </w:tcPr>
          <w:p>
            <w:pPr>
              <w:spacing w:after="0"/>
              <w:rPr>
                <w:sz w:val="13"/>
                <w:szCs w:val="13"/>
                <w:color w:val="auto"/>
              </w:rPr>
            </w:pPr>
          </w:p>
        </w:tc>
      </w:tr>
      <w:tr>
        <w:trPr>
          <w:trHeight w:val="142"/>
        </w:trPr>
        <w:tc>
          <w:tcPr>
            <w:tcW w:w="7640" w:type="dxa"/>
            <w:vAlign w:val="bottom"/>
            <w:tcBorders>
              <w:right w:val="single" w:sz="8" w:color="95B3D7"/>
            </w:tcBorders>
            <w:shd w:val="clear" w:color="auto" w:fill="DBE5F1"/>
          </w:tcPr>
          <w:p>
            <w:pPr>
              <w:ind w:left="280"/>
              <w:spacing w:after="0" w:line="142" w:lineRule="exact"/>
              <w:rPr>
                <w:sz w:val="20"/>
                <w:szCs w:val="20"/>
                <w:color w:val="auto"/>
              </w:rPr>
            </w:pPr>
            <w:r>
              <w:rPr>
                <w:rFonts w:ascii="Arial" w:cs="Arial" w:eastAsia="Arial" w:hAnsi="Arial"/>
                <w:sz w:val="14"/>
                <w:szCs w:val="14"/>
                <w:b w:val="1"/>
                <w:bCs w:val="1"/>
                <w:color w:val="auto"/>
              </w:rPr>
              <w:t>Compensation Actually Paid</w:t>
            </w:r>
          </w:p>
        </w:tc>
        <w:tc>
          <w:tcPr>
            <w:tcW w:w="120" w:type="dxa"/>
            <w:vAlign w:val="bottom"/>
            <w:shd w:val="clear" w:color="auto" w:fill="DBE5F1"/>
          </w:tcPr>
          <w:p>
            <w:pPr>
              <w:spacing w:after="0"/>
              <w:rPr>
                <w:sz w:val="12"/>
                <w:szCs w:val="12"/>
                <w:color w:val="auto"/>
              </w:rPr>
            </w:pPr>
          </w:p>
        </w:tc>
        <w:tc>
          <w:tcPr>
            <w:tcW w:w="860" w:type="dxa"/>
            <w:vAlign w:val="bottom"/>
            <w:tcBorders>
              <w:right w:val="single" w:sz="8" w:color="95B3D7"/>
            </w:tcBorders>
            <w:gridSpan w:val="2"/>
            <w:shd w:val="clear" w:color="auto" w:fill="DBE5F1"/>
          </w:tcPr>
          <w:p>
            <w:pPr>
              <w:jc w:val="center"/>
              <w:ind w:right="100"/>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1,769,823 </w:t>
            </w:r>
          </w:p>
        </w:tc>
        <w:tc>
          <w:tcPr>
            <w:tcW w:w="980" w:type="dxa"/>
            <w:vAlign w:val="bottom"/>
            <w:tcBorders>
              <w:right w:val="single" w:sz="8" w:color="95B3D7"/>
            </w:tcBorders>
            <w:gridSpan w:val="3"/>
            <w:shd w:val="clear" w:color="auto" w:fill="DBE5F1"/>
          </w:tcPr>
          <w:p>
            <w:pPr>
              <w:jc w:val="center"/>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5,661,779 </w:t>
            </w:r>
          </w:p>
        </w:tc>
        <w:tc>
          <w:tcPr>
            <w:tcW w:w="980" w:type="dxa"/>
            <w:vAlign w:val="bottom"/>
            <w:gridSpan w:val="3"/>
            <w:shd w:val="clear" w:color="auto" w:fill="DBE5F1"/>
          </w:tcPr>
          <w:p>
            <w:pPr>
              <w:jc w:val="center"/>
              <w:spacing w:after="0" w:line="142"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10,053,244</w:t>
            </w:r>
          </w:p>
        </w:tc>
      </w:tr>
      <w:tr>
        <w:trPr>
          <w:trHeight w:val="61"/>
        </w:trPr>
        <w:tc>
          <w:tcPr>
            <w:tcW w:w="7640" w:type="dxa"/>
            <w:vAlign w:val="bottom"/>
            <w:tcBorders>
              <w:top w:val="single" w:sz="8" w:color="DBE5F1"/>
              <w:bottom w:val="single" w:sz="8" w:color="95B3D7"/>
              <w:right w:val="single" w:sz="8" w:color="95B3D7"/>
            </w:tcBorders>
            <w:shd w:val="clear" w:color="auto" w:fill="DBE5F1"/>
          </w:tcPr>
          <w:p>
            <w:pPr>
              <w:spacing w:after="0"/>
              <w:rPr>
                <w:sz w:val="5"/>
                <w:szCs w:val="5"/>
                <w:color w:val="auto"/>
              </w:rPr>
            </w:pPr>
          </w:p>
        </w:tc>
        <w:tc>
          <w:tcPr>
            <w:tcW w:w="120" w:type="dxa"/>
            <w:vAlign w:val="bottom"/>
            <w:tcBorders>
              <w:top w:val="single" w:sz="8" w:color="DBE5F1"/>
              <w:bottom w:val="single" w:sz="8" w:color="95B3D7"/>
            </w:tcBorders>
            <w:shd w:val="clear" w:color="auto" w:fill="DBE5F1"/>
          </w:tcPr>
          <w:p>
            <w:pPr>
              <w:spacing w:after="0"/>
              <w:rPr>
                <w:sz w:val="5"/>
                <w:szCs w:val="5"/>
                <w:color w:val="auto"/>
              </w:rPr>
            </w:pPr>
          </w:p>
        </w:tc>
        <w:tc>
          <w:tcPr>
            <w:tcW w:w="720" w:type="dxa"/>
            <w:vAlign w:val="bottom"/>
            <w:tcBorders>
              <w:top w:val="single" w:sz="8" w:color="auto"/>
              <w:bottom w:val="single" w:sz="8" w:color="95B3D7"/>
            </w:tcBorders>
            <w:shd w:val="clear" w:color="auto" w:fill="DBE5F1"/>
          </w:tcPr>
          <w:p>
            <w:pPr>
              <w:spacing w:after="0"/>
              <w:rPr>
                <w:sz w:val="5"/>
                <w:szCs w:val="5"/>
                <w:color w:val="auto"/>
              </w:rPr>
            </w:pPr>
          </w:p>
        </w:tc>
        <w:tc>
          <w:tcPr>
            <w:tcW w:w="140" w:type="dxa"/>
            <w:vAlign w:val="bottom"/>
            <w:tcBorders>
              <w:top w:val="single" w:sz="8" w:color="DBE5F1"/>
              <w:bottom w:val="single" w:sz="8" w:color="95B3D7"/>
              <w:right w:val="single" w:sz="8" w:color="95B3D7"/>
            </w:tcBorders>
            <w:shd w:val="clear" w:color="auto" w:fill="DBE5F1"/>
          </w:tcPr>
          <w:p>
            <w:pPr>
              <w:spacing w:after="0"/>
              <w:rPr>
                <w:sz w:val="5"/>
                <w:szCs w:val="5"/>
                <w:color w:val="auto"/>
              </w:rPr>
            </w:pPr>
          </w:p>
        </w:tc>
        <w:tc>
          <w:tcPr>
            <w:tcW w:w="120" w:type="dxa"/>
            <w:vAlign w:val="bottom"/>
            <w:tcBorders>
              <w:top w:val="single" w:sz="8" w:color="DBE5F1"/>
              <w:bottom w:val="single" w:sz="8" w:color="95B3D7"/>
            </w:tcBorders>
            <w:shd w:val="clear" w:color="auto" w:fill="DBE5F1"/>
          </w:tcPr>
          <w:p>
            <w:pPr>
              <w:spacing w:after="0"/>
              <w:rPr>
                <w:sz w:val="5"/>
                <w:szCs w:val="5"/>
                <w:color w:val="auto"/>
              </w:rPr>
            </w:pPr>
          </w:p>
        </w:tc>
        <w:tc>
          <w:tcPr>
            <w:tcW w:w="720" w:type="dxa"/>
            <w:vAlign w:val="bottom"/>
            <w:tcBorders>
              <w:top w:val="single" w:sz="8" w:color="auto"/>
              <w:bottom w:val="single" w:sz="8" w:color="95B3D7"/>
            </w:tcBorders>
            <w:shd w:val="clear" w:color="auto" w:fill="DBE5F1"/>
          </w:tcPr>
          <w:p>
            <w:pPr>
              <w:spacing w:after="0"/>
              <w:rPr>
                <w:sz w:val="5"/>
                <w:szCs w:val="5"/>
                <w:color w:val="auto"/>
              </w:rPr>
            </w:pPr>
          </w:p>
        </w:tc>
        <w:tc>
          <w:tcPr>
            <w:tcW w:w="140" w:type="dxa"/>
            <w:vAlign w:val="bottom"/>
            <w:tcBorders>
              <w:top w:val="single" w:sz="8" w:color="DBE5F1"/>
              <w:bottom w:val="single" w:sz="8" w:color="95B3D7"/>
              <w:right w:val="single" w:sz="8" w:color="95B3D7"/>
            </w:tcBorders>
            <w:shd w:val="clear" w:color="auto" w:fill="DBE5F1"/>
          </w:tcPr>
          <w:p>
            <w:pPr>
              <w:spacing w:after="0"/>
              <w:rPr>
                <w:sz w:val="5"/>
                <w:szCs w:val="5"/>
                <w:color w:val="auto"/>
              </w:rPr>
            </w:pPr>
          </w:p>
        </w:tc>
        <w:tc>
          <w:tcPr>
            <w:tcW w:w="100" w:type="dxa"/>
            <w:vAlign w:val="bottom"/>
            <w:tcBorders>
              <w:top w:val="single" w:sz="8" w:color="DBE5F1"/>
              <w:bottom w:val="single" w:sz="8" w:color="95B3D7"/>
            </w:tcBorders>
            <w:shd w:val="clear" w:color="auto" w:fill="DBE5F1"/>
          </w:tcPr>
          <w:p>
            <w:pPr>
              <w:spacing w:after="0"/>
              <w:rPr>
                <w:sz w:val="5"/>
                <w:szCs w:val="5"/>
                <w:color w:val="auto"/>
              </w:rPr>
            </w:pPr>
          </w:p>
        </w:tc>
        <w:tc>
          <w:tcPr>
            <w:tcW w:w="800" w:type="dxa"/>
            <w:vAlign w:val="bottom"/>
            <w:tcBorders>
              <w:top w:val="single" w:sz="8" w:color="auto"/>
              <w:bottom w:val="single" w:sz="8" w:color="95B3D7"/>
            </w:tcBorders>
            <w:shd w:val="clear" w:color="auto" w:fill="DBE5F1"/>
          </w:tcPr>
          <w:p>
            <w:pPr>
              <w:spacing w:after="0"/>
              <w:rPr>
                <w:sz w:val="5"/>
                <w:szCs w:val="5"/>
                <w:color w:val="auto"/>
              </w:rPr>
            </w:pPr>
          </w:p>
        </w:tc>
        <w:tc>
          <w:tcPr>
            <w:tcW w:w="80" w:type="dxa"/>
            <w:vAlign w:val="bottom"/>
            <w:tcBorders>
              <w:top w:val="single" w:sz="8" w:color="DBE5F1"/>
              <w:bottom w:val="single" w:sz="8" w:color="95B3D7"/>
            </w:tcBorders>
            <w:shd w:val="clear" w:color="auto" w:fill="DBE5F1"/>
          </w:tcPr>
          <w:p>
            <w:pPr>
              <w:spacing w:after="0"/>
              <w:rPr>
                <w:sz w:val="5"/>
                <w:szCs w:val="5"/>
                <w:color w:val="auto"/>
              </w:rPr>
            </w:pPr>
          </w:p>
        </w:tc>
      </w:tr>
    </w:tbl>
    <w:p>
      <w:pPr>
        <w:spacing w:after="0" w:line="112" w:lineRule="exact"/>
        <w:rPr>
          <w:sz w:val="20"/>
          <w:szCs w:val="20"/>
          <w:color w:val="auto"/>
        </w:rPr>
      </w:pPr>
    </w:p>
    <w:p>
      <w:pPr>
        <w:ind w:left="540" w:right="60" w:hanging="424"/>
        <w:spacing w:after="0" w:line="285"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Cumulative TSR for ALHC is calculated by dividing the sum of the cumulative amount of dividends for each of 2021, 2022 and 2023, assuming dividend reinvestment, and the difference between ALHC’s share price at the end and the beginning of each such year by ALHC’s share price at the beginning of each such year.</w:t>
      </w:r>
    </w:p>
    <w:p>
      <w:pPr>
        <w:spacing w:after="0" w:line="63" w:lineRule="exact"/>
        <w:rPr>
          <w:rFonts w:ascii="Arial" w:cs="Arial" w:eastAsia="Arial" w:hAnsi="Arial"/>
          <w:sz w:val="14"/>
          <w:szCs w:val="14"/>
          <w:color w:val="auto"/>
        </w:rPr>
      </w:pPr>
    </w:p>
    <w:p>
      <w:pPr>
        <w:ind w:left="540" w:right="280" w:hanging="424"/>
        <w:spacing w:after="0" w:line="285"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Represents the weighted peer group TSR, weighted according to the respective companies’ stock market capitalization at the beginning of each period for which a return is indicated. The peer group used for this purpose is the following published industry index: NASDAQ Healthcare Index.</w:t>
      </w:r>
    </w:p>
    <w:p>
      <w:pPr>
        <w:spacing w:after="0" w:line="63" w:lineRule="exact"/>
        <w:rPr>
          <w:rFonts w:ascii="Arial" w:cs="Arial" w:eastAsia="Arial" w:hAnsi="Arial"/>
          <w:sz w:val="14"/>
          <w:szCs w:val="14"/>
          <w:color w:val="auto"/>
        </w:rPr>
      </w:pPr>
    </w:p>
    <w:p>
      <w:pPr>
        <w:ind w:left="540" w:hanging="424"/>
        <w:spacing w:after="0"/>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The dollar amounts reported represent the amount of net income reflected in the Company’s audited financial statements for the applicable year.</w:t>
      </w:r>
    </w:p>
    <w:p>
      <w:pPr>
        <w:spacing w:after="0" w:line="122" w:lineRule="exact"/>
        <w:rPr>
          <w:rFonts w:ascii="Arial" w:cs="Arial" w:eastAsia="Arial" w:hAnsi="Arial"/>
          <w:sz w:val="14"/>
          <w:szCs w:val="14"/>
          <w:color w:val="auto"/>
        </w:rPr>
      </w:pPr>
    </w:p>
    <w:p>
      <w:pPr>
        <w:ind w:left="540" w:right="40" w:hanging="424"/>
        <w:spacing w:after="0" w:line="250"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Adjusted EBITDA is a non-GAAP financial measure that is presented as supplemental disclosure, that we define as net loss before interest expense, income taxes, depreciation and amortization expense, transaction-related expenses, acquisition expenses, certain litigation costs and settlements, gains or losses on ROU assets, equity-based compensation expense, and loss on extinguishment of debt. Adjusted EBITDA should not be considered in isolation of, or as an alternative to, measures prepared in accordance with U.S. generally accepted accounting principles (“GAAP”). There are a number of limitations related to the use of adjusted EBITDA in lieu of net loss, which is the most directly comparable financial measure calculated in accordance with GAAP. An explanation of our non-GAAP measures, how they are calculated and reconciliations to the most directly comparable GAAP financial measures can be found in the Appendix to this proxy statement.</w:t>
      </w:r>
    </w:p>
    <w:p>
      <w:pPr>
        <w:spacing w:after="0" w:line="10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40"/>
          </w:cols>
          <w:pgMar w:left="320" w:top="482" w:right="4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1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1F497D"/>
        </w:rPr>
        <w:t>Most Important Performance Measures</w:t>
      </w:r>
    </w:p>
    <w:p>
      <w:pPr>
        <w:spacing w:after="0" w:line="102"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color w:val="auto"/>
        </w:rPr>
        <w:t>The performance measures listed below represent an unranked list of the “most important” performance measures that Alignment used to align CAP to the NEOs for 2023 and company performance. The role of each of these performance measures in our executive compensation program is discussed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While these financial measures are the most important measures the company used to align CAP to the NEOs for 2023 and company performance, additional financial and other measures were also used to align pay and performance, as further described in the “</w:t>
      </w:r>
      <w:r>
        <w:rPr>
          <w:rFonts w:ascii="Arial" w:cs="Arial" w:eastAsia="Arial" w:hAnsi="Arial"/>
          <w:sz w:val="18"/>
          <w:szCs w:val="18"/>
          <w:i w:val="1"/>
          <w:iCs w:val="1"/>
          <w:color w:val="auto"/>
        </w:rPr>
        <w:t>Compensation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w:t>
      </w:r>
      <w:r>
        <w:rPr>
          <w:rFonts w:ascii="Arial" w:cs="Arial" w:eastAsia="Arial" w:hAnsi="Arial"/>
          <w:sz w:val="18"/>
          <w:szCs w:val="18"/>
          <w:color w:val="auto"/>
        </w:rPr>
        <w:t>” section of this proxy statement.</w:t>
      </w:r>
    </w:p>
    <w:p>
      <w:pPr>
        <w:spacing w:after="0" w:line="1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most important financial performance measures are:</w:t>
      </w:r>
    </w:p>
    <w:p>
      <w:pPr>
        <w:spacing w:after="0" w:line="117" w:lineRule="exact"/>
        <w:rPr>
          <w:sz w:val="20"/>
          <w:szCs w:val="20"/>
          <w:color w:val="auto"/>
        </w:rPr>
      </w:pPr>
    </w:p>
    <w:p>
      <w:pPr>
        <w:ind w:left="1320" w:hanging="327"/>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Adjusted EBITDA</w:t>
      </w:r>
    </w:p>
    <w:p>
      <w:pPr>
        <w:spacing w:after="0" w:line="117" w:lineRule="exact"/>
        <w:rPr>
          <w:rFonts w:ascii="Arial" w:cs="Arial" w:eastAsia="Arial" w:hAnsi="Arial"/>
          <w:sz w:val="18"/>
          <w:szCs w:val="18"/>
          <w:color w:val="auto"/>
        </w:rPr>
      </w:pPr>
    </w:p>
    <w:p>
      <w:pPr>
        <w:ind w:left="1320" w:hanging="327"/>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Adjusted Gross Profit</w:t>
      </w:r>
    </w:p>
    <w:p>
      <w:pPr>
        <w:spacing w:after="0" w:line="117" w:lineRule="exact"/>
        <w:rPr>
          <w:rFonts w:ascii="Arial" w:cs="Arial" w:eastAsia="Arial" w:hAnsi="Arial"/>
          <w:sz w:val="18"/>
          <w:szCs w:val="18"/>
          <w:color w:val="auto"/>
        </w:rPr>
      </w:pPr>
    </w:p>
    <w:p>
      <w:pPr>
        <w:ind w:left="1320" w:hanging="327"/>
        <w:spacing w:after="0"/>
        <w:tabs>
          <w:tab w:leader="none" w:pos="1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Health Plan Revenue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also employ the following non-financial performance measures:</w:t>
      </w:r>
    </w:p>
    <w:p>
      <w:pPr>
        <w:spacing w:after="0" w:line="117" w:lineRule="exact"/>
        <w:rPr>
          <w:sz w:val="20"/>
          <w:szCs w:val="20"/>
          <w:color w:val="auto"/>
        </w:rPr>
      </w:pPr>
    </w:p>
    <w:p>
      <w:pPr>
        <w:ind w:left="1320" w:hanging="327"/>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Health Plan Membership</w:t>
      </w:r>
    </w:p>
    <w:p>
      <w:pPr>
        <w:spacing w:after="0" w:line="117" w:lineRule="exact"/>
        <w:rPr>
          <w:rFonts w:ascii="Arial" w:cs="Arial" w:eastAsia="Arial" w:hAnsi="Arial"/>
          <w:sz w:val="18"/>
          <w:szCs w:val="18"/>
          <w:color w:val="auto"/>
        </w:rPr>
      </w:pPr>
    </w:p>
    <w:p>
      <w:pPr>
        <w:ind w:left="1320" w:hanging="327"/>
        <w:spacing w:after="0"/>
        <w:tabs>
          <w:tab w:leader="none" w:pos="1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CMS Star Ratings</w:t>
      </w:r>
    </w:p>
    <w:p>
      <w:pPr>
        <w:spacing w:after="0" w:line="212" w:lineRule="exact"/>
        <w:rPr>
          <w:sz w:val="20"/>
          <w:szCs w:val="20"/>
          <w:color w:val="auto"/>
        </w:rPr>
      </w:pPr>
    </w:p>
    <w:p>
      <w:pPr>
        <w:jc w:val="both"/>
        <w:ind w:left="120"/>
        <w:spacing w:after="0" w:line="247" w:lineRule="auto"/>
        <w:rPr>
          <w:sz w:val="20"/>
          <w:szCs w:val="20"/>
          <w:color w:val="auto"/>
        </w:rPr>
      </w:pPr>
      <w:r>
        <w:rPr>
          <w:rFonts w:ascii="Arial" w:cs="Arial" w:eastAsia="Arial" w:hAnsi="Arial"/>
          <w:sz w:val="18"/>
          <w:szCs w:val="18"/>
          <w:color w:val="auto"/>
        </w:rPr>
        <w:t>As noted above, we have deemed adjusted EBITDA as the “most important” financial measure used to link our NEO’s compensation with performance and, as previously disclosed, it is being used as our company-selected measure in the pay-versus-performance table above. For more detail on these measures and why we believe that they are important in structuring our compensation programs and linking pay with performance, please see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w:t>
      </w:r>
    </w:p>
    <w:p>
      <w:pPr>
        <w:spacing w:after="0" w:line="1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1F497D"/>
        </w:rPr>
        <w:t>Descriptions of the Information Presented in the Pay Versus Performance Table</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illustrations below compare CAP and the following measures:</w:t>
      </w:r>
    </w:p>
    <w:p>
      <w:pPr>
        <w:spacing w:after="0" w:line="117" w:lineRule="exact"/>
        <w:rPr>
          <w:sz w:val="20"/>
          <w:szCs w:val="20"/>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cumulative TSR and the NASDAQ Healthcare Index’s cumulative TSR;</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Net Income; and</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Company’s Adjusted EBITDA.</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060"/>
          </w:cols>
          <w:pgMar w:left="320" w:top="482" w:right="5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208280</wp:posOffset>
            </wp:positionV>
            <wp:extent cx="4277360" cy="559752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77360" cy="5597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139"/>
          </w:cols>
          <w:pgMar w:left="320" w:top="482" w:right="1440"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208280</wp:posOffset>
            </wp:positionV>
            <wp:extent cx="4328795" cy="28721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328795" cy="287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139"/>
          </w:cols>
          <w:pgMar w:left="320" w:top="482" w:right="1440"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CEO Pay Ratio</w:t>
      </w:r>
    </w:p>
    <w:p>
      <w:pPr>
        <w:spacing w:after="0" w:line="212" w:lineRule="exact"/>
        <w:rPr>
          <w:sz w:val="20"/>
          <w:szCs w:val="20"/>
          <w:color w:val="auto"/>
        </w:rPr>
      </w:pPr>
    </w:p>
    <w:p>
      <w:pPr>
        <w:jc w:val="both"/>
        <w:ind w:right="180" w:firstLine="440"/>
        <w:spacing w:after="0" w:line="253" w:lineRule="auto"/>
        <w:rPr>
          <w:sz w:val="20"/>
          <w:szCs w:val="20"/>
          <w:color w:val="auto"/>
        </w:rPr>
      </w:pPr>
      <w:r>
        <w:rPr>
          <w:rFonts w:ascii="Arial" w:cs="Arial" w:eastAsia="Arial" w:hAnsi="Arial"/>
          <w:sz w:val="18"/>
          <w:szCs w:val="18"/>
          <w:color w:val="auto"/>
        </w:rPr>
        <w:t>As required by Section 953(b) of the Dodd-Frank Wall Street Reform and Consumer Protection Act, we are providing the following information about the relationship between the annual total compensation of our median employee and the annual total compensation of our CEO.</w:t>
      </w:r>
    </w:p>
    <w:p>
      <w:pPr>
        <w:spacing w:after="0" w:line="169"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Our compensation philosophy is designed to attract and retain high-quality talent and provide total compensation opportunities that support our pay-for-performance objectives. Compensation varies for employees by position and geographic location based on competitive market factors. Our associates’ total compensation may include base pay, incentive pay, overtime and other supplemental pay. We regularly review associate compensation for both internal pay equity and competitiveness within the health care industry. With respect to our CEO and other Named Executive Officers, the Compensation Committee has selected a compensation package composed in large part of variable and at-risk compensation, which the committee believes will appropriately incentivize retention and performance. For more information, please see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2023, our CEO pay ratio was 216:1. This ratio was calculated in compliance with the requirements set forth in Item 402(u)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Regulation S-K using the amount of our CEO’s compensation reported in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for 2023, which is</w:t>
      </w:r>
    </w:p>
    <w:p>
      <w:pPr>
        <w:spacing w:after="0" w:line="234" w:lineRule="auto"/>
        <w:rPr>
          <w:sz w:val="20"/>
          <w:szCs w:val="20"/>
          <w:color w:val="auto"/>
        </w:rPr>
      </w:pPr>
      <w:r>
        <w:rPr>
          <w:rFonts w:ascii="Arial" w:cs="Arial" w:eastAsia="Arial" w:hAnsi="Arial"/>
          <w:sz w:val="18"/>
          <w:szCs w:val="18"/>
          <w:color w:val="auto"/>
        </w:rPr>
        <w:t>$14,296,476. However, the required compensation measure used for our Chief Executive Officer and included in the pay ratio does not</w:t>
      </w:r>
    </w:p>
    <w:p>
      <w:pPr>
        <w:spacing w:after="0" w:line="235" w:lineRule="auto"/>
        <w:rPr>
          <w:sz w:val="20"/>
          <w:szCs w:val="20"/>
          <w:color w:val="auto"/>
        </w:rPr>
      </w:pPr>
      <w:r>
        <w:rPr>
          <w:rFonts w:ascii="Arial" w:cs="Arial" w:eastAsia="Arial" w:hAnsi="Arial"/>
          <w:sz w:val="18"/>
          <w:szCs w:val="18"/>
          <w:color w:val="auto"/>
        </w:rPr>
        <w:t>represent his expected normal annual compensation. In September 2023, in order to recognize our recent strong financial performance</w:t>
      </w:r>
    </w:p>
    <w:p>
      <w:pPr>
        <w:spacing w:after="0" w:line="235" w:lineRule="auto"/>
        <w:rPr>
          <w:sz w:val="20"/>
          <w:szCs w:val="20"/>
          <w:color w:val="auto"/>
        </w:rPr>
      </w:pPr>
      <w:r>
        <w:rPr>
          <w:rFonts w:ascii="Arial" w:cs="Arial" w:eastAsia="Arial" w:hAnsi="Arial"/>
          <w:sz w:val="18"/>
          <w:szCs w:val="18"/>
          <w:color w:val="auto"/>
        </w:rPr>
        <w:t>and to support our talent retention objectives, certain senior employees, including our NEOs, received a performance-based equity</w:t>
      </w:r>
    </w:p>
    <w:p>
      <w:pPr>
        <w:spacing w:after="0" w:line="235" w:lineRule="auto"/>
        <w:rPr>
          <w:sz w:val="20"/>
          <w:szCs w:val="20"/>
          <w:color w:val="auto"/>
        </w:rPr>
      </w:pPr>
      <w:r>
        <w:rPr>
          <w:rFonts w:ascii="Arial" w:cs="Arial" w:eastAsia="Arial" w:hAnsi="Arial"/>
          <w:sz w:val="18"/>
          <w:szCs w:val="18"/>
          <w:color w:val="auto"/>
        </w:rPr>
        <w:t>incentive award in the form of PSUs. For our CEO, this award represented approximately 80% of his total annual compensation for 2023.</w:t>
      </w:r>
    </w:p>
    <w:p>
      <w:pPr>
        <w:spacing w:after="0" w:line="235" w:lineRule="auto"/>
        <w:rPr>
          <w:sz w:val="20"/>
          <w:szCs w:val="20"/>
          <w:color w:val="auto"/>
        </w:rPr>
      </w:pPr>
      <w:r>
        <w:rPr>
          <w:rFonts w:ascii="Arial" w:cs="Arial" w:eastAsia="Arial" w:hAnsi="Arial"/>
          <w:sz w:val="18"/>
          <w:szCs w:val="18"/>
          <w:color w:val="auto"/>
        </w:rPr>
        <w:t>For more information, see “</w:t>
      </w:r>
      <w:r>
        <w:rPr>
          <w:rFonts w:ascii="Arial" w:cs="Arial" w:eastAsia="Arial" w:hAnsi="Arial"/>
          <w:sz w:val="18"/>
          <w:szCs w:val="18"/>
          <w:i w:val="1"/>
          <w:iCs w:val="1"/>
          <w:color w:val="auto"/>
        </w:rPr>
        <w:t>Compensation Discussion and Analysis—2023 Executive Compensation Program in Detail—Long-Term Equity</w:t>
      </w:r>
    </w:p>
    <w:p>
      <w:pPr>
        <w:spacing w:after="0" w:line="234" w:lineRule="auto"/>
        <w:rPr>
          <w:sz w:val="20"/>
          <w:szCs w:val="20"/>
          <w:color w:val="auto"/>
        </w:rPr>
      </w:pPr>
      <w:r>
        <w:rPr>
          <w:rFonts w:ascii="Arial" w:cs="Arial" w:eastAsia="Arial" w:hAnsi="Arial"/>
          <w:sz w:val="18"/>
          <w:szCs w:val="18"/>
          <w:i w:val="1"/>
          <w:iCs w:val="1"/>
          <w:color w:val="auto"/>
        </w:rPr>
        <w:t>Incentives—2023 Equity Awards</w:t>
      </w:r>
      <w:r>
        <w:rPr>
          <w:rFonts w:ascii="Arial" w:cs="Arial" w:eastAsia="Arial" w:hAnsi="Arial"/>
          <w:sz w:val="18"/>
          <w:szCs w:val="18"/>
          <w:color w:val="auto"/>
        </w:rPr>
        <w:t>.” Solely for informational purposes, if the pay ratio were calculated based on the CEO’s normal annual</w:t>
      </w:r>
    </w:p>
    <w:p>
      <w:pPr>
        <w:spacing w:after="0" w:line="235" w:lineRule="auto"/>
        <w:rPr>
          <w:sz w:val="20"/>
          <w:szCs w:val="20"/>
          <w:color w:val="auto"/>
        </w:rPr>
      </w:pPr>
      <w:r>
        <w:rPr>
          <w:rFonts w:ascii="Arial" w:cs="Arial" w:eastAsia="Arial" w:hAnsi="Arial"/>
          <w:sz w:val="18"/>
          <w:szCs w:val="18"/>
          <w:color w:val="auto"/>
        </w:rPr>
        <w:t>compensation during 2023 (i.e., after deducting the value of the performance share units), the pay ratio of our CEO to our median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employee would be 27:1.</w:t>
      </w:r>
    </w:p>
    <w:p>
      <w:pPr>
        <w:spacing w:after="0" w:line="194" w:lineRule="exact"/>
        <w:rPr>
          <w:sz w:val="20"/>
          <w:szCs w:val="20"/>
          <w:color w:val="auto"/>
        </w:rPr>
      </w:pPr>
    </w:p>
    <w:p>
      <w:pPr>
        <w:ind w:right="20" w:firstLine="440"/>
        <w:spacing w:after="0" w:line="271" w:lineRule="auto"/>
        <w:rPr>
          <w:sz w:val="20"/>
          <w:szCs w:val="20"/>
          <w:color w:val="auto"/>
        </w:rPr>
      </w:pPr>
      <w:r>
        <w:rPr>
          <w:rFonts w:ascii="Arial" w:cs="Arial" w:eastAsia="Arial" w:hAnsi="Arial"/>
          <w:sz w:val="18"/>
          <w:szCs w:val="18"/>
          <w:color w:val="auto"/>
        </w:rPr>
        <w:t>Outlined below is the process that was applied for identifying our median associate for our comparative compensation analysis of the median associate to our CEO:</w:t>
      </w:r>
    </w:p>
    <w:p>
      <w:pPr>
        <w:spacing w:after="0" w:line="181" w:lineRule="exact"/>
        <w:rPr>
          <w:sz w:val="20"/>
          <w:szCs w:val="20"/>
          <w:color w:val="auto"/>
        </w:rPr>
      </w:pPr>
    </w:p>
    <w:p>
      <w:pPr>
        <w:ind w:left="960" w:right="40" w:hanging="424"/>
        <w:spacing w:after="0" w:line="270" w:lineRule="auto"/>
        <w:tabs>
          <w:tab w:leader="none" w:pos="96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We identified the median associate using 1,583 global full-time, part-time, temporary and seasonal associates employed as of December 31, 2023;</w:t>
      </w:r>
    </w:p>
    <w:p>
      <w:pPr>
        <w:spacing w:after="0" w:line="1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We consistently applied 2023 W-2 earnings as compensation measure for the median associate;</w:t>
      </w:r>
    </w:p>
    <w:p>
      <w:pPr>
        <w:spacing w:after="0" w:line="251" w:lineRule="exact"/>
        <w:rPr>
          <w:rFonts w:ascii="Times New Roman" w:cs="Times New Roman" w:eastAsia="Times New Roman" w:hAnsi="Times New Roman"/>
          <w:sz w:val="18"/>
          <w:szCs w:val="18"/>
          <w:color w:val="auto"/>
        </w:rPr>
      </w:pPr>
    </w:p>
    <w:p>
      <w:pPr>
        <w:ind w:left="960" w:right="660" w:hanging="424"/>
        <w:spacing w:after="0" w:line="270" w:lineRule="auto"/>
        <w:tabs>
          <w:tab w:leader="none" w:pos="96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We then calculated the median associate’s compensation in the same manner as the Named Executive Officers in the Summary Compensation Table in this proxy statement; and</w:t>
      </w:r>
    </w:p>
    <w:p>
      <w:pPr>
        <w:spacing w:after="0" w:line="1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Applying this methodology, our median associate’s total compensation was $66,320, which consists of base salary; and</w:t>
      </w:r>
    </w:p>
    <w:p>
      <w:pPr>
        <w:spacing w:after="0" w:line="251" w:lineRule="exact"/>
        <w:rPr>
          <w:rFonts w:ascii="Times New Roman" w:cs="Times New Roman" w:eastAsia="Times New Roman" w:hAnsi="Times New Roman"/>
          <w:sz w:val="18"/>
          <w:szCs w:val="18"/>
          <w:color w:val="auto"/>
        </w:rPr>
      </w:pPr>
    </w:p>
    <w:p>
      <w:pPr>
        <w:ind w:left="960" w:right="820" w:hanging="424"/>
        <w:spacing w:after="0" w:line="270" w:lineRule="auto"/>
        <w:tabs>
          <w:tab w:leader="none" w:pos="960" w:val="left"/>
        </w:tabs>
        <w:numPr>
          <w:ilvl w:val="0"/>
          <w:numId w:val="70"/>
        </w:numPr>
        <w:rPr>
          <w:rFonts w:ascii="Times New Roman" w:cs="Times New Roman" w:eastAsia="Times New Roman" w:hAnsi="Times New Roman"/>
          <w:sz w:val="18"/>
          <w:szCs w:val="18"/>
          <w:color w:val="auto"/>
        </w:rPr>
      </w:pPr>
      <w:r>
        <w:rPr>
          <w:rFonts w:ascii="Arial" w:cs="Arial" w:eastAsia="Arial" w:hAnsi="Arial"/>
          <w:sz w:val="18"/>
          <w:szCs w:val="18"/>
          <w:color w:val="auto"/>
        </w:rPr>
        <w:t>With respect to the annual total compensation of our CEO, we used the amount reported in the “Total” column of the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 for 2023 on page 55.</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000"/>
          </w:cols>
          <w:pgMar w:left="440" w:top="296" w:right="45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CERTAIN RELATIONSHIPS AND RELATED PARTY TRANSACTIONS</w:t>
      </w:r>
    </w:p>
    <w:p>
      <w:pPr>
        <w:spacing w:after="0" w:line="212"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Under our Related Party Transactions Policy, our Audit Committee is responsible for reviewing and approving related person transactions. In the course of its review and approval of related party transactions, our Audit Committee will consider the relevant facts and circumstances to decide whether to approve such transactions. In particular, our policy requires our Audit Committee to consider, among other factors it deems appropriate:</w:t>
      </w:r>
    </w:p>
    <w:p>
      <w:pPr>
        <w:spacing w:after="0" w:line="201" w:lineRule="exact"/>
        <w:rPr>
          <w:sz w:val="20"/>
          <w:szCs w:val="20"/>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related person’s relationship to us and interest in the transaction;</w:t>
      </w:r>
    </w:p>
    <w:p>
      <w:pPr>
        <w:spacing w:after="0" w:line="238" w:lineRule="exact"/>
        <w:rPr>
          <w:rFonts w:ascii="Arial" w:cs="Arial" w:eastAsia="Arial" w:hAnsi="Arial"/>
          <w:sz w:val="18"/>
          <w:szCs w:val="18"/>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material facts of the proposed transaction, including the proposed aggregate value of the transaction;</w:t>
      </w:r>
    </w:p>
    <w:p>
      <w:pPr>
        <w:spacing w:after="0" w:line="238" w:lineRule="exact"/>
        <w:rPr>
          <w:rFonts w:ascii="Arial" w:cs="Arial" w:eastAsia="Arial" w:hAnsi="Arial"/>
          <w:sz w:val="18"/>
          <w:szCs w:val="18"/>
          <w:color w:val="auto"/>
        </w:rPr>
      </w:pPr>
    </w:p>
    <w:p>
      <w:pPr>
        <w:ind w:left="960" w:right="300" w:hanging="532"/>
        <w:spacing w:after="0" w:line="271"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or an immediate family member of the director;</w:t>
      </w:r>
    </w:p>
    <w:p>
      <w:pPr>
        <w:spacing w:after="0" w:line="180" w:lineRule="exact"/>
        <w:rPr>
          <w:rFonts w:ascii="Arial" w:cs="Arial" w:eastAsia="Arial" w:hAnsi="Arial"/>
          <w:sz w:val="18"/>
          <w:szCs w:val="18"/>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benefits to us of the proposed transaction;</w:t>
      </w:r>
    </w:p>
    <w:p>
      <w:pPr>
        <w:spacing w:after="0" w:line="238" w:lineRule="exact"/>
        <w:rPr>
          <w:rFonts w:ascii="Arial" w:cs="Arial" w:eastAsia="Arial" w:hAnsi="Arial"/>
          <w:sz w:val="18"/>
          <w:szCs w:val="18"/>
          <w:color w:val="auto"/>
        </w:rPr>
      </w:pPr>
    </w:p>
    <w:p>
      <w:pPr>
        <w:ind w:left="960" w:hanging="532"/>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applicable, the availability of other sources of comparable products or services; and</w:t>
      </w:r>
    </w:p>
    <w:p>
      <w:pPr>
        <w:spacing w:after="0" w:line="238" w:lineRule="exact"/>
        <w:rPr>
          <w:rFonts w:ascii="Arial" w:cs="Arial" w:eastAsia="Arial" w:hAnsi="Arial"/>
          <w:sz w:val="18"/>
          <w:szCs w:val="18"/>
          <w:color w:val="auto"/>
        </w:rPr>
      </w:pPr>
    </w:p>
    <w:p>
      <w:pPr>
        <w:ind w:left="960" w:right="320" w:hanging="532"/>
        <w:spacing w:after="0" w:line="271"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assessment of whether the proposed transaction is on terms that are comparable to the terms available to an unrelated third party or to employees generally.</w:t>
      </w:r>
    </w:p>
    <w:p>
      <w:pPr>
        <w:spacing w:after="0" w:line="154" w:lineRule="exact"/>
        <w:rPr>
          <w:sz w:val="20"/>
          <w:szCs w:val="20"/>
          <w:color w:val="auto"/>
        </w:rPr>
      </w:pPr>
    </w:p>
    <w:p>
      <w:pPr>
        <w:ind w:right="280" w:firstLine="440"/>
        <w:spacing w:after="0" w:line="271" w:lineRule="auto"/>
        <w:rPr>
          <w:sz w:val="20"/>
          <w:szCs w:val="20"/>
          <w:color w:val="auto"/>
        </w:rPr>
      </w:pPr>
      <w:r>
        <w:rPr>
          <w:rFonts w:ascii="Arial" w:cs="Arial" w:eastAsia="Arial" w:hAnsi="Arial"/>
          <w:sz w:val="18"/>
          <w:szCs w:val="18"/>
          <w:color w:val="auto"/>
        </w:rPr>
        <w:t>The Audit Committee may only approve those transactions that are in, or are not inconsistent with, our best interests and those of our stockholders, as the Audit Committee determines in good faith.</w:t>
      </w:r>
    </w:p>
    <w:p>
      <w:pPr>
        <w:spacing w:after="0" w:line="154" w:lineRule="exact"/>
        <w:rPr>
          <w:sz w:val="20"/>
          <w:szCs w:val="20"/>
          <w:color w:val="auto"/>
        </w:rPr>
      </w:pPr>
    </w:p>
    <w:p>
      <w:pPr>
        <w:ind w:right="60" w:firstLine="440"/>
        <w:spacing w:after="0" w:line="271" w:lineRule="auto"/>
        <w:rPr>
          <w:sz w:val="20"/>
          <w:szCs w:val="20"/>
          <w:color w:val="auto"/>
        </w:rPr>
      </w:pPr>
      <w:r>
        <w:rPr>
          <w:rFonts w:ascii="Arial" w:cs="Arial" w:eastAsia="Arial" w:hAnsi="Arial"/>
          <w:sz w:val="18"/>
          <w:szCs w:val="18"/>
          <w:color w:val="auto"/>
        </w:rPr>
        <w:t>In addition, under our Code of Conduct, our employees and directors have an affirmative responsibility to disclose any transaction or relationship that reasonably could be expected to give rise to a conflict of interest.</w:t>
      </w:r>
    </w:p>
    <w:p>
      <w:pPr>
        <w:spacing w:after="0" w:line="154"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With respect to the transactions described below that were entered into prior to the adoption of the Company’s written Related Party Transactions Policy, all were approved by our Board considering similar factors to those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Related-Party Transactions</w:t>
      </w:r>
    </w:p>
    <w:p>
      <w:pPr>
        <w:spacing w:after="0" w:line="212" w:lineRule="exact"/>
        <w:rPr>
          <w:sz w:val="20"/>
          <w:szCs w:val="20"/>
          <w:color w:val="auto"/>
        </w:rPr>
      </w:pPr>
    </w:p>
    <w:p>
      <w:pPr>
        <w:ind w:right="260" w:firstLine="440"/>
        <w:spacing w:after="0" w:line="253" w:lineRule="auto"/>
        <w:rPr>
          <w:sz w:val="20"/>
          <w:szCs w:val="20"/>
          <w:color w:val="auto"/>
        </w:rPr>
      </w:pPr>
      <w:r>
        <w:rPr>
          <w:rFonts w:ascii="Arial" w:cs="Arial" w:eastAsia="Arial" w:hAnsi="Arial"/>
          <w:sz w:val="18"/>
          <w:szCs w:val="18"/>
          <w:color w:val="auto"/>
        </w:rPr>
        <w:t>Other than compensation arrangements for our directors and named executive officers, which are described in the sections of this proxy statement titled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and “</w:t>
      </w:r>
      <w:r>
        <w:rPr>
          <w:rFonts w:ascii="Arial" w:cs="Arial" w:eastAsia="Arial" w:hAnsi="Arial"/>
          <w:sz w:val="18"/>
          <w:szCs w:val="18"/>
          <w:i w:val="1"/>
          <w:iCs w:val="1"/>
          <w:color w:val="auto"/>
        </w:rPr>
        <w:t>Executive and Director Compensation</w:t>
      </w:r>
      <w:r>
        <w:rPr>
          <w:rFonts w:ascii="Arial" w:cs="Arial" w:eastAsia="Arial" w:hAnsi="Arial"/>
          <w:sz w:val="18"/>
          <w:szCs w:val="18"/>
          <w:color w:val="auto"/>
        </w:rPr>
        <w:t>,” below we describe transactions since January 1, 2023 to which we were a participant or will be a participant, in which:</w:t>
      </w:r>
    </w:p>
    <w:p>
      <w:pPr>
        <w:spacing w:after="0" w:line="196" w:lineRule="exact"/>
        <w:rPr>
          <w:sz w:val="20"/>
          <w:szCs w:val="20"/>
          <w:color w:val="auto"/>
        </w:rPr>
      </w:pPr>
    </w:p>
    <w:p>
      <w:pPr>
        <w:ind w:left="960" w:hanging="532"/>
        <w:spacing w:after="0"/>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238" w:lineRule="exact"/>
        <w:rPr>
          <w:rFonts w:ascii="Arial" w:cs="Arial" w:eastAsia="Arial" w:hAnsi="Arial"/>
          <w:sz w:val="18"/>
          <w:szCs w:val="18"/>
          <w:color w:val="auto"/>
        </w:rPr>
      </w:pPr>
    </w:p>
    <w:p>
      <w:pPr>
        <w:ind w:left="960" w:right="260" w:hanging="532"/>
        <w:spacing w:after="0" w:line="271" w:lineRule="auto"/>
        <w:tabs>
          <w:tab w:leader="none" w:pos="9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capital stock, or any member of the immediate family of, or person sharing the household with, the foregoing persons, had or will have a direct or indirect material interest.</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Stockholders Agreement</w:t>
      </w:r>
    </w:p>
    <w:p>
      <w:pPr>
        <w:spacing w:after="0" w:line="210" w:lineRule="exact"/>
        <w:rPr>
          <w:sz w:val="20"/>
          <w:szCs w:val="20"/>
          <w:color w:val="auto"/>
        </w:rPr>
      </w:pPr>
    </w:p>
    <w:p>
      <w:pPr>
        <w:ind w:right="480" w:firstLine="440"/>
        <w:spacing w:after="0" w:line="253" w:lineRule="auto"/>
        <w:rPr>
          <w:sz w:val="20"/>
          <w:szCs w:val="20"/>
          <w:color w:val="auto"/>
        </w:rPr>
      </w:pPr>
      <w:r>
        <w:rPr>
          <w:rFonts w:ascii="Arial" w:cs="Arial" w:eastAsia="Arial" w:hAnsi="Arial"/>
          <w:sz w:val="18"/>
          <w:szCs w:val="18"/>
          <w:color w:val="auto"/>
        </w:rPr>
        <w:t>We are party to a Stockholders Agreement, dated as of March 30, 2021, with the Lead Sponsors that provides each the right to designate nominees for election to our Board. The Lead Sponsors may also assign their designation rights under the Stockholders Agreement to an affiliate.</w:t>
      </w:r>
    </w:p>
    <w:p>
      <w:pPr>
        <w:spacing w:after="0" w:line="169"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The Stockholders Agreement provides (x) General Atlantic the right to designate: (i) four of the nominees for election to our Board for so long as General Atlantic beneficially owns over 35% of our</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96" w:right="459" w:bottom="1440" w:gutter="0" w:footer="0" w:header="0"/>
        </w:sectPr>
      </w:pPr>
    </w:p>
    <w:bookmarkStart w:id="82" w:name="page83"/>
    <w:bookmarkEnd w:id="82"/>
    <w:p>
      <w:pP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common stock then outstanding; (ii) three of the nominees for election to our Board for so long as General Atlantic beneficially owns over 25% but less than or equal to 35% of our common stock then outstanding; (iii) two of the nominees for election to our Board for so long as General Atlantic beneficially owns over 15% but less than or equal to 25% of our common stock then outstanding; and (iv) one of the nominees for election to our Board for so long as General Atlantic beneficially owns at least 5% but less than or equal to 15% of our common stock then outstanding and (y) Warburg Pincus the right to designate one of the nominees for election to our Board for so long as Warburg Pincus beneficially owns at least 5% of our common stock then outstanding. In each case, the Lead Sponsors’ nominees must comply with applicable law and stock exchange rules.</w:t>
      </w:r>
    </w:p>
    <w:p>
      <w:pPr>
        <w:spacing w:after="0" w:line="185" w:lineRule="exact"/>
        <w:rPr>
          <w:sz w:val="20"/>
          <w:szCs w:val="20"/>
          <w:color w:val="auto"/>
        </w:rPr>
      </w:pPr>
    </w:p>
    <w:p>
      <w:pPr>
        <w:ind w:right="60" w:firstLine="440"/>
        <w:spacing w:after="0"/>
        <w:rPr>
          <w:sz w:val="20"/>
          <w:szCs w:val="20"/>
          <w:color w:val="auto"/>
        </w:rPr>
      </w:pPr>
      <w:r>
        <w:rPr>
          <w:rFonts w:ascii="Arial" w:cs="Arial" w:eastAsia="Arial" w:hAnsi="Arial"/>
          <w:sz w:val="18"/>
          <w:szCs w:val="18"/>
          <w:color w:val="auto"/>
        </w:rPr>
        <w:t>Until such time as a Lead Sponsor ceases to beneficially own at least 10% of our common stock then outstanding, such Lead Sponsor will have the right to designate at least one member of each committee of the Board; provided, that any such designee shall be a director and shall be eligible to serve on the applicable committee under applicable law or stock exchange listing standards, including any applicable independence requirements. The Stockholders Agreement also provides that until such time as General Atlantic ceases to beneficially own at least 15% of our common stock then outstanding, General Atlantic may select the chairperson of the Compensation Committee of the Board from among the directors then in office. In addition, the Lead Sponsors are entitled to designate the replacement for any of their board designees whose board service terminates prior to the end of the director’s term regardless of the applicable Lead Sponsor’s beneficial ownership at such time.</w:t>
      </w:r>
    </w:p>
    <w:p>
      <w:pPr>
        <w:spacing w:after="0" w:line="18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Additionally, as long as General Atlantic holds at least 25% of our common stock then outstanding, the prior written consent of</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General Atlantic will be required prior to taking the following actions:</w:t>
      </w:r>
    </w:p>
    <w:p>
      <w:pPr>
        <w:spacing w:after="0" w:line="221" w:lineRule="exact"/>
        <w:rPr>
          <w:sz w:val="20"/>
          <w:szCs w:val="20"/>
          <w:color w:val="auto"/>
        </w:rPr>
      </w:pPr>
    </w:p>
    <w:p>
      <w:pPr>
        <w:ind w:left="960" w:right="120" w:hanging="532"/>
        <w:spacing w:after="0" w:line="271"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acquisition or disposition where aggregate consideration is greater than $200,000,000 in a single transaction or series of related transactions;</w:t>
      </w:r>
    </w:p>
    <w:p>
      <w:pPr>
        <w:spacing w:after="0" w:line="86" w:lineRule="exact"/>
        <w:rPr>
          <w:rFonts w:ascii="Arial" w:cs="Arial" w:eastAsia="Arial" w:hAnsi="Arial"/>
          <w:sz w:val="18"/>
          <w:szCs w:val="18"/>
          <w:color w:val="auto"/>
        </w:rPr>
      </w:pPr>
    </w:p>
    <w:p>
      <w:pPr>
        <w:ind w:left="960" w:right="280" w:hanging="532"/>
        <w:spacing w:after="0" w:line="271"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transaction in which any person or group acquires more than 50% of our then outstanding capital stock or the power to elect a majority of the members of the Board;</w:t>
      </w:r>
    </w:p>
    <w:p>
      <w:pPr>
        <w:spacing w:after="0" w:line="86" w:lineRule="exact"/>
        <w:rPr>
          <w:rFonts w:ascii="Arial" w:cs="Arial" w:eastAsia="Arial" w:hAnsi="Arial"/>
          <w:sz w:val="18"/>
          <w:szCs w:val="18"/>
          <w:color w:val="auto"/>
        </w:rPr>
      </w:pPr>
    </w:p>
    <w:p>
      <w:pPr>
        <w:jc w:val="both"/>
        <w:ind w:left="960" w:right="800" w:hanging="532"/>
        <w:spacing w:after="0" w:line="253" w:lineRule="auto"/>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incurrence or refinancing of indebtedness of the Company and our subsidiaries to the extent such incurrence or refinancing would result in the Company and our Subsidiaries having indebtedness in excess of $250,000,000 in the aggregate;</w:t>
      </w:r>
    </w:p>
    <w:p>
      <w:pPr>
        <w:spacing w:after="0" w:line="101"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hiring or termination of our chief executive officer;</w:t>
      </w:r>
    </w:p>
    <w:p>
      <w:pPr>
        <w:spacing w:after="0" w:line="144"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increase or decrease in the size of the Board; or</w:t>
      </w:r>
    </w:p>
    <w:p>
      <w:pPr>
        <w:spacing w:after="0" w:line="144" w:lineRule="exact"/>
        <w:rPr>
          <w:rFonts w:ascii="Arial" w:cs="Arial" w:eastAsia="Arial" w:hAnsi="Arial"/>
          <w:sz w:val="18"/>
          <w:szCs w:val="18"/>
          <w:color w:val="auto"/>
        </w:rPr>
      </w:pPr>
    </w:p>
    <w:p>
      <w:pPr>
        <w:ind w:left="960" w:hanging="532"/>
        <w:spacing w:after="0"/>
        <w:tabs>
          <w:tab w:leader="none" w:pos="9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any reorganization, recapitalization, voluntary bankruptcy, liquidation, dissolution or winding-up.</w:t>
      </w:r>
    </w:p>
    <w:p>
      <w:pPr>
        <w:spacing w:after="0" w:line="212" w:lineRule="exact"/>
        <w:rPr>
          <w:sz w:val="20"/>
          <w:szCs w:val="20"/>
          <w:color w:val="auto"/>
        </w:rPr>
      </w:pPr>
    </w:p>
    <w:p>
      <w:pPr>
        <w:ind w:right="280"/>
        <w:spacing w:after="0" w:line="271" w:lineRule="auto"/>
        <w:rPr>
          <w:sz w:val="20"/>
          <w:szCs w:val="20"/>
          <w:color w:val="auto"/>
        </w:rPr>
      </w:pPr>
      <w:r>
        <w:rPr>
          <w:rFonts w:ascii="Arial" w:cs="Arial" w:eastAsia="Arial" w:hAnsi="Arial"/>
          <w:sz w:val="18"/>
          <w:szCs w:val="18"/>
          <w:color w:val="auto"/>
        </w:rPr>
        <w:t>The foregoing rights of the Lead Stockholders under the Stockholders Agreement will terminate with respect to a Lead Sponsor at such time as such Lead Sponsor owns less than 5% of our common stock then outstanding.</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F497D"/>
        </w:rPr>
        <w:t>Registration Rights Agreement</w:t>
      </w:r>
    </w:p>
    <w:p>
      <w:pPr>
        <w:spacing w:after="0" w:line="210"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We are party to a registration rights agreement, dated as of March 30, 2021, with the Lead Sponsors and certain other stockholders (the “Applicable Holders”). The Lead Sponsors are entitled to request that we register the Lead Sponsors’ shares on a long-form or short-form registration statement on one or more occasions in the future, which registrations may in certain circumstances be “shelf registrations,” and such other stockholders are entitled to participate in such offerings on a pro rata basis. The Applicable Holders are also entitled to participate in certain of our registered offerings, subject to the restrictions in the registration rights agreement. We will pay the expenses in connection with the exercise of these rights. The registration rights described in this paragraph apply to (i) shares of our common stock held by the Applicable Holders and their affiliates and (ii) any of our capital stock (or that of our subsidiaries) issued or issuable with respect to the common stock described in clause (i) with respect to any dividend, distribution, recapitalization, reorganization, or certain other corporate transactions (“Registrable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96" w:right="459" w:bottom="1440" w:gutter="0" w:footer="0" w:header="0"/>
        </w:sectPr>
      </w:pPr>
    </w:p>
    <w:bookmarkStart w:id="83" w:name="page84"/>
    <w:bookmarkEnd w:id="83"/>
    <w:p>
      <w:pPr>
        <w:ind w:left="4" w:right="40"/>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Securities”). These registration rights are also for the benefit of any subsequent holder of Registrable Securities; provided that any particular securities will cease to be Registrable Securities when they have been sold in a registered public offering, sold in compliance with Rule 144 of the Securities Act of 1933, as amended, or the Securities Act, or repurchased by us or our subsidiaries. In addition, any Registrable Securities held by a person other than the Lead Sponsors and their affiliates will cease to be Registrable Securities if they can be sold without limitation under Rule 144 of the Securities Act.</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1F497D"/>
        </w:rPr>
        <w:t>Konowiecki Employment Agreement</w:t>
      </w:r>
    </w:p>
    <w:p>
      <w:pPr>
        <w:spacing w:after="0" w:line="210" w:lineRule="exact"/>
        <w:rPr>
          <w:sz w:val="20"/>
          <w:szCs w:val="20"/>
          <w:color w:val="auto"/>
        </w:rPr>
      </w:pPr>
    </w:p>
    <w:p>
      <w:pPr>
        <w:ind w:left="4" w:right="40" w:firstLine="440"/>
        <w:spacing w:after="0" w:line="237" w:lineRule="auto"/>
        <w:rPr>
          <w:sz w:val="20"/>
          <w:szCs w:val="20"/>
          <w:color w:val="auto"/>
        </w:rPr>
      </w:pPr>
      <w:r>
        <w:rPr>
          <w:rFonts w:ascii="Arial" w:cs="Arial" w:eastAsia="Arial" w:hAnsi="Arial"/>
          <w:sz w:val="18"/>
          <w:szCs w:val="18"/>
          <w:color w:val="auto"/>
        </w:rPr>
        <w:t>On October 31, 2022, the Board appointed Mr. Konowiecki, the Company’s Board Chair, to an executive role leading strategic network and business development (the “Executive Role”). In connection with his appointment to the Executive Role, Mr. Konowiecki entered into an employment agreement, dated as of October 31, 2022, with an operating subsidiary of the Company (the “Employment Agreement”). Under the Employment Agreement, Mr. Konowiecki (i) was entitled to an annual base salary of $ 560,000; and (ii) was eligible on an annual basis to receive a cash bonus, with a target amount equal to 85% of his base salary and a maximum payout equal to 170% of his base salary, based on the terms and conditions of the Company’s annual incentive plan and contingent upon applicable corporate and individual performance metrics. Pursuant to the Employment Agreement, upon commencement of employment, the Company issued to Mr. Konowiecki (i) options to purchase 35,817 shares of Common Stock with an exercise price of $12.25 and</w:t>
      </w:r>
    </w:p>
    <w:p>
      <w:pPr>
        <w:spacing w:after="0" w:line="3" w:lineRule="exact"/>
        <w:rPr>
          <w:sz w:val="20"/>
          <w:szCs w:val="20"/>
          <w:color w:val="auto"/>
        </w:rPr>
      </w:pPr>
    </w:p>
    <w:p>
      <w:pPr>
        <w:ind w:left="4" w:right="20" w:hanging="4"/>
        <w:spacing w:after="0" w:line="250" w:lineRule="auto"/>
        <w:tabs>
          <w:tab w:leader="none" w:pos="254" w:val="left"/>
        </w:tabs>
        <w:numPr>
          <w:ilvl w:val="0"/>
          <w:numId w:val="74"/>
        </w:numPr>
        <w:rPr>
          <w:rFonts w:ascii="Arial" w:cs="Arial" w:eastAsia="Arial" w:hAnsi="Arial"/>
          <w:sz w:val="18"/>
          <w:szCs w:val="18"/>
          <w:color w:val="auto"/>
        </w:rPr>
      </w:pPr>
      <w:r>
        <w:rPr>
          <w:rFonts w:ascii="Arial" w:cs="Arial" w:eastAsia="Arial" w:hAnsi="Arial"/>
          <w:sz w:val="18"/>
          <w:szCs w:val="18"/>
          <w:color w:val="auto"/>
        </w:rPr>
        <w:t>53,906 restricted stock units (collectively, the “Equity Grants”). During the term of employment, Mr. Konowiecki did not receive separate compensation for his service on the Board.</w:t>
      </w:r>
    </w:p>
    <w:p>
      <w:pPr>
        <w:spacing w:after="0" w:line="17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On December 27, 2023, we entered into an amendment to the Employment Agreement (the “Amendment”), pursuant to which</w:t>
      </w:r>
    </w:p>
    <w:p>
      <w:pPr>
        <w:spacing w:after="0" w:line="14" w:lineRule="exact"/>
        <w:rPr>
          <w:sz w:val="20"/>
          <w:szCs w:val="20"/>
          <w:color w:val="auto"/>
        </w:rPr>
      </w:pPr>
    </w:p>
    <w:p>
      <w:pPr>
        <w:ind w:left="4"/>
        <w:spacing w:after="0" w:line="234" w:lineRule="auto"/>
        <w:rPr>
          <w:sz w:val="20"/>
          <w:szCs w:val="20"/>
          <w:color w:val="auto"/>
        </w:rPr>
      </w:pPr>
      <w:r>
        <w:rPr>
          <w:rFonts w:ascii="Arial" w:cs="Arial" w:eastAsia="Arial" w:hAnsi="Arial"/>
          <w:sz w:val="18"/>
          <w:szCs w:val="18"/>
          <w:color w:val="auto"/>
        </w:rPr>
        <w:t>Mr. Konowiecki would no longer serve in the Executive Role effective as of December 31, 2023. Further pursuant to the Amendment, (i) no cash severance was be paid to Mr. Konowiecki; (ii) unvested equity awards granted to Mr. Konowiecki under the Employment Agreement were not forfeited upon termination of the Executive Role and will continue to vest so long as he remains a service provider to the Company, including as a member of the Board; (iii) in consideration of the foregoing, Mr. Konowiecki will not receive the 2023 annual equity award received by other members of the Board of Directors; and (iv) notwithstanding the termination of the Executive Role,</w:t>
      </w:r>
    </w:p>
    <w:p>
      <w:pPr>
        <w:spacing w:after="0" w:line="3" w:lineRule="exact"/>
        <w:rPr>
          <w:sz w:val="20"/>
          <w:szCs w:val="20"/>
          <w:color w:val="auto"/>
        </w:rPr>
      </w:pPr>
    </w:p>
    <w:p>
      <w:pPr>
        <w:ind w:left="4" w:right="240"/>
        <w:spacing w:after="0" w:line="242" w:lineRule="auto"/>
        <w:rPr>
          <w:sz w:val="20"/>
          <w:szCs w:val="20"/>
          <w:color w:val="auto"/>
        </w:rPr>
      </w:pPr>
      <w:r>
        <w:rPr>
          <w:rFonts w:ascii="Arial" w:cs="Arial" w:eastAsia="Arial" w:hAnsi="Arial"/>
          <w:sz w:val="18"/>
          <w:szCs w:val="18"/>
          <w:color w:val="auto"/>
        </w:rPr>
        <w:t>Mr. Konowiecki received the cash bonus payable under the Company’s annual incentive program for fiscal year 2023, subject to the holdback and any positive or negative adjustments based on the Centers for Medicare &amp; Medicaid Services Star ratings received by the Company’s health plans for the 2025 rating year, as previously approved by the Board of Directors of the Company.</w:t>
      </w:r>
    </w:p>
    <w:p>
      <w:pPr>
        <w:spacing w:after="0" w:line="179" w:lineRule="exact"/>
        <w:rPr>
          <w:sz w:val="20"/>
          <w:szCs w:val="20"/>
          <w:color w:val="auto"/>
        </w:rPr>
      </w:pPr>
    </w:p>
    <w:p>
      <w:pPr>
        <w:ind w:left="4" w:right="40" w:firstLine="440"/>
        <w:spacing w:after="0" w:line="253" w:lineRule="auto"/>
        <w:rPr>
          <w:sz w:val="20"/>
          <w:szCs w:val="20"/>
          <w:color w:val="auto"/>
        </w:rPr>
      </w:pPr>
      <w:r>
        <w:rPr>
          <w:rFonts w:ascii="Arial" w:cs="Arial" w:eastAsia="Arial" w:hAnsi="Arial"/>
          <w:sz w:val="18"/>
          <w:szCs w:val="18"/>
          <w:color w:val="auto"/>
        </w:rPr>
        <w:t>The foregoing description is not complete and is qualified in its entirety by reference to the terms of the Employment Agreement, a copy of which is filed as Exhibit 10.3 to our Quarterly Report on Form 10-Q filed with the SEC on November 2, 2022, and the Amendment, a copy of which is filed as Exhibit 10.1 to our Current Report on Form 8-K filed with the SEC on December 29, 2023.</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1F497D"/>
        </w:rPr>
        <w:t>Indemnification of Officers and Directors</w:t>
      </w:r>
    </w:p>
    <w:p>
      <w:pPr>
        <w:spacing w:after="0" w:line="210" w:lineRule="exact"/>
        <w:rPr>
          <w:sz w:val="20"/>
          <w:szCs w:val="20"/>
          <w:color w:val="auto"/>
        </w:rPr>
      </w:pPr>
    </w:p>
    <w:p>
      <w:pPr>
        <w:ind w:left="4" w:right="40" w:firstLine="440"/>
        <w:spacing w:after="0" w:line="247" w:lineRule="auto"/>
        <w:rPr>
          <w:sz w:val="20"/>
          <w:szCs w:val="20"/>
          <w:color w:val="auto"/>
        </w:rPr>
      </w:pPr>
      <w:r>
        <w:rPr>
          <w:rFonts w:ascii="Arial" w:cs="Arial" w:eastAsia="Arial" w:hAnsi="Arial"/>
          <w:sz w:val="18"/>
          <w:szCs w:val="18"/>
          <w:color w:val="auto"/>
        </w:rPr>
        <w:t>We are party to indemnification agreements with each of our executive officers and directors. The indemnification agreements provide the executive officers and directors with contractual rights to indemnification, expense advancement and reimbursement, to the fullest extent permitted under the DGCL. Additionally, we may enter into indemnification agreements with any new directors or officers that may be broader in scope than the specific indemnification provisions contained in Delaware law.</w:t>
      </w:r>
    </w:p>
    <w:p>
      <w:pPr>
        <w:spacing w:after="0" w:line="176" w:lineRule="exact"/>
        <w:rPr>
          <w:sz w:val="20"/>
          <w:szCs w:val="20"/>
          <w:color w:val="auto"/>
        </w:rPr>
      </w:pPr>
    </w:p>
    <w:p>
      <w:pPr>
        <w:ind w:left="4"/>
        <w:spacing w:after="0"/>
        <w:rPr>
          <w:sz w:val="20"/>
          <w:szCs w:val="20"/>
          <w:color w:val="auto"/>
        </w:rPr>
      </w:pPr>
      <w:r>
        <w:rPr>
          <w:rFonts w:ascii="Arial" w:cs="Arial" w:eastAsia="Arial" w:hAnsi="Arial"/>
          <w:sz w:val="18"/>
          <w:szCs w:val="18"/>
          <w:b w:val="1"/>
          <w:bCs w:val="1"/>
          <w:i w:val="1"/>
          <w:iCs w:val="1"/>
          <w:color w:val="1F497D"/>
        </w:rPr>
        <w:t>Other Relationships</w:t>
      </w:r>
    </w:p>
    <w:p>
      <w:pPr>
        <w:spacing w:after="0" w:line="210" w:lineRule="exact"/>
        <w:rPr>
          <w:sz w:val="20"/>
          <w:szCs w:val="20"/>
          <w:color w:val="auto"/>
        </w:rPr>
      </w:pPr>
    </w:p>
    <w:p>
      <w:pPr>
        <w:ind w:left="4" w:right="220" w:firstLine="440"/>
        <w:spacing w:after="0" w:line="247" w:lineRule="auto"/>
        <w:rPr>
          <w:sz w:val="20"/>
          <w:szCs w:val="20"/>
          <w:color w:val="auto"/>
        </w:rPr>
      </w:pPr>
      <w:r>
        <w:rPr>
          <w:rFonts w:ascii="Arial" w:cs="Arial" w:eastAsia="Arial" w:hAnsi="Arial"/>
          <w:sz w:val="18"/>
          <w:szCs w:val="18"/>
          <w:color w:val="auto"/>
        </w:rPr>
        <w:t>Jeffrey Margolis serves as an independent member of our Board. Mr. Margolis’ daughter has been employed by the Company in operational roles related to member engagement since August 2015. Her compensation has been determined with reference to external market practice of similar positions and internal pay equity when compared to the compensation paid to employees in similar positions. Similarly, she has been granted equity awards on the same general terms and conditions as applicable to</w:t>
      </w:r>
    </w:p>
    <w:p>
      <w:pPr>
        <w:spacing w:after="0" w:line="10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04"/>
          </w:cols>
          <w:pgMar w:left="436" w:top="296" w:right="459" w:bottom="1440" w:gutter="0" w:footer="0" w:header="0"/>
        </w:sectPr>
      </w:pPr>
    </w:p>
    <w:bookmarkStart w:id="84" w:name="page85"/>
    <w:bookmarkEnd w:id="84"/>
    <w:p>
      <w:pPr>
        <w:spacing w:after="0" w:line="27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employees in similar positions. Mr. Margolis plays no personal role in determining his daughter’s compensation or reviewing his daughter’s performance.</w:t>
      </w:r>
    </w:p>
    <w:p>
      <w:pPr>
        <w:spacing w:after="0" w:line="154" w:lineRule="exact"/>
        <w:rPr>
          <w:sz w:val="20"/>
          <w:szCs w:val="20"/>
          <w:color w:val="auto"/>
        </w:rPr>
      </w:pPr>
    </w:p>
    <w:p>
      <w:pPr>
        <w:ind w:firstLine="440"/>
        <w:spacing w:after="0" w:line="242" w:lineRule="auto"/>
        <w:rPr>
          <w:sz w:val="20"/>
          <w:szCs w:val="20"/>
          <w:color w:val="auto"/>
        </w:rPr>
      </w:pPr>
      <w:r>
        <w:rPr>
          <w:rFonts w:ascii="Arial" w:cs="Arial" w:eastAsia="Arial" w:hAnsi="Arial"/>
          <w:sz w:val="18"/>
          <w:szCs w:val="18"/>
          <w:color w:val="auto"/>
        </w:rPr>
        <w:t>Mr. Konowiecki’s son is a partner in the law firm of McDermott Will &amp; Emery LLP (“MWE”), which provided legal services to the Company and our subsidiaries during the fiscal year ended December 31, 2023 and continues to do so. For providing these services, MWE received fees during the fiscal year ended December 31, 2023 of approximately $0.5 million and fees in fiscal 2024 through April 26, 2024 totaling approximately $56,000. Mr. Konowiecki’s son does not receive any direct compensation from the fees paid to MWE by us, and the fees paid by us to MWE in fiscal 2023 were less than 1% of MWE’s annual revenues. The engagement of MWE was reviewed and approved by our Audit Committee in accordance with our Related Party Transactions Policy.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96" w:right="459" w:bottom="1440" w:gutter="0" w:footer="0" w:header="0"/>
        </w:sectPr>
      </w:pPr>
    </w:p>
    <w:bookmarkStart w:id="85" w:name="page86"/>
    <w:bookmarkEnd w:id="8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SECURITY OWNERSHIP OF CERTAIN BENEFICIAL</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OWNERS AND MANAGEMENT</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about the beneficial ownership of our common stock as of March 31, 2024 for:</w:t>
      </w:r>
    </w:p>
    <w:p>
      <w:pPr>
        <w:spacing w:after="0" w:line="239" w:lineRule="exact"/>
        <w:rPr>
          <w:sz w:val="20"/>
          <w:szCs w:val="20"/>
          <w:color w:val="auto"/>
        </w:rPr>
      </w:pPr>
    </w:p>
    <w:p>
      <w:pPr>
        <w:ind w:left="1200" w:right="480" w:hanging="327"/>
        <w:spacing w:after="0" w:line="270" w:lineRule="auto"/>
        <w:tabs>
          <w:tab w:leader="none" w:pos="12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each person or group known to us who beneficially owns more than 5% of our common stock immediately prior to this offering;</w:t>
      </w:r>
    </w:p>
    <w:p>
      <w:pPr>
        <w:spacing w:after="0" w:line="18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directors;</w:t>
      </w:r>
    </w:p>
    <w:p>
      <w:pPr>
        <w:spacing w:after="0" w:line="25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each of our Named Executive Officers; and</w:t>
      </w:r>
    </w:p>
    <w:p>
      <w:pPr>
        <w:spacing w:after="0" w:line="251" w:lineRule="exact"/>
        <w:rPr>
          <w:rFonts w:ascii="Times New Roman" w:cs="Times New Roman" w:eastAsia="Times New Roman" w:hAnsi="Times New Roman"/>
          <w:sz w:val="18"/>
          <w:szCs w:val="18"/>
          <w:color w:val="auto"/>
        </w:rPr>
      </w:pPr>
    </w:p>
    <w:p>
      <w:pPr>
        <w:ind w:left="1200" w:hanging="327"/>
        <w:spacing w:after="0"/>
        <w:tabs>
          <w:tab w:leader="none" w:pos="1200" w:val="left"/>
        </w:tabs>
        <w:numPr>
          <w:ilvl w:val="0"/>
          <w:numId w:val="75"/>
        </w:numPr>
        <w:rPr>
          <w:rFonts w:ascii="Times New Roman" w:cs="Times New Roman" w:eastAsia="Times New Roman" w:hAnsi="Times New Roman"/>
          <w:sz w:val="18"/>
          <w:szCs w:val="18"/>
          <w:color w:val="auto"/>
        </w:rPr>
      </w:pPr>
      <w:r>
        <w:rPr>
          <w:rFonts w:ascii="Arial" w:cs="Arial" w:eastAsia="Arial" w:hAnsi="Arial"/>
          <w:sz w:val="18"/>
          <w:szCs w:val="18"/>
          <w:color w:val="auto"/>
        </w:rPr>
        <w:t>all of our directors and executive officers as a group.</w:t>
      </w:r>
    </w:p>
    <w:p>
      <w:pPr>
        <w:spacing w:after="0" w:line="224" w:lineRule="exact"/>
        <w:rPr>
          <w:sz w:val="20"/>
          <w:szCs w:val="20"/>
          <w:color w:val="auto"/>
        </w:rPr>
      </w:pPr>
    </w:p>
    <w:p>
      <w:pPr>
        <w:ind w:right="20" w:firstLine="440"/>
        <w:spacing w:after="0" w:line="239" w:lineRule="auto"/>
        <w:rPr>
          <w:sz w:val="20"/>
          <w:szCs w:val="20"/>
          <w:color w:val="auto"/>
        </w:rPr>
      </w:pPr>
      <w:r>
        <w:rPr>
          <w:rFonts w:ascii="Arial" w:cs="Arial" w:eastAsia="Arial" w:hAnsi="Arial"/>
          <w:sz w:val="18"/>
          <w:szCs w:val="18"/>
          <w:color w:val="auto"/>
        </w:rPr>
        <w:t>Each stockholder’s percentage ownership is based on 190,657,348 shares of common stock outstanding as of April 15, 2024. Beneficial ownership for the purposes of the following table is determined in accordance with the rules and regulations of the SEC. These rules generally provide that a person is the beneficial owner of securities if such person has or shares the power to vote or direct the voting thereof, or to dispose or direct the disposition thereof or has the right to acquire such powers within 60 days. Common stock subject to options that are currently exercisable or exercisable within 60 days of March 31, 2024, and common stock issuable upon vesting of RSUs within 60 days of March 31, 2024, are deemed to be outstanding and beneficially owned by the person holding the options or RSUs, as applicable. These shares, however, are not deemed outstanding for the purposes of computing the percentage ownership of any other person. Except as disclosed in the footnotes to this table and subject to applicable community property laws, we believe that each stockholder identified in the table possesses sole voting and investment power over all common stock shown as beneficially owned by the stockholder.</w:t>
      </w:r>
    </w:p>
    <w:p>
      <w:pPr>
        <w:spacing w:after="0" w:line="180" w:lineRule="exact"/>
        <w:rPr>
          <w:sz w:val="20"/>
          <w:szCs w:val="20"/>
          <w:color w:val="auto"/>
        </w:rPr>
      </w:pPr>
    </w:p>
    <w:p>
      <w:pPr>
        <w:ind w:right="340" w:firstLine="440"/>
        <w:spacing w:after="0" w:line="253" w:lineRule="auto"/>
        <w:rPr>
          <w:sz w:val="20"/>
          <w:szCs w:val="20"/>
          <w:color w:val="auto"/>
        </w:rPr>
      </w:pPr>
      <w:r>
        <w:rPr>
          <w:rFonts w:ascii="Arial" w:cs="Arial" w:eastAsia="Arial" w:hAnsi="Arial"/>
          <w:sz w:val="18"/>
          <w:szCs w:val="18"/>
          <w:color w:val="auto"/>
        </w:rPr>
        <w:t>Unless otherwise noted below, the address of each beneficial owner listed on the table is c/o Alignment Healthcare, Inc., 1100 W. Town and Country Road, Suite 1600, Orange, California 92868. Beneficial ownership representing less than 1% is denoted with an asterisk (*).</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100" w:type="dxa"/>
            <w:vAlign w:val="bottom"/>
            <w:tcBorders>
              <w:bottom w:val="single" w:sz="8" w:color="95B3D7"/>
            </w:tcBorders>
          </w:tcPr>
          <w:p>
            <w:pPr>
              <w:spacing w:after="0"/>
              <w:rPr>
                <w:sz w:val="20"/>
                <w:szCs w:val="20"/>
                <w:color w:val="auto"/>
              </w:rPr>
            </w:pPr>
            <w:r>
              <w:rPr>
                <w:rFonts w:ascii="Arial" w:cs="Arial" w:eastAsia="Arial" w:hAnsi="Arial"/>
                <w:sz w:val="18"/>
                <w:szCs w:val="18"/>
                <w:b w:val="1"/>
                <w:bCs w:val="1"/>
                <w:color w:val="auto"/>
              </w:rPr>
              <w:t>   Beneficial Owner</w:t>
            </w:r>
          </w:p>
        </w:tc>
        <w:tc>
          <w:tcPr>
            <w:tcW w:w="2960" w:type="dxa"/>
            <w:vAlign w:val="bottom"/>
            <w:tcBorders>
              <w:bottom w:val="single" w:sz="8" w:color="95B3D7"/>
            </w:tcBorders>
          </w:tcPr>
          <w:p>
            <w:pPr>
              <w:jc w:val="right"/>
              <w:ind w:right="590"/>
              <w:spacing w:after="0"/>
              <w:rPr>
                <w:sz w:val="20"/>
                <w:szCs w:val="20"/>
                <w:color w:val="auto"/>
              </w:rPr>
            </w:pPr>
            <w:r>
              <w:rPr>
                <w:rFonts w:ascii="Arial" w:cs="Arial" w:eastAsia="Arial" w:hAnsi="Arial"/>
                <w:sz w:val="18"/>
                <w:szCs w:val="18"/>
                <w:b w:val="1"/>
                <w:bCs w:val="1"/>
                <w:color w:val="auto"/>
              </w:rPr>
              <w:t>Number of Shares</w:t>
            </w:r>
          </w:p>
        </w:tc>
        <w:tc>
          <w:tcPr>
            <w:tcW w:w="2960" w:type="dxa"/>
            <w:vAlign w:val="bottom"/>
            <w:tcBorders>
              <w:bottom w:val="single" w:sz="8" w:color="95B3D7"/>
            </w:tcBorders>
          </w:tcPr>
          <w:p>
            <w:pPr>
              <w:ind w:left="1040"/>
              <w:spacing w:after="0"/>
              <w:rPr>
                <w:sz w:val="20"/>
                <w:szCs w:val="20"/>
                <w:color w:val="auto"/>
              </w:rPr>
            </w:pPr>
            <w:r>
              <w:rPr>
                <w:rFonts w:ascii="Arial" w:cs="Arial" w:eastAsia="Arial" w:hAnsi="Arial"/>
                <w:sz w:val="18"/>
                <w:szCs w:val="18"/>
                <w:b w:val="1"/>
                <w:bCs w:val="1"/>
                <w:color w:val="auto"/>
              </w:rPr>
              <w:t>Percentage</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6" w:lineRule="exact"/>
              <w:rPr>
                <w:sz w:val="20"/>
                <w:szCs w:val="20"/>
                <w:color w:val="auto"/>
              </w:rPr>
            </w:pPr>
            <w:r>
              <w:rPr>
                <w:rFonts w:ascii="Arial" w:cs="Arial" w:eastAsia="Arial" w:hAnsi="Arial"/>
                <w:sz w:val="18"/>
                <w:szCs w:val="18"/>
                <w:b w:val="1"/>
                <w:bCs w:val="1"/>
                <w:color w:val="auto"/>
              </w:rPr>
              <w:t> 5% Stockholders</w:t>
            </w:r>
          </w:p>
        </w:tc>
        <w:tc>
          <w:tcPr>
            <w:tcW w:w="2960" w:type="dxa"/>
            <w:vAlign w:val="bottom"/>
            <w:tcBorders>
              <w:bottom w:val="single" w:sz="8" w:color="95B3D7"/>
              <w:right w:val="single" w:sz="8" w:color="95B3D7"/>
            </w:tcBorders>
            <w:shd w:val="clear" w:color="auto" w:fill="DBE5F1"/>
          </w:tcPr>
          <w:p>
            <w:pPr>
              <w:spacing w:after="0"/>
              <w:rPr>
                <w:sz w:val="17"/>
                <w:szCs w:val="17"/>
                <w:color w:val="auto"/>
              </w:rPr>
            </w:pPr>
          </w:p>
        </w:tc>
        <w:tc>
          <w:tcPr>
            <w:tcW w:w="2960" w:type="dxa"/>
            <w:vAlign w:val="bottom"/>
            <w:tcBorders>
              <w:bottom w:val="single" w:sz="8" w:color="95B3D7"/>
            </w:tcBorders>
            <w:shd w:val="clear" w:color="auto" w:fill="DBE5F1"/>
          </w:tcPr>
          <w:p>
            <w:pPr>
              <w:spacing w:after="0"/>
              <w:rPr>
                <w:sz w:val="17"/>
                <w:szCs w:val="17"/>
                <w:color w:val="auto"/>
              </w:rPr>
            </w:pPr>
          </w:p>
        </w:tc>
      </w:tr>
      <w:tr>
        <w:trPr>
          <w:trHeight w:val="196"/>
        </w:trPr>
        <w:tc>
          <w:tcPr>
            <w:tcW w:w="5100" w:type="dxa"/>
            <w:vAlign w:val="bottom"/>
            <w:tcBorders>
              <w:bottom w:val="single" w:sz="8" w:color="95B3D7"/>
              <w:right w:val="single" w:sz="8" w:color="95B3D7"/>
            </w:tcBorders>
          </w:tcPr>
          <w:p>
            <w:pPr>
              <w:ind w:left="140"/>
              <w:spacing w:after="0" w:line="195" w:lineRule="exact"/>
              <w:rPr>
                <w:sz w:val="20"/>
                <w:szCs w:val="20"/>
                <w:color w:val="auto"/>
              </w:rPr>
            </w:pPr>
            <w:r>
              <w:rPr>
                <w:rFonts w:ascii="Arial" w:cs="Arial" w:eastAsia="Arial" w:hAnsi="Arial"/>
                <w:sz w:val="16"/>
                <w:szCs w:val="16"/>
                <w:color w:val="auto"/>
              </w:rPr>
              <w:t> General Atlantic</w:t>
            </w:r>
            <w:r>
              <w:rPr>
                <w:rFonts w:ascii="Arial" w:cs="Arial" w:eastAsia="Arial" w:hAnsi="Arial"/>
                <w:sz w:val="22"/>
                <w:szCs w:val="22"/>
                <w:color w:val="auto"/>
                <w:vertAlign w:val="superscript"/>
              </w:rPr>
              <w:t>(1)</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60,993,323</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32.0%</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5" w:lineRule="exact"/>
              <w:rPr>
                <w:sz w:val="20"/>
                <w:szCs w:val="20"/>
                <w:color w:val="auto"/>
              </w:rPr>
            </w:pPr>
            <w:r>
              <w:rPr>
                <w:rFonts w:ascii="Arial" w:cs="Arial" w:eastAsia="Arial" w:hAnsi="Arial"/>
                <w:sz w:val="16"/>
                <w:szCs w:val="16"/>
                <w:color w:val="auto"/>
              </w:rPr>
              <w:t> Warburg Pincus</w:t>
            </w:r>
            <w:r>
              <w:rPr>
                <w:rFonts w:ascii="Arial" w:cs="Arial" w:eastAsia="Arial" w:hAnsi="Arial"/>
                <w:sz w:val="22"/>
                <w:szCs w:val="22"/>
                <w:color w:val="auto"/>
                <w:vertAlign w:val="superscript"/>
              </w:rPr>
              <w:t>(2)</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17,922,779</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w w:val="97"/>
              </w:rPr>
              <w:t>9.4%</w:t>
            </w:r>
          </w:p>
        </w:tc>
      </w:tr>
      <w:tr>
        <w:trPr>
          <w:trHeight w:val="196"/>
        </w:trPr>
        <w:tc>
          <w:tcPr>
            <w:tcW w:w="5100" w:type="dxa"/>
            <w:vAlign w:val="bottom"/>
            <w:tcBorders>
              <w:bottom w:val="single" w:sz="8" w:color="95B3D7"/>
              <w:right w:val="single" w:sz="8" w:color="95B3D7"/>
            </w:tcBorders>
          </w:tcPr>
          <w:p>
            <w:pPr>
              <w:ind w:left="140"/>
              <w:spacing w:after="0" w:line="195" w:lineRule="exact"/>
              <w:rPr>
                <w:sz w:val="20"/>
                <w:szCs w:val="20"/>
                <w:color w:val="auto"/>
              </w:rPr>
            </w:pPr>
            <w:r>
              <w:rPr>
                <w:rFonts w:ascii="Arial" w:cs="Arial" w:eastAsia="Arial" w:hAnsi="Arial"/>
                <w:sz w:val="16"/>
                <w:szCs w:val="16"/>
                <w:color w:val="auto"/>
              </w:rPr>
              <w:t> Fidelity Investments</w:t>
            </w:r>
            <w:r>
              <w:rPr>
                <w:rFonts w:ascii="Arial" w:cs="Arial" w:eastAsia="Arial" w:hAnsi="Arial"/>
                <w:sz w:val="22"/>
                <w:szCs w:val="22"/>
                <w:color w:val="auto"/>
                <w:vertAlign w:val="superscript"/>
              </w:rPr>
              <w:t>(3)</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17,000,204</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w w:val="97"/>
              </w:rPr>
              <w:t>8.9%</w:t>
            </w:r>
          </w:p>
        </w:tc>
      </w:tr>
      <w:tr>
        <w:trPr>
          <w:trHeight w:val="196"/>
        </w:trPr>
        <w:tc>
          <w:tcPr>
            <w:tcW w:w="5100" w:type="dxa"/>
            <w:vAlign w:val="bottom"/>
            <w:tcBorders>
              <w:bottom w:val="single" w:sz="8" w:color="95B3D7"/>
              <w:right w:val="single" w:sz="8" w:color="95B3D7"/>
            </w:tcBorders>
          </w:tcPr>
          <w:p>
            <w:pPr>
              <w:ind w:left="140"/>
              <w:spacing w:after="0" w:line="195" w:lineRule="exact"/>
              <w:rPr>
                <w:sz w:val="20"/>
                <w:szCs w:val="20"/>
                <w:color w:val="auto"/>
              </w:rPr>
            </w:pPr>
            <w:r>
              <w:rPr>
                <w:rFonts w:ascii="Arial" w:cs="Arial" w:eastAsia="Arial" w:hAnsi="Arial"/>
                <w:sz w:val="16"/>
                <w:szCs w:val="16"/>
                <w:color w:val="auto"/>
              </w:rPr>
              <w:t> T. Rowe Price</w:t>
            </w:r>
            <w:r>
              <w:rPr>
                <w:rFonts w:ascii="Arial" w:cs="Arial" w:eastAsia="Arial" w:hAnsi="Arial"/>
                <w:sz w:val="22"/>
                <w:szCs w:val="22"/>
                <w:color w:val="auto"/>
                <w:vertAlign w:val="superscript"/>
              </w:rPr>
              <w:t>(4)</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12,075,504</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w w:val="97"/>
              </w:rPr>
              <w:t>6.3%</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6" w:lineRule="exact"/>
              <w:rPr>
                <w:sz w:val="20"/>
                <w:szCs w:val="20"/>
                <w:color w:val="auto"/>
              </w:rPr>
            </w:pPr>
            <w:r>
              <w:rPr>
                <w:rFonts w:ascii="Arial" w:cs="Arial" w:eastAsia="Arial" w:hAnsi="Arial"/>
                <w:sz w:val="18"/>
                <w:szCs w:val="18"/>
                <w:b w:val="1"/>
                <w:bCs w:val="1"/>
                <w:color w:val="auto"/>
              </w:rPr>
              <w:t> Named Executive Officers and Directors</w:t>
            </w:r>
          </w:p>
        </w:tc>
        <w:tc>
          <w:tcPr>
            <w:tcW w:w="2960" w:type="dxa"/>
            <w:vAlign w:val="bottom"/>
            <w:tcBorders>
              <w:bottom w:val="single" w:sz="8" w:color="95B3D7"/>
              <w:right w:val="single" w:sz="8" w:color="95B3D7"/>
            </w:tcBorders>
            <w:shd w:val="clear" w:color="auto" w:fill="DBE5F1"/>
          </w:tcPr>
          <w:p>
            <w:pPr>
              <w:spacing w:after="0"/>
              <w:rPr>
                <w:sz w:val="17"/>
                <w:szCs w:val="17"/>
                <w:color w:val="auto"/>
              </w:rPr>
            </w:pPr>
          </w:p>
        </w:tc>
        <w:tc>
          <w:tcPr>
            <w:tcW w:w="2960" w:type="dxa"/>
            <w:vAlign w:val="bottom"/>
            <w:tcBorders>
              <w:bottom w:val="single" w:sz="8" w:color="95B3D7"/>
            </w:tcBorders>
            <w:shd w:val="clear" w:color="auto" w:fill="DBE5F1"/>
          </w:tcPr>
          <w:p>
            <w:pPr>
              <w:spacing w:after="0"/>
              <w:rPr>
                <w:sz w:val="17"/>
                <w:szCs w:val="17"/>
                <w:color w:val="auto"/>
              </w:rPr>
            </w:pPr>
          </w:p>
        </w:tc>
      </w:tr>
      <w:tr>
        <w:trPr>
          <w:trHeight w:val="196"/>
        </w:trPr>
        <w:tc>
          <w:tcPr>
            <w:tcW w:w="5100" w:type="dxa"/>
            <w:vAlign w:val="bottom"/>
            <w:tcBorders>
              <w:bottom w:val="single" w:sz="8" w:color="95B3D7"/>
              <w:right w:val="single" w:sz="8" w:color="95B3D7"/>
            </w:tcBorders>
          </w:tcPr>
          <w:p>
            <w:pPr>
              <w:ind w:left="140"/>
              <w:spacing w:after="0" w:line="195" w:lineRule="exact"/>
              <w:rPr>
                <w:sz w:val="20"/>
                <w:szCs w:val="20"/>
                <w:color w:val="auto"/>
              </w:rPr>
            </w:pPr>
            <w:r>
              <w:rPr>
                <w:rFonts w:ascii="Arial" w:cs="Arial" w:eastAsia="Arial" w:hAnsi="Arial"/>
                <w:sz w:val="16"/>
                <w:szCs w:val="16"/>
                <w:color w:val="auto"/>
              </w:rPr>
              <w:t> John Kao</w:t>
            </w:r>
            <w:r>
              <w:rPr>
                <w:rFonts w:ascii="Arial" w:cs="Arial" w:eastAsia="Arial" w:hAnsi="Arial"/>
                <w:sz w:val="22"/>
                <w:szCs w:val="22"/>
                <w:color w:val="auto"/>
                <w:vertAlign w:val="superscript"/>
              </w:rPr>
              <w:t>(5)</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6,293,208</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w w:val="97"/>
              </w:rPr>
              <w:t>3.3%</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5" w:lineRule="exact"/>
              <w:rPr>
                <w:sz w:val="20"/>
                <w:szCs w:val="20"/>
                <w:color w:val="auto"/>
              </w:rPr>
            </w:pPr>
            <w:r>
              <w:rPr>
                <w:rFonts w:ascii="Arial" w:cs="Arial" w:eastAsia="Arial" w:hAnsi="Arial"/>
                <w:sz w:val="16"/>
                <w:szCs w:val="16"/>
                <w:color w:val="auto"/>
              </w:rPr>
              <w:t> Dawn Maroney</w:t>
            </w:r>
            <w:r>
              <w:rPr>
                <w:rFonts w:ascii="Arial" w:cs="Arial" w:eastAsia="Arial" w:hAnsi="Arial"/>
                <w:sz w:val="22"/>
                <w:szCs w:val="22"/>
                <w:color w:val="auto"/>
                <w:vertAlign w:val="superscript"/>
              </w:rPr>
              <w:t>(6)</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  1,755,955</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tcPr>
          <w:p>
            <w:pPr>
              <w:ind w:left="140"/>
              <w:spacing w:after="0" w:line="195" w:lineRule="exact"/>
              <w:rPr>
                <w:sz w:val="20"/>
                <w:szCs w:val="20"/>
                <w:color w:val="auto"/>
              </w:rPr>
            </w:pPr>
            <w:r>
              <w:rPr>
                <w:rFonts w:ascii="Arial" w:cs="Arial" w:eastAsia="Arial" w:hAnsi="Arial"/>
                <w:sz w:val="16"/>
                <w:szCs w:val="16"/>
                <w:color w:val="auto"/>
              </w:rPr>
              <w:t> Thomas Freeman</w:t>
            </w:r>
            <w:r>
              <w:rPr>
                <w:rFonts w:ascii="Arial" w:cs="Arial" w:eastAsia="Arial" w:hAnsi="Arial"/>
                <w:sz w:val="22"/>
                <w:szCs w:val="22"/>
                <w:color w:val="auto"/>
                <w:vertAlign w:val="superscript"/>
              </w:rPr>
              <w:t>(7)</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1,494,445</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5" w:lineRule="exact"/>
              <w:rPr>
                <w:sz w:val="20"/>
                <w:szCs w:val="20"/>
                <w:color w:val="auto"/>
              </w:rPr>
            </w:pPr>
            <w:r>
              <w:rPr>
                <w:rFonts w:ascii="Arial" w:cs="Arial" w:eastAsia="Arial" w:hAnsi="Arial"/>
                <w:sz w:val="16"/>
                <w:szCs w:val="16"/>
                <w:color w:val="auto"/>
              </w:rPr>
              <w:t> Hakan Kardes</w:t>
            </w:r>
            <w:r>
              <w:rPr>
                <w:rFonts w:ascii="Arial" w:cs="Arial" w:eastAsia="Arial" w:hAnsi="Arial"/>
                <w:sz w:val="22"/>
                <w:szCs w:val="22"/>
                <w:color w:val="auto"/>
                <w:vertAlign w:val="superscript"/>
              </w:rPr>
              <w:t>(8)</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     504,784</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tcPr>
          <w:p>
            <w:pPr>
              <w:ind w:left="140"/>
              <w:spacing w:after="0" w:line="196" w:lineRule="exact"/>
              <w:rPr>
                <w:sz w:val="20"/>
                <w:szCs w:val="20"/>
                <w:color w:val="auto"/>
              </w:rPr>
            </w:pPr>
            <w:r>
              <w:rPr>
                <w:rFonts w:ascii="Arial" w:cs="Arial" w:eastAsia="Arial" w:hAnsi="Arial"/>
                <w:sz w:val="18"/>
                <w:szCs w:val="18"/>
                <w:color w:val="auto"/>
              </w:rPr>
              <w:t> Hyong (Ken) Kim, M.D.</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13,394</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6" w:lineRule="exact"/>
              <w:rPr>
                <w:sz w:val="20"/>
                <w:szCs w:val="20"/>
                <w:color w:val="auto"/>
              </w:rPr>
            </w:pPr>
            <w:r>
              <w:rPr>
                <w:rFonts w:ascii="Arial" w:cs="Arial" w:eastAsia="Arial" w:hAnsi="Arial"/>
                <w:sz w:val="18"/>
                <w:szCs w:val="18"/>
                <w:color w:val="auto"/>
              </w:rPr>
              <w:t> Jody Bilney</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       48,282</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tcPr>
          <w:p>
            <w:pPr>
              <w:ind w:left="140"/>
              <w:spacing w:after="0" w:line="196" w:lineRule="exact"/>
              <w:rPr>
                <w:sz w:val="20"/>
                <w:szCs w:val="20"/>
                <w:color w:val="auto"/>
              </w:rPr>
            </w:pPr>
            <w:r>
              <w:rPr>
                <w:rFonts w:ascii="Arial" w:cs="Arial" w:eastAsia="Arial" w:hAnsi="Arial"/>
                <w:sz w:val="18"/>
                <w:szCs w:val="18"/>
                <w:color w:val="auto"/>
              </w:rPr>
              <w:t> Thomas Carella</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84,478</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6" w:lineRule="exact"/>
              <w:rPr>
                <w:sz w:val="20"/>
                <w:szCs w:val="20"/>
                <w:color w:val="auto"/>
              </w:rPr>
            </w:pPr>
            <w:r>
              <w:rPr>
                <w:rFonts w:ascii="Arial" w:cs="Arial" w:eastAsia="Arial" w:hAnsi="Arial"/>
                <w:sz w:val="18"/>
                <w:szCs w:val="18"/>
                <w:color w:val="auto"/>
              </w:rPr>
              <w:t> David Hodgson</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       85,716</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tcPr>
          <w:p>
            <w:pPr>
              <w:ind w:left="140"/>
              <w:spacing w:after="0" w:line="196" w:lineRule="exact"/>
              <w:rPr>
                <w:sz w:val="20"/>
                <w:szCs w:val="20"/>
                <w:color w:val="auto"/>
              </w:rPr>
            </w:pPr>
            <w:r>
              <w:rPr>
                <w:rFonts w:ascii="Arial" w:cs="Arial" w:eastAsia="Arial" w:hAnsi="Arial"/>
                <w:sz w:val="18"/>
                <w:szCs w:val="18"/>
                <w:color w:val="auto"/>
              </w:rPr>
              <w:t> Yon Jorden</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41,014</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5" w:lineRule="exact"/>
              <w:rPr>
                <w:sz w:val="20"/>
                <w:szCs w:val="20"/>
                <w:color w:val="auto"/>
              </w:rPr>
            </w:pPr>
            <w:r>
              <w:rPr>
                <w:rFonts w:ascii="Arial" w:cs="Arial" w:eastAsia="Arial" w:hAnsi="Arial"/>
                <w:sz w:val="16"/>
                <w:szCs w:val="16"/>
                <w:color w:val="auto"/>
              </w:rPr>
              <w:t> Joseph Konowiecki</w:t>
            </w:r>
            <w:r>
              <w:rPr>
                <w:rFonts w:ascii="Arial" w:cs="Arial" w:eastAsia="Arial" w:hAnsi="Arial"/>
                <w:sz w:val="22"/>
                <w:szCs w:val="22"/>
                <w:color w:val="auto"/>
                <w:vertAlign w:val="superscript"/>
              </w:rPr>
              <w:t>(9)</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     982,531</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tcPr>
          <w:p>
            <w:pPr>
              <w:ind w:left="140"/>
              <w:spacing w:after="0" w:line="196" w:lineRule="exact"/>
              <w:rPr>
                <w:sz w:val="20"/>
                <w:szCs w:val="20"/>
                <w:color w:val="auto"/>
              </w:rPr>
            </w:pPr>
            <w:r>
              <w:rPr>
                <w:rFonts w:ascii="Arial" w:cs="Arial" w:eastAsia="Arial" w:hAnsi="Arial"/>
                <w:sz w:val="18"/>
                <w:szCs w:val="18"/>
                <w:color w:val="auto"/>
              </w:rPr>
              <w:t> Jacqueline Kosecoff</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238,609</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5" w:lineRule="exact"/>
              <w:rPr>
                <w:sz w:val="20"/>
                <w:szCs w:val="20"/>
                <w:color w:val="auto"/>
              </w:rPr>
            </w:pPr>
            <w:r>
              <w:rPr>
                <w:rFonts w:ascii="Arial" w:cs="Arial" w:eastAsia="Arial" w:hAnsi="Arial"/>
                <w:sz w:val="16"/>
                <w:szCs w:val="16"/>
                <w:color w:val="auto"/>
              </w:rPr>
              <w:t> Jeffrey Margolis</w:t>
            </w:r>
            <w:r>
              <w:rPr>
                <w:rFonts w:ascii="Arial" w:cs="Arial" w:eastAsia="Arial" w:hAnsi="Arial"/>
                <w:sz w:val="22"/>
                <w:szCs w:val="22"/>
                <w:color w:val="auto"/>
                <w:vertAlign w:val="superscript"/>
              </w:rPr>
              <w:t>(10)</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       74,451</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tcPr>
          <w:p>
            <w:pPr>
              <w:ind w:left="140"/>
              <w:spacing w:after="0" w:line="196" w:lineRule="exact"/>
              <w:rPr>
                <w:sz w:val="20"/>
                <w:szCs w:val="20"/>
                <w:color w:val="auto"/>
              </w:rPr>
            </w:pPr>
            <w:r>
              <w:rPr>
                <w:rFonts w:ascii="Arial" w:cs="Arial" w:eastAsia="Arial" w:hAnsi="Arial"/>
                <w:sz w:val="18"/>
                <w:szCs w:val="18"/>
                <w:color w:val="auto"/>
              </w:rPr>
              <w:t> Margaret McCarthy</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83,120</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shd w:val="clear" w:color="auto" w:fill="DBE5F1"/>
          </w:tcPr>
          <w:p>
            <w:pPr>
              <w:ind w:left="140"/>
              <w:spacing w:after="0" w:line="196" w:lineRule="exact"/>
              <w:rPr>
                <w:sz w:val="20"/>
                <w:szCs w:val="20"/>
                <w:color w:val="auto"/>
              </w:rPr>
            </w:pPr>
            <w:r>
              <w:rPr>
                <w:rFonts w:ascii="Arial" w:cs="Arial" w:eastAsia="Arial" w:hAnsi="Arial"/>
                <w:sz w:val="18"/>
                <w:szCs w:val="18"/>
                <w:color w:val="auto"/>
              </w:rPr>
              <w:t> Mark McClellan</w:t>
            </w:r>
          </w:p>
        </w:tc>
        <w:tc>
          <w:tcPr>
            <w:tcW w:w="2960" w:type="dxa"/>
            <w:vAlign w:val="bottom"/>
            <w:tcBorders>
              <w:bottom w:val="single" w:sz="8" w:color="95B3D7"/>
              <w:right w:val="single" w:sz="8" w:color="95B3D7"/>
            </w:tcBorders>
            <w:shd w:val="clear" w:color="auto" w:fill="DBE5F1"/>
          </w:tcPr>
          <w:p>
            <w:pPr>
              <w:jc w:val="right"/>
              <w:ind w:right="910"/>
              <w:spacing w:after="0" w:line="196" w:lineRule="exact"/>
              <w:rPr>
                <w:sz w:val="20"/>
                <w:szCs w:val="20"/>
                <w:color w:val="auto"/>
              </w:rPr>
            </w:pPr>
            <w:r>
              <w:rPr>
                <w:rFonts w:ascii="Arial" w:cs="Arial" w:eastAsia="Arial" w:hAnsi="Arial"/>
                <w:sz w:val="18"/>
                <w:szCs w:val="18"/>
                <w:color w:val="auto"/>
              </w:rPr>
              <w:t>     315,177</w:t>
            </w:r>
          </w:p>
        </w:tc>
        <w:tc>
          <w:tcPr>
            <w:tcW w:w="2960" w:type="dxa"/>
            <w:vAlign w:val="bottom"/>
            <w:tcBorders>
              <w:bottom w:val="single" w:sz="8" w:color="95B3D7"/>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rPr>
              <w:t>*</w:t>
            </w:r>
          </w:p>
        </w:tc>
      </w:tr>
      <w:tr>
        <w:trPr>
          <w:trHeight w:val="196"/>
        </w:trPr>
        <w:tc>
          <w:tcPr>
            <w:tcW w:w="5100" w:type="dxa"/>
            <w:vAlign w:val="bottom"/>
            <w:tcBorders>
              <w:bottom w:val="single" w:sz="8" w:color="95B3D7"/>
              <w:right w:val="single" w:sz="8" w:color="95B3D7"/>
            </w:tcBorders>
          </w:tcPr>
          <w:p>
            <w:pPr>
              <w:ind w:left="140"/>
              <w:spacing w:after="0" w:line="196" w:lineRule="exact"/>
              <w:rPr>
                <w:sz w:val="20"/>
                <w:szCs w:val="20"/>
                <w:color w:val="auto"/>
              </w:rPr>
            </w:pPr>
            <w:r>
              <w:rPr>
                <w:rFonts w:ascii="Arial" w:cs="Arial" w:eastAsia="Arial" w:hAnsi="Arial"/>
                <w:sz w:val="18"/>
                <w:szCs w:val="18"/>
                <w:color w:val="auto"/>
              </w:rPr>
              <w:t> Robbert Vorhoff</w:t>
            </w:r>
          </w:p>
        </w:tc>
        <w:tc>
          <w:tcPr>
            <w:tcW w:w="2960" w:type="dxa"/>
            <w:vAlign w:val="bottom"/>
            <w:tcBorders>
              <w:bottom w:val="single" w:sz="8" w:color="95B3D7"/>
              <w:right w:val="single" w:sz="8" w:color="95B3D7"/>
            </w:tcBorders>
          </w:tcPr>
          <w:p>
            <w:pPr>
              <w:jc w:val="right"/>
              <w:ind w:right="910"/>
              <w:spacing w:after="0" w:line="196" w:lineRule="exact"/>
              <w:rPr>
                <w:sz w:val="20"/>
                <w:szCs w:val="20"/>
                <w:color w:val="auto"/>
              </w:rPr>
            </w:pPr>
            <w:r>
              <w:rPr>
                <w:rFonts w:ascii="Arial" w:cs="Arial" w:eastAsia="Arial" w:hAnsi="Arial"/>
                <w:sz w:val="18"/>
                <w:szCs w:val="18"/>
                <w:color w:val="auto"/>
              </w:rPr>
              <w:t>       85,716</w:t>
            </w:r>
          </w:p>
        </w:tc>
        <w:tc>
          <w:tcPr>
            <w:tcW w:w="2960" w:type="dxa"/>
            <w:vAlign w:val="bottom"/>
            <w:tcBorders>
              <w:bottom w:val="single" w:sz="8" w:color="95B3D7"/>
            </w:tcBorders>
          </w:tcPr>
          <w:p>
            <w:pPr>
              <w:jc w:val="center"/>
              <w:spacing w:after="0" w:line="196" w:lineRule="exact"/>
              <w:rPr>
                <w:sz w:val="20"/>
                <w:szCs w:val="20"/>
                <w:color w:val="auto"/>
              </w:rPr>
            </w:pPr>
            <w:r>
              <w:rPr>
                <w:rFonts w:ascii="Arial" w:cs="Arial" w:eastAsia="Arial" w:hAnsi="Arial"/>
                <w:sz w:val="18"/>
                <w:szCs w:val="18"/>
                <w:color w:val="auto"/>
              </w:rPr>
              <w:t>*</w:t>
            </w:r>
          </w:p>
        </w:tc>
      </w:tr>
      <w:tr>
        <w:trPr>
          <w:trHeight w:val="177"/>
        </w:trPr>
        <w:tc>
          <w:tcPr>
            <w:tcW w:w="5100" w:type="dxa"/>
            <w:vAlign w:val="bottom"/>
            <w:tcBorders>
              <w:right w:val="single" w:sz="8" w:color="95B3D7"/>
            </w:tcBorders>
            <w:shd w:val="clear" w:color="auto" w:fill="DBE5F1"/>
          </w:tcPr>
          <w:p>
            <w:pPr>
              <w:ind w:left="140"/>
              <w:spacing w:after="0" w:line="177" w:lineRule="exact"/>
              <w:rPr>
                <w:sz w:val="20"/>
                <w:szCs w:val="20"/>
                <w:color w:val="auto"/>
              </w:rPr>
            </w:pPr>
            <w:r>
              <w:rPr>
                <w:rFonts w:ascii="Arial" w:cs="Arial" w:eastAsia="Arial" w:hAnsi="Arial"/>
                <w:sz w:val="18"/>
                <w:szCs w:val="18"/>
                <w:b w:val="1"/>
                <w:bCs w:val="1"/>
                <w:color w:val="auto"/>
              </w:rPr>
              <w:t> Executive Officers and Directors as a Group</w:t>
            </w:r>
          </w:p>
        </w:tc>
        <w:tc>
          <w:tcPr>
            <w:tcW w:w="2960" w:type="dxa"/>
            <w:vAlign w:val="bottom"/>
            <w:tcBorders>
              <w:right w:val="single" w:sz="8" w:color="95B3D7"/>
            </w:tcBorders>
            <w:shd w:val="clear" w:color="auto" w:fill="DBE5F1"/>
          </w:tcPr>
          <w:p>
            <w:pPr>
              <w:jc w:val="right"/>
              <w:ind w:right="910"/>
              <w:spacing w:after="0" w:line="177" w:lineRule="exact"/>
              <w:rPr>
                <w:sz w:val="20"/>
                <w:szCs w:val="20"/>
                <w:color w:val="auto"/>
              </w:rPr>
            </w:pPr>
            <w:r>
              <w:rPr>
                <w:rFonts w:ascii="Arial" w:cs="Arial" w:eastAsia="Arial" w:hAnsi="Arial"/>
                <w:sz w:val="18"/>
                <w:szCs w:val="18"/>
                <w:color w:val="auto"/>
              </w:rPr>
              <w:t>12,609,613</w:t>
            </w:r>
          </w:p>
        </w:tc>
        <w:tc>
          <w:tcPr>
            <w:tcW w:w="2960" w:type="dxa"/>
            <w:vAlign w:val="bottom"/>
            <w:shd w:val="clear" w:color="auto" w:fill="DBE5F1"/>
          </w:tcPr>
          <w:p>
            <w:pPr>
              <w:jc w:val="center"/>
              <w:spacing w:after="0" w:line="177" w:lineRule="exact"/>
              <w:rPr>
                <w:sz w:val="20"/>
                <w:szCs w:val="20"/>
                <w:color w:val="auto"/>
              </w:rPr>
            </w:pPr>
            <w:r>
              <w:rPr>
                <w:rFonts w:ascii="Arial" w:cs="Arial" w:eastAsia="Arial" w:hAnsi="Arial"/>
                <w:sz w:val="18"/>
                <w:szCs w:val="18"/>
                <w:color w:val="auto"/>
                <w:w w:val="97"/>
              </w:rPr>
              <w:t>6.6%</w:t>
            </w:r>
          </w:p>
        </w:tc>
      </w:tr>
      <w:tr>
        <w:trPr>
          <w:trHeight w:val="235"/>
        </w:trPr>
        <w:tc>
          <w:tcPr>
            <w:tcW w:w="5100" w:type="dxa"/>
            <w:vAlign w:val="bottom"/>
            <w:tcBorders>
              <w:bottom w:val="single" w:sz="8" w:color="95B3D7"/>
              <w:right w:val="single" w:sz="8" w:color="95B3D7"/>
            </w:tcBorders>
            <w:shd w:val="clear" w:color="auto" w:fill="DBE5F1"/>
          </w:tcPr>
          <w:p>
            <w:pPr>
              <w:ind w:left="140"/>
              <w:spacing w:after="0" w:line="235" w:lineRule="exact"/>
              <w:rPr>
                <w:sz w:val="20"/>
                <w:szCs w:val="20"/>
                <w:color w:val="auto"/>
              </w:rPr>
            </w:pPr>
            <w:r>
              <w:rPr>
                <w:rFonts w:ascii="Arial" w:cs="Arial" w:eastAsia="Arial" w:hAnsi="Arial"/>
                <w:sz w:val="18"/>
                <w:szCs w:val="18"/>
                <w:b w:val="1"/>
                <w:bCs w:val="1"/>
                <w:color w:val="auto"/>
              </w:rPr>
              <w:t> (19 individuals)</w:t>
            </w:r>
            <w:r>
              <w:rPr>
                <w:rFonts w:ascii="Arial" w:cs="Arial" w:eastAsia="Arial" w:hAnsi="Arial"/>
                <w:sz w:val="26"/>
                <w:szCs w:val="26"/>
                <w:b w:val="1"/>
                <w:bCs w:val="1"/>
                <w:color w:val="auto"/>
                <w:vertAlign w:val="superscript"/>
              </w:rPr>
              <w:t>(11)</w:t>
            </w:r>
          </w:p>
        </w:tc>
        <w:tc>
          <w:tcPr>
            <w:tcW w:w="2960" w:type="dxa"/>
            <w:vAlign w:val="bottom"/>
            <w:tcBorders>
              <w:bottom w:val="single" w:sz="8" w:color="95B3D7"/>
              <w:right w:val="single" w:sz="8" w:color="95B3D7"/>
            </w:tcBorders>
            <w:shd w:val="clear" w:color="auto" w:fill="DBE5F1"/>
          </w:tcPr>
          <w:p>
            <w:pPr>
              <w:spacing w:after="0"/>
              <w:rPr>
                <w:sz w:val="20"/>
                <w:szCs w:val="20"/>
                <w:color w:val="auto"/>
              </w:rPr>
            </w:pPr>
          </w:p>
        </w:tc>
        <w:tc>
          <w:tcPr>
            <w:tcW w:w="2960" w:type="dxa"/>
            <w:vAlign w:val="bottom"/>
            <w:tcBorders>
              <w:bottom w:val="single" w:sz="8" w:color="95B3D7"/>
            </w:tcBorders>
            <w:shd w:val="clear" w:color="auto" w:fill="DBE5F1"/>
          </w:tcPr>
          <w:p>
            <w:pPr>
              <w:spacing w:after="0"/>
              <w:rPr>
                <w:sz w:val="20"/>
                <w:szCs w:val="20"/>
                <w:color w:val="auto"/>
              </w:rPr>
            </w:pPr>
          </w:p>
        </w:tc>
      </w:tr>
      <w:tr>
        <w:trPr>
          <w:trHeight w:val="362"/>
        </w:trPr>
        <w:tc>
          <w:tcPr>
            <w:tcW w:w="5100" w:type="dxa"/>
            <w:vAlign w:val="bottom"/>
          </w:tcPr>
          <w:p>
            <w:pPr>
              <w:spacing w:after="0"/>
              <w:rPr>
                <w:sz w:val="24"/>
                <w:szCs w:val="24"/>
                <w:color w:val="auto"/>
              </w:rPr>
            </w:pPr>
          </w:p>
        </w:tc>
        <w:tc>
          <w:tcPr>
            <w:tcW w:w="2960" w:type="dxa"/>
            <w:vAlign w:val="bottom"/>
          </w:tcPr>
          <w:p>
            <w:pPr>
              <w:jc w:val="right"/>
              <w:ind w:right="2370"/>
              <w:spacing w:after="0"/>
              <w:rPr>
                <w:sz w:val="20"/>
                <w:szCs w:val="20"/>
                <w:color w:val="auto"/>
              </w:rPr>
            </w:pPr>
            <w:r>
              <w:rPr>
                <w:rFonts w:ascii="Arial" w:cs="Arial" w:eastAsia="Arial" w:hAnsi="Arial"/>
                <w:sz w:val="18"/>
                <w:szCs w:val="18"/>
                <w:color w:val="auto"/>
              </w:rPr>
              <w:t>78</w:t>
            </w:r>
          </w:p>
        </w:tc>
        <w:tc>
          <w:tcPr>
            <w:tcW w:w="2960" w:type="dxa"/>
            <w:vAlign w:val="bottom"/>
          </w:tcPr>
          <w:p>
            <w:pPr>
              <w:spacing w:after="0"/>
              <w:rPr>
                <w:sz w:val="24"/>
                <w:szCs w:val="24"/>
                <w:color w:val="auto"/>
              </w:rPr>
            </w:pPr>
          </w:p>
        </w:tc>
      </w:tr>
    </w:tbl>
    <w:p>
      <w:pPr>
        <w:sectPr>
          <w:pgSz w:w="11900" w:h="16838" w:orient="portrait"/>
          <w:cols w:equalWidth="0" w:num="1">
            <w:col w:w="11020"/>
          </w:cols>
          <w:pgMar w:left="440" w:top="296" w:right="439" w:bottom="1440" w:gutter="0" w:footer="0" w:header="0"/>
        </w:sectPr>
      </w:pPr>
    </w:p>
    <w:bookmarkStart w:id="86" w:name="page87"/>
    <w:bookmarkEnd w:id="86"/>
    <w:p>
      <w:pPr>
        <w:ind w:left="340" w:hanging="332"/>
        <w:spacing w:after="0" w:line="245"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limited partners that share beneficial ownership of the shares held by General Atlantic (ALN HLTH), L.P. are the following General Atlantic investment funds (the “GA Funds”): General Atlantic Partners 95, L.P. (“GAP 95”), GAP Coinvestments III, LLC (“GAPCO III”), GAP Coinvestments IV, LLC (“GAPCO IV”), GAP Coinvestments V, LLC (“GAPCO V”), GAP Coinvestments CDA, L.P. (“GAPCO CDA”) and GAPCO GmbH &amp; Co. KG (“GAPCO GmbH”). The general partner of General Atlantic (ALN HLTH), L.P. is General Atlantic (SPV) GP, LLC (“GA SPV”). The general partner of GAP 95 is ultimately controlled by General Atlantic, L.P. (“GA LP”). GA LP is the managing member of GAPCO III, GAPCO IV and GAPCO V, the general partner of GAPCO CDA and is the sole member of GA SPV. The general partner of GAPCO KG is GAPCO Management GmbH (“GAPCO Management”). There are nine members of the management committee of GA LP (the “GA Management Committee”). GA LP, GA SPV, GAP 95, GAPCO III, GAPCO IV, GAPCO V, GAPCO CDA and GAPCO GmbH (collectively, the “GA Group”) are a “group” within the meaning of Rule 13d-5 of the Securities Exchange Act of 1934, as amended. Each of the members of the GA Management Committee disclaims ownership of the shares except to the extent that he has a pecuniary interest therein. The mailing address of the GA Group except GAPCO GmbH is c/o General Atlantic Service Company, L.P., 55 East 52nd Street, 33rd Floor, New York, NY 10055. The mailing address of GAPCO GmbH and GAPCO Management is c/o General Atlantic GmbH, Luitpoldblock, Amiraplatz 3, 80333 München, Germany.</w:t>
      </w:r>
    </w:p>
    <w:p>
      <w:pPr>
        <w:spacing w:after="0" w:line="217" w:lineRule="exact"/>
        <w:rPr>
          <w:rFonts w:ascii="Arial" w:cs="Arial" w:eastAsia="Arial" w:hAnsi="Arial"/>
          <w:sz w:val="14"/>
          <w:szCs w:val="14"/>
          <w:color w:val="auto"/>
        </w:rPr>
      </w:pPr>
    </w:p>
    <w:p>
      <w:pPr>
        <w:ind w:left="340" w:hanging="332"/>
        <w:spacing w:after="0" w:line="244"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shares held by (i) Warburg Pincus Private Equity XII, L.P., a Delaware limited partnership (“WP XII”), (ii) Warburg Pincus Private Equity XII-B, L.P., a Delaware limited partnership (“WP XII-B”), (iii) Warburg Pincus Private Equity XII-D, L.P., a Delaware limited partnership (“WP XII-D”), (iv) Warburg Pincus Private Equity XII-E, L.P., a Delaware limited partnership (“WP XII-E”), (v) WP XII Partners, L.P., a Delaware limited partnership (“WP XII Partners”), (vi) Warburg Pincus XII Partners, L.P., a Delaware limited partnership (“Warburg Pincus XII Partners” and, together with WP XII, WP XII-B, WP XII-D, WP XII-E, and WP XII Partners, the “WP XII Funds”). Warburg Pincus XII, L.P., a Delaware limited partnership (“WP XII GP”), is the general partner of the WP XII Funds. WP Global LLC, a Delaware limited liability company (“WP Global”), is the general partner of WP XII GP. Warburg Pincus Partners II, L.P., a Delaware limited partnership (“WPP II”), is the managing member of WP Global. Warburg Pincus Partners II Holdings, L.P., a Delaware limited partnership (“WPP II Holdings”), is a limited partner of WPP II. Warburg Pincus Partners GP LLC, a Delaware limited liability company (“WPP GP”), is the general partner of WPP II and WPP II Holdings. Warburg Pincus &amp; Co., a New York general partnership (“WP”), is the managing member of WPP GP. Warburg Pincus LLC, a New York limited liability company (“WP LLC”) is a registered investment adviser and the manager of the WP XII Funds. Investment and voting decisions with respect to the shares held by the WP XII Funds are made by a committee comprised of three or more individuals and all members of such committee disclaim beneficial ownership of the shares. The address of the WP LLC, WP, WPP GP, WPP II, WPP II Holdings, WP Global, WP XII GP, and the WP XII Funds is 450 Lexington Avenue, New York, New York 10017. All indirect holders of the above referenced shares disclaim beneficial ownership of all applicable shares except to the extent of their pecuniary interest therein.</w:t>
      </w:r>
    </w:p>
    <w:p>
      <w:pPr>
        <w:spacing w:after="0" w:line="383" w:lineRule="exact"/>
        <w:rPr>
          <w:rFonts w:ascii="Arial" w:cs="Arial" w:eastAsia="Arial" w:hAnsi="Arial"/>
          <w:sz w:val="14"/>
          <w:szCs w:val="14"/>
          <w:color w:val="auto"/>
        </w:rPr>
      </w:pPr>
    </w:p>
    <w:p>
      <w:pPr>
        <w:ind w:left="340" w:right="20" w:hanging="332"/>
        <w:spacing w:after="0" w:line="26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information reported by FMR LLC and Abigail P. Johnson on a Schedule 13G/A filed with the SEC on February 9, 2024. FMR LLC reported sole voting and dispositive power over 17,000,204 shares of our common stock, and Ms. Johnson reported sole dispositive power over 17,000,204 shares of our common stock. The address of FMR LLC is listed as 245 Summer Street, Boston, MA 02210.</w:t>
      </w:r>
    </w:p>
    <w:p>
      <w:pPr>
        <w:spacing w:after="0" w:line="199" w:lineRule="exact"/>
        <w:rPr>
          <w:rFonts w:ascii="Arial" w:cs="Arial" w:eastAsia="Arial" w:hAnsi="Arial"/>
          <w:sz w:val="14"/>
          <w:szCs w:val="14"/>
          <w:color w:val="auto"/>
        </w:rPr>
      </w:pPr>
    </w:p>
    <w:p>
      <w:pPr>
        <w:jc w:val="both"/>
        <w:ind w:left="340" w:right="40" w:hanging="332"/>
        <w:spacing w:after="0" w:line="26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Based on information reported by T. Rowe Price Investment Management, Inc. (“T. Rowe Price”) on a Schedule 13G/A filed with the SEC on February 14, 2024. T. Rowe Price reported sole voting power over 4,109,754 shares of our common stock and sole dispositive power over 12,075,504 shares of our common stock. The address of T. Rowe Price is 101 E. Pratt Street, Baltimore, MD 21201.</w:t>
      </w:r>
    </w:p>
    <w:p>
      <w:pPr>
        <w:spacing w:after="0" w:line="199" w:lineRule="exact"/>
        <w:rPr>
          <w:rFonts w:ascii="Arial" w:cs="Arial" w:eastAsia="Arial" w:hAnsi="Arial"/>
          <w:sz w:val="14"/>
          <w:szCs w:val="14"/>
          <w:color w:val="auto"/>
        </w:rPr>
      </w:pPr>
    </w:p>
    <w:p>
      <w:pPr>
        <w:ind w:left="340" w:right="340" w:hanging="332"/>
        <w:spacing w:after="0" w:line="263"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(i) 450,125 shares held by Mr. Kao and 2,495,958 shares held by JEK Trust, dated February 8, 2021, of which John Kao is the trustee; (ii) 227,142 restricted shares subject to time-based vesting held by JEK Trust; and (iii) 3,119,983 shares underlying outstanding stock options held by Mr. Kao that are currently exercisable.</w:t>
      </w:r>
    </w:p>
    <w:p>
      <w:pPr>
        <w:spacing w:after="0" w:line="199"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(i) 81,503 restricted shares subject to time-based vesting and (ii) 849,061 shares underlying outstanding stock options that are currently exercisable.</w:t>
      </w:r>
    </w:p>
    <w:p>
      <w:pPr>
        <w:spacing w:after="0" w:line="244" w:lineRule="exact"/>
        <w:rPr>
          <w:rFonts w:ascii="Arial" w:cs="Arial" w:eastAsia="Arial" w:hAnsi="Arial"/>
          <w:sz w:val="14"/>
          <w:szCs w:val="14"/>
          <w:color w:val="auto"/>
        </w:rPr>
      </w:pPr>
    </w:p>
    <w:p>
      <w:pPr>
        <w:jc w:val="both"/>
        <w:ind w:left="340" w:right="340" w:hanging="332"/>
        <w:spacing w:after="0" w:line="248" w:lineRule="auto"/>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(i) 343,624 shares of our common stock and 9,169 restricted shares subject to time-based vesting held by Mr. Freeman, and (ii) 467,471 shares of our common stock and 51,958 restricted shares subject to time-based vesting held by FCO Holdings LLC (“FCO LLC”), a limited liability company, of which Mr. Freeman was the sole member. Mr. Freeman has transferred all of his FCO LLC membership interests to FCO Holdings Trust One, an irrevocable trust.</w:t>
      </w:r>
    </w:p>
    <w:p>
      <w:pPr>
        <w:ind w:left="340" w:right="80"/>
        <w:spacing w:after="0" w:line="264" w:lineRule="auto"/>
        <w:rPr>
          <w:rFonts w:ascii="Arial" w:cs="Arial" w:eastAsia="Arial" w:hAnsi="Arial"/>
          <w:sz w:val="14"/>
          <w:szCs w:val="14"/>
          <w:color w:val="auto"/>
        </w:rPr>
      </w:pPr>
      <w:r>
        <w:rPr>
          <w:rFonts w:ascii="Arial" w:cs="Arial" w:eastAsia="Arial" w:hAnsi="Arial"/>
          <w:sz w:val="14"/>
          <w:szCs w:val="14"/>
          <w:color w:val="auto"/>
        </w:rPr>
        <w:t>Mr. Freeman may be deemed to have shared voting and/or investment power with respect to all of the shares of our common stock indirectly held by such trust. Also includes 622,223 shares underlying outstanding stock options that are currently exercisable.</w:t>
      </w:r>
    </w:p>
    <w:p>
      <w:pPr>
        <w:spacing w:after="0" w:line="198"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(i) 10,188 restricted shares subject to time-based vesting and (ii) 70,193 shares underlying outstanding stock options that are currently exercisable.</w:t>
      </w:r>
    </w:p>
    <w:p>
      <w:pPr>
        <w:spacing w:after="0" w:line="244"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8,955 shares underlying outstanding stock options that are currently exercisable.</w:t>
      </w:r>
    </w:p>
    <w:p>
      <w:pPr>
        <w:spacing w:after="0" w:line="244"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417,133 shares held by the Margolis Family Trust 12/23/98, of which Jeffrey Margolis is the trustee.</w:t>
      </w:r>
    </w:p>
    <w:p>
      <w:pPr>
        <w:spacing w:after="0" w:line="244" w:lineRule="exact"/>
        <w:rPr>
          <w:rFonts w:ascii="Arial" w:cs="Arial" w:eastAsia="Arial" w:hAnsi="Arial"/>
          <w:sz w:val="14"/>
          <w:szCs w:val="14"/>
          <w:color w:val="auto"/>
        </w:rPr>
      </w:pPr>
    </w:p>
    <w:p>
      <w:pPr>
        <w:ind w:left="340" w:hanging="332"/>
        <w:spacing w:after="0"/>
        <w:tabs>
          <w:tab w:leader="none" w:pos="340" w:val="left"/>
        </w:tabs>
        <w:numPr>
          <w:ilvl w:val="0"/>
          <w:numId w:val="76"/>
        </w:numPr>
        <w:rPr>
          <w:rFonts w:ascii="Arial" w:cs="Arial" w:eastAsia="Arial" w:hAnsi="Arial"/>
          <w:sz w:val="14"/>
          <w:szCs w:val="14"/>
          <w:color w:val="auto"/>
        </w:rPr>
      </w:pPr>
      <w:r>
        <w:rPr>
          <w:rFonts w:ascii="Arial" w:cs="Arial" w:eastAsia="Arial" w:hAnsi="Arial"/>
          <w:sz w:val="14"/>
          <w:szCs w:val="14"/>
          <w:color w:val="auto"/>
        </w:rPr>
        <w:t>Includes directors, nominees and current executive officers.</w:t>
      </w:r>
    </w:p>
    <w:p>
      <w:pPr>
        <w:spacing w:after="0" w:line="14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0540"/>
          </w:cols>
          <w:pgMar w:left="860" w:top="306" w:right="49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Securities Authorized for Issuance under Equity Incentive Compensation Plans</w:t>
      </w:r>
    </w:p>
    <w:p>
      <w:pPr>
        <w:spacing w:after="0" w:line="212" w:lineRule="exact"/>
        <w:rPr>
          <w:sz w:val="20"/>
          <w:szCs w:val="20"/>
          <w:color w:val="auto"/>
        </w:rPr>
      </w:pPr>
    </w:p>
    <w:p>
      <w:pPr>
        <w:ind w:right="100" w:firstLine="440"/>
        <w:spacing w:after="0" w:line="271" w:lineRule="auto"/>
        <w:rPr>
          <w:sz w:val="20"/>
          <w:szCs w:val="20"/>
          <w:color w:val="auto"/>
        </w:rPr>
      </w:pPr>
      <w:r>
        <w:rPr>
          <w:rFonts w:ascii="Arial" w:cs="Arial" w:eastAsia="Arial" w:hAnsi="Arial"/>
          <w:sz w:val="18"/>
          <w:szCs w:val="18"/>
          <w:color w:val="auto"/>
        </w:rPr>
        <w:t>The following table provides information as of December 31, 2023, regarding shares of our common stock that may be issued under our equity compensation plans.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Number of securities</w:t>
            </w:r>
          </w:p>
        </w:tc>
        <w:tc>
          <w:tcPr>
            <w:tcW w:w="2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Weighted average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Number of remaining</w:t>
            </w:r>
          </w:p>
        </w:tc>
      </w:tr>
      <w:tr>
        <w:trPr>
          <w:trHeight w:val="162"/>
        </w:trPr>
        <w:tc>
          <w:tcPr>
            <w:tcW w:w="5320" w:type="dxa"/>
            <w:vAlign w:val="bottom"/>
          </w:tcPr>
          <w:p>
            <w:pPr>
              <w:spacing w:after="0"/>
              <w:rPr>
                <w:sz w:val="14"/>
                <w:szCs w:val="14"/>
                <w:color w:val="auto"/>
              </w:rPr>
            </w:pP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to be issued upon</w:t>
            </w: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exercise</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available securities for</w:t>
            </w:r>
          </w:p>
        </w:tc>
      </w:tr>
      <w:tr>
        <w:trPr>
          <w:trHeight w:val="162"/>
        </w:trPr>
        <w:tc>
          <w:tcPr>
            <w:tcW w:w="5320" w:type="dxa"/>
            <w:vAlign w:val="bottom"/>
          </w:tcPr>
          <w:p>
            <w:pPr>
              <w:spacing w:after="0"/>
              <w:rPr>
                <w:sz w:val="14"/>
                <w:szCs w:val="14"/>
                <w:color w:val="auto"/>
              </w:rPr>
            </w:pP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exercise of</w:t>
            </w: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price of outstanding</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future</w:t>
            </w:r>
          </w:p>
        </w:tc>
      </w:tr>
      <w:tr>
        <w:trPr>
          <w:trHeight w:val="162"/>
        </w:trPr>
        <w:tc>
          <w:tcPr>
            <w:tcW w:w="5320" w:type="dxa"/>
            <w:vAlign w:val="bottom"/>
          </w:tcPr>
          <w:p>
            <w:pPr>
              <w:spacing w:after="0"/>
              <w:rPr>
                <w:sz w:val="14"/>
                <w:szCs w:val="14"/>
                <w:color w:val="auto"/>
              </w:rPr>
            </w:pP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outstanding options,</w:t>
            </w:r>
          </w:p>
        </w:tc>
        <w:tc>
          <w:tcPr>
            <w:tcW w:w="204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options,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issuance under equity</w:t>
            </w:r>
          </w:p>
        </w:tc>
      </w:tr>
      <w:tr>
        <w:trPr>
          <w:trHeight w:val="171"/>
        </w:trPr>
        <w:tc>
          <w:tcPr>
            <w:tcW w:w="532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1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rPr>
              <w:t>warrants and rights</w:t>
            </w:r>
          </w:p>
        </w:tc>
        <w:tc>
          <w:tcPr>
            <w:tcW w:w="204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warrants and rights</w:t>
            </w: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rPr>
              <w:t>compensation plans</w:t>
            </w:r>
          </w:p>
        </w:tc>
      </w:tr>
      <w:tr>
        <w:trPr>
          <w:trHeight w:val="196"/>
        </w:trPr>
        <w:tc>
          <w:tcPr>
            <w:tcW w:w="5320" w:type="dxa"/>
            <w:vAlign w:val="bottom"/>
            <w:tcBorders>
              <w:top w:val="single" w:sz="8" w:color="DBE5F1"/>
            </w:tcBorders>
            <w:shd w:val="clear" w:color="auto" w:fill="DBE5F1"/>
          </w:tcPr>
          <w:p>
            <w:pPr>
              <w:spacing w:after="0" w:line="195" w:lineRule="exact"/>
              <w:rPr>
                <w:sz w:val="20"/>
                <w:szCs w:val="20"/>
                <w:color w:val="auto"/>
              </w:rPr>
            </w:pPr>
            <w:r>
              <w:rPr>
                <w:rFonts w:ascii="Arial" w:cs="Arial" w:eastAsia="Arial" w:hAnsi="Arial"/>
                <w:sz w:val="16"/>
                <w:szCs w:val="16"/>
                <w:color w:val="auto"/>
              </w:rPr>
              <w:t>Equity compensation plans approved by stockholders</w:t>
            </w:r>
            <w:r>
              <w:rPr>
                <w:rFonts w:ascii="Arial" w:cs="Arial" w:eastAsia="Arial" w:hAnsi="Arial"/>
                <w:sz w:val="22"/>
                <w:szCs w:val="22"/>
                <w:color w:val="auto"/>
                <w:vertAlign w:val="superscript"/>
              </w:rPr>
              <w:t>(1)</w:t>
            </w:r>
          </w:p>
        </w:tc>
        <w:tc>
          <w:tcPr>
            <w:tcW w:w="1460" w:type="dxa"/>
            <w:vAlign w:val="bottom"/>
            <w:tcBorders>
              <w:top w:val="single" w:sz="8" w:color="auto"/>
            </w:tcBorders>
            <w:shd w:val="clear" w:color="auto" w:fill="DBE5F1"/>
          </w:tcPr>
          <w:p>
            <w:pPr>
              <w:jc w:val="center"/>
              <w:spacing w:after="0" w:line="195" w:lineRule="exact"/>
              <w:rPr>
                <w:sz w:val="20"/>
                <w:szCs w:val="20"/>
                <w:color w:val="auto"/>
              </w:rPr>
            </w:pPr>
            <w:r>
              <w:rPr>
                <w:rFonts w:ascii="Arial" w:cs="Arial" w:eastAsia="Arial" w:hAnsi="Arial"/>
                <w:sz w:val="16"/>
                <w:szCs w:val="16"/>
                <w:color w:val="auto"/>
              </w:rPr>
              <w:t>24,765,620</w:t>
            </w:r>
            <w:r>
              <w:rPr>
                <w:rFonts w:ascii="Arial" w:cs="Arial" w:eastAsia="Arial" w:hAnsi="Arial"/>
                <w:sz w:val="22"/>
                <w:szCs w:val="22"/>
                <w:color w:val="auto"/>
                <w:vertAlign w:val="superscript"/>
              </w:rPr>
              <w:t>(2)</w:t>
            </w:r>
          </w:p>
        </w:tc>
        <w:tc>
          <w:tcPr>
            <w:tcW w:w="640" w:type="dxa"/>
            <w:vAlign w:val="bottom"/>
            <w:tcBorders>
              <w:top w:val="single" w:sz="8" w:color="DBE5F1"/>
            </w:tcBorders>
            <w:shd w:val="clear" w:color="auto" w:fill="DBE5F1"/>
          </w:tcPr>
          <w:p>
            <w:pPr>
              <w:spacing w:after="0"/>
              <w:rPr>
                <w:sz w:val="17"/>
                <w:szCs w:val="17"/>
                <w:color w:val="auto"/>
              </w:rPr>
            </w:pPr>
          </w:p>
        </w:tc>
        <w:tc>
          <w:tcPr>
            <w:tcW w:w="1400" w:type="dxa"/>
            <w:vAlign w:val="bottom"/>
            <w:tcBorders>
              <w:top w:val="single" w:sz="8" w:color="auto"/>
            </w:tcBorders>
            <w:shd w:val="clear" w:color="auto" w:fill="DBE5F1"/>
          </w:tcPr>
          <w:p>
            <w:pPr>
              <w:jc w:val="center"/>
              <w:spacing w:after="0" w:line="195" w:lineRule="exact"/>
              <w:rPr>
                <w:sz w:val="20"/>
                <w:szCs w:val="20"/>
                <w:color w:val="auto"/>
              </w:rPr>
            </w:pPr>
            <w:r>
              <w:rPr>
                <w:rFonts w:ascii="Arial" w:cs="Arial" w:eastAsia="Arial" w:hAnsi="Arial"/>
                <w:sz w:val="16"/>
                <w:szCs w:val="16"/>
                <w:color w:val="auto"/>
              </w:rPr>
              <w:t>$16.92</w:t>
            </w:r>
            <w:r>
              <w:rPr>
                <w:rFonts w:ascii="Arial" w:cs="Arial" w:eastAsia="Arial" w:hAnsi="Arial"/>
                <w:sz w:val="22"/>
                <w:szCs w:val="22"/>
                <w:color w:val="auto"/>
                <w:vertAlign w:val="superscript"/>
              </w:rPr>
              <w:t>(3)</w:t>
            </w:r>
          </w:p>
        </w:tc>
        <w:tc>
          <w:tcPr>
            <w:tcW w:w="640" w:type="dxa"/>
            <w:vAlign w:val="bottom"/>
            <w:tcBorders>
              <w:top w:val="single" w:sz="8" w:color="DBE5F1"/>
            </w:tcBorders>
            <w:shd w:val="clear" w:color="auto" w:fill="DBE5F1"/>
          </w:tcPr>
          <w:p>
            <w:pPr>
              <w:spacing w:after="0"/>
              <w:rPr>
                <w:sz w:val="17"/>
                <w:szCs w:val="17"/>
                <w:color w:val="auto"/>
              </w:rPr>
            </w:pPr>
          </w:p>
        </w:tc>
        <w:tc>
          <w:tcPr>
            <w:tcW w:w="1560" w:type="dxa"/>
            <w:vAlign w:val="bottom"/>
            <w:tcBorders>
              <w:top w:val="single" w:sz="8" w:color="auto"/>
            </w:tcBorders>
            <w:shd w:val="clear" w:color="auto" w:fill="DBE5F1"/>
          </w:tcPr>
          <w:p>
            <w:pPr>
              <w:jc w:val="center"/>
              <w:spacing w:after="0" w:line="196" w:lineRule="exact"/>
              <w:rPr>
                <w:sz w:val="20"/>
                <w:szCs w:val="20"/>
                <w:color w:val="auto"/>
              </w:rPr>
            </w:pPr>
            <w:r>
              <w:rPr>
                <w:rFonts w:ascii="Arial" w:cs="Arial" w:eastAsia="Arial" w:hAnsi="Arial"/>
                <w:sz w:val="18"/>
                <w:szCs w:val="18"/>
                <w:color w:val="auto"/>
                <w:w w:val="99"/>
              </w:rPr>
              <w:t>8,906,843</w:t>
            </w:r>
          </w:p>
        </w:tc>
      </w:tr>
      <w:tr>
        <w:trPr>
          <w:trHeight w:val="239"/>
        </w:trPr>
        <w:tc>
          <w:tcPr>
            <w:tcW w:w="5320" w:type="dxa"/>
            <w:vAlign w:val="bottom"/>
          </w:tcPr>
          <w:p>
            <w:pPr>
              <w:spacing w:after="0"/>
              <w:rPr>
                <w:sz w:val="20"/>
                <w:szCs w:val="20"/>
                <w:color w:val="auto"/>
              </w:rPr>
            </w:pPr>
            <w:r>
              <w:rPr>
                <w:rFonts w:ascii="Arial" w:cs="Arial" w:eastAsia="Arial" w:hAnsi="Arial"/>
                <w:sz w:val="18"/>
                <w:szCs w:val="18"/>
                <w:color w:val="auto"/>
              </w:rPr>
              <w:t>Equity compensation plans not approved by stockholders</w:t>
            </w:r>
          </w:p>
        </w:tc>
        <w:tc>
          <w:tcPr>
            <w:tcW w:w="21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N/A</w:t>
            </w:r>
          </w:p>
        </w:tc>
        <w:tc>
          <w:tcPr>
            <w:tcW w:w="204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N/A</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N/A</w:t>
            </w:r>
          </w:p>
        </w:tc>
      </w:tr>
    </w:tbl>
    <w:p>
      <w:pPr>
        <w:spacing w:after="0" w:line="197" w:lineRule="exact"/>
        <w:rPr>
          <w:sz w:val="20"/>
          <w:szCs w:val="20"/>
          <w:color w:val="auto"/>
        </w:rPr>
      </w:pPr>
    </w:p>
    <w:p>
      <w:pPr>
        <w:ind w:left="760" w:hanging="332"/>
        <w:spacing w:after="0" w:line="250" w:lineRule="auto"/>
        <w:tabs>
          <w:tab w:leader="none" w:pos="7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December 31, 2023, the maximum number of shares available for issuance under the 2021 Plan was not permitted to exceed 34,139,149 shares. The number of shares available for issuance under the 2021 Plan will be increased on January 1 of each calendar year, beginning in 2022 and ending in and including 2031, by an amount equal to the lesser of (a) 4% of the shares of common stock outstanding on the final day of the immediately preceding calendar year and (b) a smaller number of shares determined by our Board. The shares of common stock underlying any awards that are forfeited, cancelled, held back upon exercise or settlement of an award to satisfy the exercise price or tax withholding, reacquired by us prior to vesting, satisfied without the issuance of stock, expire or are otherwise terminated, other than by exercise, under the 2021 Plan will be added back to the shares of common stock available for issuance under such plan.</w:t>
      </w:r>
    </w:p>
    <w:p>
      <w:pPr>
        <w:spacing w:after="0" w:line="208" w:lineRule="exact"/>
        <w:rPr>
          <w:rFonts w:ascii="Arial" w:cs="Arial" w:eastAsia="Arial" w:hAnsi="Arial"/>
          <w:sz w:val="14"/>
          <w:szCs w:val="14"/>
          <w:color w:val="auto"/>
        </w:rPr>
      </w:pPr>
    </w:p>
    <w:p>
      <w:pPr>
        <w:ind w:left="760" w:right="440" w:hanging="332"/>
        <w:spacing w:after="0" w:line="285" w:lineRule="auto"/>
        <w:tabs>
          <w:tab w:leader="none" w:pos="7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Includes 8,887,315 shares issuable upon the exercise of outstanding stock options, 10,364,300 shares issuable upon the vesting of outstanding RSUs and 5,514,005 shares issuable upon the vesting of outstanding PSUs.</w:t>
      </w:r>
    </w:p>
    <w:p>
      <w:pPr>
        <w:spacing w:after="0" w:line="184" w:lineRule="exact"/>
        <w:rPr>
          <w:rFonts w:ascii="Arial" w:cs="Arial" w:eastAsia="Arial" w:hAnsi="Arial"/>
          <w:sz w:val="14"/>
          <w:szCs w:val="14"/>
          <w:color w:val="auto"/>
        </w:rPr>
      </w:pPr>
    </w:p>
    <w:p>
      <w:pPr>
        <w:ind w:left="760" w:hanging="332"/>
        <w:spacing w:after="0"/>
        <w:tabs>
          <w:tab w:leader="none" w:pos="760" w:val="left"/>
        </w:tabs>
        <w:numPr>
          <w:ilvl w:val="0"/>
          <w:numId w:val="77"/>
        </w:numPr>
        <w:rPr>
          <w:rFonts w:ascii="Arial" w:cs="Arial" w:eastAsia="Arial" w:hAnsi="Arial"/>
          <w:sz w:val="14"/>
          <w:szCs w:val="14"/>
          <w:color w:val="auto"/>
        </w:rPr>
      </w:pPr>
      <w:r>
        <w:rPr>
          <w:rFonts w:ascii="Arial" w:cs="Arial" w:eastAsia="Arial" w:hAnsi="Arial"/>
          <w:sz w:val="14"/>
          <w:szCs w:val="14"/>
          <w:color w:val="auto"/>
        </w:rPr>
        <w:t>As RSUs and PSUs do not have any exercise price, such units are not included in the weighted average exercise price calculation.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Delinquent Section 16(a) Reports</w:t>
      </w:r>
    </w:p>
    <w:p>
      <w:pPr>
        <w:spacing w:after="0" w:line="212" w:lineRule="exact"/>
        <w:rPr>
          <w:sz w:val="20"/>
          <w:szCs w:val="20"/>
          <w:color w:val="auto"/>
        </w:rPr>
      </w:pPr>
    </w:p>
    <w:p>
      <w:pPr>
        <w:ind w:right="100" w:firstLine="440"/>
        <w:spacing w:after="0" w:line="244" w:lineRule="auto"/>
        <w:rPr>
          <w:sz w:val="20"/>
          <w:szCs w:val="20"/>
          <w:color w:val="auto"/>
        </w:rPr>
      </w:pPr>
      <w:r>
        <w:rPr>
          <w:rFonts w:ascii="Arial" w:cs="Arial" w:eastAsia="Arial" w:hAnsi="Arial"/>
          <w:sz w:val="18"/>
          <w:szCs w:val="18"/>
          <w:color w:val="auto"/>
        </w:rPr>
        <w:t>Section 16(a) of the Securities Exchange Act of 1934, as amended, requires our directors and certain of our officers to file reports of holdings and transactions in our equity with the SEC. Based on our records and other information, we believe that in 2023 our directors and our officers who were subject to Section 16(a) met all applicable filing requirements, except as follows: due to an inadvertent administrative error by the company in November 2023, a transaction for Joseph Konowiecki, Chairman of the Board, for the non-discretionary sale of 4,898 shares to satisfy tax obligations upon the vesting of restricted stock units was reported late.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20"/>
          </w:cols>
          <w:pgMar w:left="440" w:top="296" w:right="439" w:bottom="1440" w:gutter="0" w:footer="0" w:header="0"/>
        </w:sectPr>
      </w:pPr>
    </w:p>
    <w:bookmarkStart w:id="88" w:name="page89"/>
    <w:bookmarkEnd w:id="88"/>
    <w:p>
      <w:pPr>
        <w:jc w:val="center"/>
        <w:ind w:left="500" w:right="2220"/>
        <w:spacing w:after="0" w:line="257"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2 – APPROVAL OF AN AMENDMENT TO OUR CERTIFICATE OF INCORPORATION TO REFLECT NEW DELAWARE LAW PROVISIONS REGARDING EXCULPATION OF OFFICERS</w:t>
      </w:r>
    </w:p>
    <w:p>
      <w:pPr>
        <w:spacing w:after="0" w:line="159" w:lineRule="exact"/>
        <w:rPr>
          <w:sz w:val="20"/>
          <w:szCs w:val="20"/>
          <w:color w:val="auto"/>
        </w:rPr>
      </w:pPr>
    </w:p>
    <w:p>
      <w:pPr>
        <w:ind w:firstLine="440"/>
        <w:spacing w:after="0" w:line="239" w:lineRule="auto"/>
        <w:rPr>
          <w:sz w:val="20"/>
          <w:szCs w:val="20"/>
          <w:color w:val="auto"/>
        </w:rPr>
      </w:pPr>
      <w:r>
        <w:rPr>
          <w:rFonts w:ascii="Arial" w:cs="Arial" w:eastAsia="Arial" w:hAnsi="Arial"/>
          <w:sz w:val="18"/>
          <w:szCs w:val="18"/>
          <w:color w:val="auto"/>
        </w:rPr>
        <w:t>Article Six of our Certificate of Incorporation (Certificate) currently provides for the Company to limit the monetary liability of directors in certain circumstances pursuant to and consistent with the Delaware General Corporation Law (DGCL). The State of Delaware recently amended Section 102(b)(7) of the DGCL to allow Delaware corporations to extend similar protections to officers. Specifically, the amendments to the DGCL allow Delaware corporations to exculpate their officers for personal liability for breaches of the duty of care in certain circumstances. For both directors and officers, the liability limitation does not apply to breaches of the duty of loyalty, acts or omissions not in good faith or acts or omissions that involve intentional misconduct or a knowing violation of law, or any transaction in which the director or officer derived an improper personal benefit. In addition, for officers, amended Section 102(b)(7) only permits exculpation for direct claims brought by stockholders, as opposed to claims brought by or on behalf of the Company (e.g., derivative claims).</w:t>
      </w:r>
    </w:p>
    <w:p>
      <w:pPr>
        <w:spacing w:after="0" w:line="183" w:lineRule="exact"/>
        <w:rPr>
          <w:sz w:val="20"/>
          <w:szCs w:val="20"/>
          <w:color w:val="auto"/>
        </w:rPr>
      </w:pPr>
    </w:p>
    <w:p>
      <w:pPr>
        <w:ind w:right="140" w:firstLine="440"/>
        <w:spacing w:after="0"/>
        <w:rPr>
          <w:sz w:val="20"/>
          <w:szCs w:val="20"/>
          <w:color w:val="auto"/>
        </w:rPr>
      </w:pPr>
      <w:r>
        <w:rPr>
          <w:rFonts w:ascii="Arial" w:cs="Arial" w:eastAsia="Arial" w:hAnsi="Arial"/>
          <w:sz w:val="18"/>
          <w:szCs w:val="18"/>
          <w:color w:val="auto"/>
        </w:rPr>
        <w:t>Adopting an officer exculpation provision that aligns with the protections afforded under the DGCL could prevent protracted or otherwise meritless litigation that distracts from our primary objective of creating stockholder value over the long term. The nature of the role of directors and officers often requires them to make decisions on crucial matters. Frequently, directors and officers must make decisions in response to time-sensitive opportunities and challenges, which can create substantial risk of investigations, claims, actions, suits or proceedings seeking to impose liability on the basis of hindsight, especially in the current litigious environment and regardless of merit. The Board believes that limiting concern about personal liability will empower officers to best exercise their business judgment in furtherance of stockholder interests without the distraction of potentially being subject to claims following actions taken in good faith.</w:t>
      </w:r>
    </w:p>
    <w:p>
      <w:pPr>
        <w:spacing w:after="0" w:line="185" w:lineRule="exact"/>
        <w:rPr>
          <w:sz w:val="20"/>
          <w:szCs w:val="20"/>
          <w:color w:val="auto"/>
        </w:rPr>
      </w:pPr>
    </w:p>
    <w:p>
      <w:pPr>
        <w:ind w:right="80" w:firstLine="440"/>
        <w:spacing w:after="0" w:line="242" w:lineRule="auto"/>
        <w:rPr>
          <w:sz w:val="20"/>
          <w:szCs w:val="20"/>
          <w:color w:val="auto"/>
        </w:rPr>
      </w:pPr>
      <w:r>
        <w:rPr>
          <w:rFonts w:ascii="Arial" w:cs="Arial" w:eastAsia="Arial" w:hAnsi="Arial"/>
          <w:sz w:val="18"/>
          <w:szCs w:val="18"/>
          <w:color w:val="auto"/>
        </w:rPr>
        <w:t>In addition, the Board believes it is important to provide protection to officers to the extent permitted by the DGCL to attract and retain key executive talent. This protection has long been afforded to directors. Other public companies have updated their governing documents to align with amended Section 102(b)(7) of the DGCL, and we expect this practice to continue. Therefore, our ability to attract and retain highly qualified officer candidates may be adversely impacted if we do not implement the expanded protections now offered under Delaware law. For these reasons, the Board unanimously approved the amendment to our Certificate described in this proposal, subject to approval by stockholders.</w:t>
      </w:r>
    </w:p>
    <w:p>
      <w:pPr>
        <w:spacing w:after="0" w:line="179" w:lineRule="exact"/>
        <w:rPr>
          <w:sz w:val="20"/>
          <w:szCs w:val="20"/>
          <w:color w:val="auto"/>
        </w:rPr>
      </w:pPr>
    </w:p>
    <w:p>
      <w:pPr>
        <w:ind w:right="160" w:firstLine="440"/>
        <w:spacing w:after="0" w:line="271" w:lineRule="auto"/>
        <w:rPr>
          <w:sz w:val="20"/>
          <w:szCs w:val="20"/>
          <w:color w:val="auto"/>
        </w:rPr>
      </w:pPr>
      <w:r>
        <w:rPr>
          <w:rFonts w:ascii="Arial" w:cs="Arial" w:eastAsia="Arial" w:hAnsi="Arial"/>
          <w:sz w:val="18"/>
          <w:szCs w:val="18"/>
          <w:color w:val="auto"/>
        </w:rPr>
        <w:t>If this proposal is approved by stockholders, Article Six, Section 1(a) of our Certificate will be amended to read in its entirety as set forth below (with additions shown as underlined):</w:t>
      </w:r>
    </w:p>
    <w:p>
      <w:pPr>
        <w:spacing w:after="0" w:line="154" w:lineRule="exact"/>
        <w:rPr>
          <w:sz w:val="20"/>
          <w:szCs w:val="20"/>
          <w:color w:val="auto"/>
        </w:rPr>
      </w:pPr>
    </w:p>
    <w:p>
      <w:pPr>
        <w:ind w:left="440" w:right="140" w:hanging="4"/>
        <w:spacing w:after="0" w:line="247" w:lineRule="auto"/>
        <w:tabs>
          <w:tab w:leader="none" w:pos="71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To the fullest extent permitted by the DGCL as it now exists or may hereafter be amended (but, in the case of any such amendment, only to the extent such amendment permits the Corporation to provide broader exculpation than permitted prior thereto), no director or officer of the Corporation shall be liable to the Corporation or its stockholders for monetary damages arising from a breach of fiduciary duty as a director or officer, as applicable.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Vote Required and Recommendation of the Board of Directors</w:t>
      </w:r>
    </w:p>
    <w:p>
      <w:pPr>
        <w:spacing w:after="0" w:line="212" w:lineRule="exact"/>
        <w:rPr>
          <w:sz w:val="20"/>
          <w:szCs w:val="20"/>
          <w:color w:val="auto"/>
        </w:rPr>
      </w:pPr>
    </w:p>
    <w:p>
      <w:pPr>
        <w:ind w:right="240"/>
        <w:spacing w:after="0" w:line="220" w:lineRule="auto"/>
        <w:rPr>
          <w:sz w:val="20"/>
          <w:szCs w:val="20"/>
          <w:color w:val="auto"/>
        </w:rPr>
      </w:pPr>
      <w:r>
        <w:rPr>
          <w:rFonts w:ascii="Arial" w:cs="Arial" w:eastAsia="Arial" w:hAnsi="Arial"/>
          <w:sz w:val="18"/>
          <w:szCs w:val="18"/>
          <w:color w:val="auto"/>
        </w:rPr>
        <w:t>The affirmative vote of the holders of at least sixty-six and two-thirds percent (66</w:t>
      </w:r>
      <w:r>
        <w:rPr>
          <w:rFonts w:ascii="Arial" w:cs="Arial" w:eastAsia="Arial" w:hAnsi="Arial"/>
          <w:sz w:val="26"/>
          <w:szCs w:val="26"/>
          <w:color w:val="auto"/>
          <w:vertAlign w:val="superscript"/>
        </w:rPr>
        <w:t>2/3</w:t>
      </w:r>
      <w:r>
        <w:rPr>
          <w:rFonts w:ascii="Arial" w:cs="Arial" w:eastAsia="Arial" w:hAnsi="Arial"/>
          <w:sz w:val="18"/>
          <w:szCs w:val="18"/>
          <w:color w:val="auto"/>
        </w:rPr>
        <w:t>%) of the outstanding shares of our voting stock is required to approve this proposal. If you hold your shares in your own name and abstain from voting on this matter, your abstention will have the effect of a vote against this proposal. If you hold your shares through a bank, broker or other holder of record and you do not instruct them on how to vote on this proposal, they will not have the authority to vote your shares.</w:t>
      </w:r>
    </w:p>
    <w:p>
      <w:pPr>
        <w:spacing w:after="0" w:line="1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0940"/>
          </w:cols>
          <w:pgMar w:left="440" w:top="296" w:right="519" w:bottom="1440" w:gutter="0" w:footer="0" w:header="0"/>
        </w:sectPr>
      </w:pPr>
    </w:p>
    <w:bookmarkStart w:id="89" w:name="page90"/>
    <w:bookmarkEnd w:id="89"/>
    <w:p>
      <w:pPr>
        <w:spacing w:after="0" w:line="24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Abstentions and broker non-votes will each be counted as present for purposes of determining the presence of a quorum, but will have the same effect as a vote against this proposal. If the proposed amendment to our Certificate is approved at the Annual Meeting, we will file an Amended and Restated Certificate of Incorporation with the Delaware Secretary of State shortly following the Annual Meeting to incorporate the approved amendment, at which point the amendment will become effective. Should stockholder approval not be obtained, this amendment will not be implemented, and our Certificate will continue in effect pursuant to its current terms.</w:t>
      </w:r>
    </w:p>
    <w:p>
      <w:pPr>
        <w:spacing w:after="0" w:line="17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Board believes that the amendment to our Certificate described herein is in the best interests of the Company and its stockholders for the reasons stated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126365</wp:posOffset>
            </wp:positionV>
            <wp:extent cx="7003415" cy="651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003415" cy="651510"/>
                    </a:xfrm>
                    <a:prstGeom prst="rect">
                      <a:avLst/>
                    </a:prstGeom>
                    <a:noFill/>
                  </pic:spPr>
                </pic:pic>
              </a:graphicData>
            </a:graphic>
          </wp:anchor>
        </w:drawing>
      </w:r>
    </w:p>
    <w:p>
      <w:pPr>
        <w:spacing w:after="0" w:line="215" w:lineRule="exact"/>
        <w:rPr>
          <w:sz w:val="20"/>
          <w:szCs w:val="20"/>
          <w:color w:val="auto"/>
        </w:rPr>
      </w:pPr>
    </w:p>
    <w:p>
      <w:pPr>
        <w:jc w:val="center"/>
        <w:ind w:left="600" w:right="1560"/>
        <w:spacing w:after="0" w:line="251" w:lineRule="auto"/>
        <w:rPr>
          <w:sz w:val="20"/>
          <w:szCs w:val="20"/>
          <w:color w:val="auto"/>
        </w:rPr>
      </w:pPr>
      <w:r>
        <w:rPr>
          <w:rFonts w:ascii="Arial" w:cs="Arial" w:eastAsia="Arial" w:hAnsi="Arial"/>
          <w:sz w:val="18"/>
          <w:szCs w:val="18"/>
          <w:b w:val="1"/>
          <w:bCs w:val="1"/>
          <w:color w:val="auto"/>
        </w:rPr>
        <w:t>THE BOARD OF DIRECTORS RECOMMENDS THAT YOU VOTE “FOR” THE APPROVAL OF THE AMENDMENT TO OUR CERTIFICATE OF INCORPORATION TO REFLECT NEW DELAWARE LAW PROVISIONS REGARDING EXCULPTATION OF OFFICERS.</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96" w:right="47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3 – RATIFICATION OF APPOINTMENT OF INDEPENDENT</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REGISTERED PUBLIC ACCOUNTING FIRM</w:t>
      </w:r>
    </w:p>
    <w:p>
      <w:pPr>
        <w:spacing w:after="0" w:line="194" w:lineRule="exact"/>
        <w:rPr>
          <w:sz w:val="20"/>
          <w:szCs w:val="20"/>
          <w:color w:val="auto"/>
        </w:rPr>
      </w:pPr>
    </w:p>
    <w:p>
      <w:pPr>
        <w:ind w:right="80" w:firstLine="440"/>
        <w:spacing w:after="0" w:line="253" w:lineRule="auto"/>
        <w:rPr>
          <w:sz w:val="20"/>
          <w:szCs w:val="20"/>
          <w:color w:val="auto"/>
        </w:rPr>
      </w:pPr>
      <w:r>
        <w:rPr>
          <w:rFonts w:ascii="Arial" w:cs="Arial" w:eastAsia="Arial" w:hAnsi="Arial"/>
          <w:sz w:val="18"/>
          <w:szCs w:val="18"/>
          <w:color w:val="auto"/>
        </w:rPr>
        <w:t>The Audit Committee has appointed Deloitte &amp; Touche LLP as our independent registered public accounting firm for the year ending December 31, 2024. Services provided to the Company and its subsidiaries by Deloitte &amp; Touche LLP for the year ended December 31, 2023 are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Fees and Services</w:t>
      </w:r>
    </w:p>
    <w:p>
      <w:pPr>
        <w:spacing w:after="0" w:line="104" w:lineRule="exact"/>
        <w:rPr>
          <w:sz w:val="20"/>
          <w:szCs w:val="20"/>
          <w:color w:val="auto"/>
        </w:rPr>
      </w:pPr>
    </w:p>
    <w:p>
      <w:pPr>
        <w:ind w:right="80" w:firstLine="440"/>
        <w:spacing w:after="0" w:line="271" w:lineRule="auto"/>
        <w:rPr>
          <w:sz w:val="20"/>
          <w:szCs w:val="20"/>
          <w:color w:val="auto"/>
        </w:rPr>
      </w:pPr>
      <w:r>
        <w:rPr>
          <w:rFonts w:ascii="Arial" w:cs="Arial" w:eastAsia="Arial" w:hAnsi="Arial"/>
          <w:sz w:val="18"/>
          <w:szCs w:val="18"/>
          <w:color w:val="auto"/>
        </w:rPr>
        <w:t>The following table summarizes the aggregate fees for professional audit services and other services rendered by Deloitte &amp; Touche LLP for the years ended December 31, 2023 and 2022:</w:t>
      </w:r>
    </w:p>
    <w:p>
      <w:pPr>
        <w:spacing w:after="0" w:line="190"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5360" w:type="dxa"/>
            <w:vAlign w:val="bottom"/>
            <w:tcBorders>
              <w:bottom w:val="single" w:sz="8" w:color="DBE5F1"/>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2023</w:t>
            </w:r>
          </w:p>
        </w:tc>
        <w:tc>
          <w:tcPr>
            <w:tcW w:w="420" w:type="dxa"/>
            <w:vAlign w:val="bottom"/>
            <w:tcBorders>
              <w:bottom w:val="single" w:sz="8" w:color="DBE5F1"/>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DBE5F1"/>
            </w:tcBorders>
          </w:tcPr>
          <w:p>
            <w:pPr>
              <w:spacing w:after="0"/>
              <w:rPr>
                <w:sz w:val="14"/>
                <w:szCs w:val="14"/>
                <w:color w:val="auto"/>
              </w:rPr>
            </w:pPr>
          </w:p>
        </w:tc>
      </w:tr>
      <w:tr>
        <w:trPr>
          <w:trHeight w:val="183"/>
        </w:trPr>
        <w:tc>
          <w:tcPr>
            <w:tcW w:w="5360" w:type="dxa"/>
            <w:vAlign w:val="bottom"/>
            <w:shd w:val="clear" w:color="auto" w:fill="DBE5F1"/>
          </w:tcPr>
          <w:p>
            <w:pPr>
              <w:spacing w:after="0" w:line="183" w:lineRule="exact"/>
              <w:rPr>
                <w:sz w:val="20"/>
                <w:szCs w:val="20"/>
                <w:color w:val="auto"/>
              </w:rPr>
            </w:pPr>
            <w:r>
              <w:rPr>
                <w:rFonts w:ascii="Arial" w:cs="Arial" w:eastAsia="Arial" w:hAnsi="Arial"/>
                <w:sz w:val="16"/>
                <w:szCs w:val="16"/>
                <w:color w:val="auto"/>
              </w:rPr>
              <w:t>Audit Fees</w:t>
            </w:r>
          </w:p>
        </w:tc>
        <w:tc>
          <w:tcPr>
            <w:tcW w:w="100" w:type="dxa"/>
            <w:vAlign w:val="bottom"/>
            <w:shd w:val="clear" w:color="auto" w:fill="DBE5F1"/>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DBE5F1"/>
          </w:tcPr>
          <w:p>
            <w:pPr>
              <w:jc w:val="right"/>
              <w:spacing w:after="0" w:line="183" w:lineRule="exact"/>
              <w:rPr>
                <w:sz w:val="20"/>
                <w:szCs w:val="20"/>
                <w:color w:val="auto"/>
              </w:rPr>
            </w:pPr>
            <w:r>
              <w:rPr>
                <w:rFonts w:ascii="Arial" w:cs="Arial" w:eastAsia="Arial" w:hAnsi="Arial"/>
                <w:sz w:val="16"/>
                <w:szCs w:val="16"/>
                <w:color w:val="auto"/>
                <w:w w:val="98"/>
              </w:rPr>
              <w:t>1,873,407</w:t>
            </w:r>
          </w:p>
        </w:tc>
        <w:tc>
          <w:tcPr>
            <w:tcW w:w="420" w:type="dxa"/>
            <w:vAlign w:val="bottom"/>
            <w:shd w:val="clear" w:color="auto" w:fill="DBE5F1"/>
          </w:tcPr>
          <w:p>
            <w:pPr>
              <w:spacing w:after="0"/>
              <w:rPr>
                <w:sz w:val="15"/>
                <w:szCs w:val="15"/>
                <w:color w:val="auto"/>
              </w:rPr>
            </w:pPr>
          </w:p>
        </w:tc>
        <w:tc>
          <w:tcPr>
            <w:tcW w:w="100" w:type="dxa"/>
            <w:vAlign w:val="bottom"/>
            <w:shd w:val="clear" w:color="auto" w:fill="DBE5F1"/>
          </w:tcPr>
          <w:p>
            <w:pPr>
              <w:jc w:val="right"/>
              <w:spacing w:after="0" w:line="183" w:lineRule="exact"/>
              <w:rPr>
                <w:sz w:val="20"/>
                <w:szCs w:val="20"/>
                <w:color w:val="auto"/>
              </w:rPr>
            </w:pPr>
            <w:r>
              <w:rPr>
                <w:rFonts w:ascii="Arial" w:cs="Arial" w:eastAsia="Arial" w:hAnsi="Arial"/>
                <w:sz w:val="16"/>
                <w:szCs w:val="16"/>
                <w:color w:val="auto"/>
                <w:w w:val="89"/>
              </w:rPr>
              <w:t>$</w:t>
            </w:r>
          </w:p>
        </w:tc>
        <w:tc>
          <w:tcPr>
            <w:tcW w:w="720" w:type="dxa"/>
            <w:vAlign w:val="bottom"/>
            <w:shd w:val="clear" w:color="auto" w:fill="DBE5F1"/>
          </w:tcPr>
          <w:p>
            <w:pPr>
              <w:jc w:val="right"/>
              <w:spacing w:after="0" w:line="183" w:lineRule="exact"/>
              <w:rPr>
                <w:sz w:val="20"/>
                <w:szCs w:val="20"/>
                <w:color w:val="auto"/>
              </w:rPr>
            </w:pPr>
            <w:r>
              <w:rPr>
                <w:rFonts w:ascii="Arial" w:cs="Arial" w:eastAsia="Arial" w:hAnsi="Arial"/>
                <w:sz w:val="16"/>
                <w:szCs w:val="16"/>
                <w:color w:val="auto"/>
                <w:w w:val="98"/>
              </w:rPr>
              <w:t>1,883,663</w:t>
            </w:r>
          </w:p>
        </w:tc>
        <w:tc>
          <w:tcPr>
            <w:tcW w:w="60" w:type="dxa"/>
            <w:vAlign w:val="bottom"/>
            <w:shd w:val="clear" w:color="auto" w:fill="DBE5F1"/>
          </w:tcPr>
          <w:p>
            <w:pPr>
              <w:spacing w:after="0"/>
              <w:rPr>
                <w:sz w:val="15"/>
                <w:szCs w:val="15"/>
                <w:color w:val="auto"/>
              </w:rPr>
            </w:pPr>
          </w:p>
        </w:tc>
      </w:tr>
      <w:tr>
        <w:trPr>
          <w:trHeight w:val="189"/>
        </w:trPr>
        <w:tc>
          <w:tcPr>
            <w:tcW w:w="5360" w:type="dxa"/>
            <w:vAlign w:val="bottom"/>
          </w:tcPr>
          <w:p>
            <w:pPr>
              <w:spacing w:after="0"/>
              <w:rPr>
                <w:sz w:val="20"/>
                <w:szCs w:val="20"/>
                <w:color w:val="auto"/>
              </w:rPr>
            </w:pPr>
            <w:r>
              <w:rPr>
                <w:rFonts w:ascii="Arial" w:cs="Arial" w:eastAsia="Arial" w:hAnsi="Arial"/>
                <w:sz w:val="16"/>
                <w:szCs w:val="16"/>
                <w:color w:val="auto"/>
              </w:rPr>
              <w:t>Audit-Related Fees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23,725</w:t>
            </w:r>
          </w:p>
        </w:tc>
        <w:tc>
          <w:tcPr>
            <w:tcW w:w="4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65,000</w:t>
            </w:r>
          </w:p>
        </w:tc>
        <w:tc>
          <w:tcPr>
            <w:tcW w:w="60" w:type="dxa"/>
            <w:vAlign w:val="bottom"/>
          </w:tcPr>
          <w:p>
            <w:pPr>
              <w:spacing w:after="0"/>
              <w:rPr>
                <w:sz w:val="16"/>
                <w:szCs w:val="16"/>
                <w:color w:val="auto"/>
              </w:rPr>
            </w:pPr>
          </w:p>
        </w:tc>
      </w:tr>
      <w:tr>
        <w:trPr>
          <w:trHeight w:val="189"/>
        </w:trPr>
        <w:tc>
          <w:tcPr>
            <w:tcW w:w="5360" w:type="dxa"/>
            <w:vAlign w:val="bottom"/>
            <w:shd w:val="clear" w:color="auto" w:fill="DBE5F1"/>
          </w:tcPr>
          <w:p>
            <w:pPr>
              <w:spacing w:after="0"/>
              <w:rPr>
                <w:sz w:val="20"/>
                <w:szCs w:val="20"/>
                <w:color w:val="auto"/>
              </w:rPr>
            </w:pPr>
            <w:r>
              <w:rPr>
                <w:rFonts w:ascii="Arial" w:cs="Arial" w:eastAsia="Arial" w:hAnsi="Arial"/>
                <w:sz w:val="16"/>
                <w:szCs w:val="16"/>
                <w:color w:val="auto"/>
              </w:rPr>
              <w:t>Tax Fees</w:t>
            </w:r>
          </w:p>
        </w:tc>
        <w:tc>
          <w:tcPr>
            <w:tcW w:w="100" w:type="dxa"/>
            <w:vAlign w:val="bottom"/>
            <w:shd w:val="clear" w:color="auto" w:fill="DBE5F1"/>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99,700</w:t>
            </w:r>
          </w:p>
        </w:tc>
        <w:tc>
          <w:tcPr>
            <w:tcW w:w="420" w:type="dxa"/>
            <w:vAlign w:val="bottom"/>
            <w:shd w:val="clear" w:color="auto" w:fill="DBE5F1"/>
          </w:tcPr>
          <w:p>
            <w:pPr>
              <w:spacing w:after="0"/>
              <w:rPr>
                <w:sz w:val="16"/>
                <w:szCs w:val="16"/>
                <w:color w:val="auto"/>
              </w:rPr>
            </w:pPr>
          </w:p>
        </w:tc>
        <w:tc>
          <w:tcPr>
            <w:tcW w:w="100" w:type="dxa"/>
            <w:vAlign w:val="bottom"/>
            <w:shd w:val="clear" w:color="auto" w:fill="DBE5F1"/>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DBE5F1"/>
          </w:tcPr>
          <w:p>
            <w:pPr>
              <w:jc w:val="right"/>
              <w:spacing w:after="0"/>
              <w:rPr>
                <w:sz w:val="20"/>
                <w:szCs w:val="20"/>
                <w:color w:val="auto"/>
              </w:rPr>
            </w:pPr>
            <w:r>
              <w:rPr>
                <w:rFonts w:ascii="Arial" w:cs="Arial" w:eastAsia="Arial" w:hAnsi="Arial"/>
                <w:sz w:val="16"/>
                <w:szCs w:val="16"/>
                <w:color w:val="auto"/>
              </w:rPr>
              <w:t>155,293</w:t>
            </w:r>
          </w:p>
        </w:tc>
        <w:tc>
          <w:tcPr>
            <w:tcW w:w="60" w:type="dxa"/>
            <w:vAlign w:val="bottom"/>
            <w:shd w:val="clear" w:color="auto" w:fill="DBE5F1"/>
          </w:tcPr>
          <w:p>
            <w:pPr>
              <w:spacing w:after="0"/>
              <w:rPr>
                <w:sz w:val="16"/>
                <w:szCs w:val="16"/>
                <w:color w:val="auto"/>
              </w:rPr>
            </w:pPr>
          </w:p>
        </w:tc>
      </w:tr>
      <w:tr>
        <w:trPr>
          <w:trHeight w:val="215"/>
        </w:trPr>
        <w:tc>
          <w:tcPr>
            <w:tcW w:w="5360" w:type="dxa"/>
            <w:vAlign w:val="bottom"/>
          </w:tcPr>
          <w:p>
            <w:pPr>
              <w:spacing w:after="0"/>
              <w:rPr>
                <w:sz w:val="20"/>
                <w:szCs w:val="20"/>
                <w:color w:val="auto"/>
              </w:rPr>
            </w:pPr>
            <w:r>
              <w:rPr>
                <w:rFonts w:ascii="Arial" w:cs="Arial" w:eastAsia="Arial" w:hAnsi="Arial"/>
                <w:sz w:val="16"/>
                <w:szCs w:val="16"/>
                <w:color w:val="auto"/>
              </w:rPr>
              <w:t>All Other Fees</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50,000</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529,995</w:t>
            </w:r>
          </w:p>
        </w:tc>
        <w:tc>
          <w:tcPr>
            <w:tcW w:w="60" w:type="dxa"/>
            <w:vAlign w:val="bottom"/>
          </w:tcPr>
          <w:p>
            <w:pPr>
              <w:spacing w:after="0"/>
              <w:rPr>
                <w:sz w:val="18"/>
                <w:szCs w:val="18"/>
                <w:color w:val="auto"/>
              </w:rPr>
            </w:pPr>
          </w:p>
        </w:tc>
      </w:tr>
    </w:tbl>
    <w:p>
      <w:pPr>
        <w:spacing w:after="0" w:line="172" w:lineRule="exact"/>
        <w:rPr>
          <w:sz w:val="20"/>
          <w:szCs w:val="20"/>
          <w:color w:val="auto"/>
        </w:rPr>
      </w:pPr>
    </w:p>
    <w:p>
      <w:pPr>
        <w:ind w:right="40" w:firstLine="440"/>
        <w:spacing w:after="0" w:line="242" w:lineRule="auto"/>
        <w:rPr>
          <w:sz w:val="20"/>
          <w:szCs w:val="20"/>
          <w:color w:val="auto"/>
        </w:rPr>
      </w:pPr>
      <w:r>
        <w:rPr>
          <w:rFonts w:ascii="Arial" w:cs="Arial" w:eastAsia="Arial" w:hAnsi="Arial"/>
          <w:sz w:val="18"/>
          <w:szCs w:val="18"/>
          <w:color w:val="auto"/>
        </w:rPr>
        <w:t>The Audit Fees listed above were billed in connection with the audit of our annual consolidated financial statements in our Annual Report on Form 10-K, the reviews of our interim consolidated financial statements included in our quarterly reports on Forms 10-Q and other professional services related to our statutory audits and registration statements. Audit-Related Fees include services performed in connection with the registration statements, such as due diligence procedures and issuance of comfort letters in relation to our registration statement and internal controls advisory services. Tax Fees include fees for tax compliance, tax advice and tax planning services. All Other Fees include consulting services.</w:t>
      </w:r>
    </w:p>
    <w:p>
      <w:pPr>
        <w:spacing w:after="0" w:line="179" w:lineRule="exact"/>
        <w:rPr>
          <w:sz w:val="20"/>
          <w:szCs w:val="20"/>
          <w:color w:val="auto"/>
        </w:rPr>
      </w:pPr>
    </w:p>
    <w:p>
      <w:pPr>
        <w:ind w:right="40" w:firstLine="440"/>
        <w:spacing w:after="0" w:line="266" w:lineRule="auto"/>
        <w:rPr>
          <w:sz w:val="20"/>
          <w:szCs w:val="20"/>
          <w:color w:val="auto"/>
        </w:rPr>
      </w:pPr>
      <w:r>
        <w:rPr>
          <w:rFonts w:ascii="Arial" w:cs="Arial" w:eastAsia="Arial" w:hAnsi="Arial"/>
          <w:sz w:val="17"/>
          <w:szCs w:val="17"/>
          <w:color w:val="auto"/>
        </w:rPr>
        <w:t>In considering the nature of the services provided by the independent auditor, the Audit Committee determined that such services are compatible with the provision of independent audit services. The Audit Committee discussed these services with the independent auditor and Company management to determine that they are permitted under the rules and regulations concerning auditor independence promulgated by the SEC to implement the Sarbanes-Oxley Act of 2002, as well as the American Institute of Certified Public Accountants.</w:t>
      </w:r>
    </w:p>
    <w:p>
      <w:pPr>
        <w:spacing w:after="0" w:line="159" w:lineRule="exact"/>
        <w:rPr>
          <w:sz w:val="20"/>
          <w:szCs w:val="20"/>
          <w:color w:val="auto"/>
        </w:rPr>
      </w:pPr>
    </w:p>
    <w:p>
      <w:pPr>
        <w:ind w:right="40" w:firstLine="440"/>
        <w:spacing w:after="0" w:line="239" w:lineRule="auto"/>
        <w:rPr>
          <w:sz w:val="20"/>
          <w:szCs w:val="20"/>
          <w:color w:val="auto"/>
        </w:rPr>
      </w:pPr>
      <w:r>
        <w:rPr>
          <w:rFonts w:ascii="Arial" w:cs="Arial" w:eastAsia="Arial" w:hAnsi="Arial"/>
          <w:sz w:val="18"/>
          <w:szCs w:val="18"/>
          <w:color w:val="auto"/>
        </w:rPr>
        <w:t>The Audit Committee has adopted a policy that requires advance approval of all audit services as well as non-audit services, regardless of cost, to the extent required by the Exchange Act and the Sarbanes-Oxley Act of 2002. Unless the specific service has been previously pre-approved with respect to that year, the Audit Committee must approve the permitted service before the independent auditor is engaged to perform it. The Audit Committee may consider the amount or range of estimated fees as a factor in determining whether a proposed service would impair the registered public accounting firm’s independence. Requests or applications to provide services that require separate approval by the Audit Committee will be submitted to the Audit Committee by both the independent registered public accounting firm and the Company’s Chief Financial Officer or the Chief Accounting Officer and must include a joint statement as to whether, in their view, the request or application is consistent with the SEC’s and the PCAOB’s rules on registered public accounting firm independence.</w:t>
      </w:r>
    </w:p>
    <w:p>
      <w:pPr>
        <w:spacing w:after="0" w:line="183" w:lineRule="exact"/>
        <w:rPr>
          <w:sz w:val="20"/>
          <w:szCs w:val="20"/>
          <w:color w:val="auto"/>
        </w:rPr>
      </w:pPr>
    </w:p>
    <w:p>
      <w:pPr>
        <w:ind w:firstLine="440"/>
        <w:spacing w:after="0" w:line="247" w:lineRule="auto"/>
        <w:rPr>
          <w:sz w:val="20"/>
          <w:szCs w:val="20"/>
          <w:color w:val="auto"/>
        </w:rPr>
      </w:pPr>
      <w:r>
        <w:rPr>
          <w:rFonts w:ascii="Arial" w:cs="Arial" w:eastAsia="Arial" w:hAnsi="Arial"/>
          <w:sz w:val="18"/>
          <w:szCs w:val="18"/>
          <w:color w:val="auto"/>
        </w:rPr>
        <w:t>The Audit Committee may delegate pre-approval authority to one or more of its members. The member or members to whom such authority is delegated shall report any pre-approval decisions to the Audit Committee at its next scheduled meeting. The Audit Committee does not delegate to management the Audit Committee’s responsibilities to pre-approve services performed by the independent registered public accounting firm.</w:t>
      </w:r>
    </w:p>
    <w:p>
      <w:pPr>
        <w:spacing w:after="0" w:line="174" w:lineRule="exact"/>
        <w:rPr>
          <w:sz w:val="20"/>
          <w:szCs w:val="20"/>
          <w:color w:val="auto"/>
        </w:rPr>
      </w:pPr>
    </w:p>
    <w:p>
      <w:pPr>
        <w:ind w:right="200" w:firstLine="440"/>
        <w:spacing w:after="0" w:line="253" w:lineRule="auto"/>
        <w:rPr>
          <w:sz w:val="20"/>
          <w:szCs w:val="20"/>
          <w:color w:val="auto"/>
        </w:rPr>
      </w:pPr>
      <w:r>
        <w:rPr>
          <w:rFonts w:ascii="Arial" w:cs="Arial" w:eastAsia="Arial" w:hAnsi="Arial"/>
          <w:sz w:val="18"/>
          <w:szCs w:val="18"/>
          <w:color w:val="auto"/>
        </w:rPr>
        <w:t>The Audit Committee approved all services provided by Deloitte &amp; Touche LLP. Representatives of Deloitte &amp; Touche LLP are expected to be present at the Annual Meeting. They will have the opportunity to make a statement if they desire to do so, and we expect that they will be available to respond to questions.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96" w:right="45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1F497D"/>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Vote Required and Recommendation of the Board of Directors</w:t>
      </w:r>
    </w:p>
    <w:p>
      <w:pPr>
        <w:spacing w:after="0" w:line="212" w:lineRule="exact"/>
        <w:rPr>
          <w:sz w:val="20"/>
          <w:szCs w:val="20"/>
          <w:color w:val="auto"/>
        </w:rPr>
      </w:pPr>
    </w:p>
    <w:p>
      <w:pPr>
        <w:ind w:firstLine="440"/>
        <w:spacing w:after="0" w:line="257" w:lineRule="auto"/>
        <w:rPr>
          <w:sz w:val="20"/>
          <w:szCs w:val="20"/>
          <w:color w:val="auto"/>
        </w:rPr>
      </w:pPr>
      <w:r>
        <w:rPr>
          <w:rFonts w:ascii="Arial" w:cs="Arial" w:eastAsia="Arial" w:hAnsi="Arial"/>
          <w:sz w:val="17"/>
          <w:szCs w:val="17"/>
          <w:color w:val="auto"/>
        </w:rPr>
        <w:t>Ratification of the appointment of Deloitte &amp; Touche LLP requires affirmative votes from the holders of a majority of the voting power present in person or represented by proxy at the Annual Meeting and entitled to vote on such matter. Shares not present at the meeting have no effect on the approval of this matter, while abstentions will count as votes “against.” Pursuant to current NYSE regulations, brokers and other NYSE member organizations have discretionary voting power over the approval of this matter. Therefore, there will be no “broker non-votes” on this proposal, and if you hold shares through a broker or other NYSE member organization and do not provide voting instructions to your broker or other NYSE member organization, your shares may be voted “FOR” this proposal. If you timely submit a signed proxy card but fail to specify instructions to vote with respect to this proposal, the proxy card will be voted “FOR” this proposal.</w:t>
      </w:r>
    </w:p>
    <w:p>
      <w:pPr>
        <w:spacing w:after="0" w:line="168" w:lineRule="exact"/>
        <w:rPr>
          <w:sz w:val="20"/>
          <w:szCs w:val="20"/>
          <w:color w:val="auto"/>
        </w:rPr>
      </w:pPr>
    </w:p>
    <w:p>
      <w:pPr>
        <w:jc w:val="both"/>
        <w:ind w:firstLine="440"/>
        <w:spacing w:after="0" w:line="247" w:lineRule="auto"/>
        <w:rPr>
          <w:sz w:val="20"/>
          <w:szCs w:val="20"/>
          <w:color w:val="auto"/>
        </w:rPr>
      </w:pPr>
      <w:r>
        <w:rPr>
          <w:rFonts w:ascii="Arial" w:cs="Arial" w:eastAsia="Arial" w:hAnsi="Arial"/>
          <w:sz w:val="18"/>
          <w:szCs w:val="18"/>
          <w:color w:val="auto"/>
        </w:rPr>
        <w:t>If our stockholders do not ratify the appointment of Deloitte &amp; Touche LLP, the Audit Committee will reconsider the appointment and may affirm the appointment or retain another independent accounting firm. Even if the appointment is ratified, the Audit Committee may in the future replace Deloitte &amp; Touche LLP as our independent registered public accounting firm if it is determined that it is in the Company’s best interests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216535</wp:posOffset>
            </wp:positionV>
            <wp:extent cx="7003415" cy="540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003415" cy="54038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left="600" w:right="1220"/>
        <w:spacing w:after="0" w:line="280" w:lineRule="auto"/>
        <w:rPr>
          <w:sz w:val="20"/>
          <w:szCs w:val="20"/>
          <w:color w:val="auto"/>
        </w:rPr>
      </w:pPr>
      <w:r>
        <w:rPr>
          <w:rFonts w:ascii="Arial" w:cs="Arial" w:eastAsia="Arial" w:hAnsi="Arial"/>
          <w:sz w:val="17"/>
          <w:szCs w:val="17"/>
          <w:b w:val="1"/>
          <w:bCs w:val="1"/>
          <w:color w:val="auto"/>
        </w:rPr>
        <w:t>THE AUDIT COMMITTEE AND BOARD OF DIRECTORS RECOMMEND THAT YOU VOTE “FOR” THE RATIFICATION OF THE APPOINTMENT OF DELOITTE &amp; TOUCHE LLP AS THE INDEPENDENT REGISTERED PUBLIC ACCOUNTING FIRM FOR THE YEAR ENDING DECEMBER 31, 2024.</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0980"/>
          </w:cols>
          <w:pgMar w:left="440" w:top="296" w:right="4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REPORT</w:t>
      </w:r>
    </w:p>
    <w:p>
      <w:pPr>
        <w:spacing w:after="0" w:line="212" w:lineRule="exact"/>
        <w:rPr>
          <w:sz w:val="20"/>
          <w:szCs w:val="20"/>
          <w:color w:val="auto"/>
        </w:rPr>
      </w:pPr>
    </w:p>
    <w:p>
      <w:pPr>
        <w:ind w:firstLine="440"/>
        <w:spacing w:after="0" w:line="257" w:lineRule="auto"/>
        <w:rPr>
          <w:sz w:val="20"/>
          <w:szCs w:val="20"/>
          <w:color w:val="auto"/>
        </w:rPr>
      </w:pPr>
      <w:r>
        <w:rPr>
          <w:rFonts w:ascii="Arial" w:cs="Arial" w:eastAsia="Arial" w:hAnsi="Arial"/>
          <w:sz w:val="17"/>
          <w:szCs w:val="17"/>
          <w:color w:val="auto"/>
        </w:rPr>
        <w:t>The Audit Committee oversees our financial reporting process on behalf of the Board. The Audit Committee is composed of three independent directors and met four times in 2023. Our Audit Committee operates under a written charter, which is posted on our website at https://ir.alignmenthealth.com/. The Audit Committee’s oversight responsibilities include monitoring the integrity of our financial statements (including reviewing financial information, the systems of internal controls, the audit process, and the independence and performance of our internal audit function and independent registered public accounting firm) and our compliance with legal and regulatory requirements. However, management has the primary responsibility for the financial statements and the reporting process, including its assessment of our systems of internal controls over financial reporting. In fulfilling its oversight responsibilities, the Audit Committee:</w:t>
      </w:r>
    </w:p>
    <w:p>
      <w:pPr>
        <w:spacing w:after="0" w:line="195" w:lineRule="exact"/>
        <w:rPr>
          <w:sz w:val="20"/>
          <w:szCs w:val="20"/>
          <w:color w:val="auto"/>
        </w:rPr>
      </w:pPr>
    </w:p>
    <w:p>
      <w:pPr>
        <w:ind w:left="1300" w:hanging="535"/>
        <w:spacing w:after="0"/>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for the year ended December 31, 2023 with our management;</w:t>
      </w:r>
    </w:p>
    <w:p>
      <w:pPr>
        <w:spacing w:after="0" w:line="238" w:lineRule="exact"/>
        <w:rPr>
          <w:rFonts w:ascii="Arial" w:cs="Arial" w:eastAsia="Arial" w:hAnsi="Arial"/>
          <w:sz w:val="18"/>
          <w:szCs w:val="18"/>
          <w:color w:val="auto"/>
        </w:rPr>
      </w:pPr>
    </w:p>
    <w:p>
      <w:pPr>
        <w:ind w:left="1300" w:right="200" w:hanging="535"/>
        <w:spacing w:after="0" w:line="271"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discussed with our independent auditors, Deloitte &amp; Touche LLP, the matters required to be discussed by the applicable requirements of the Public Company Accounting Oversight Board (“PCAOB”) and the SEC; and</w:t>
      </w:r>
    </w:p>
    <w:p>
      <w:pPr>
        <w:spacing w:after="0" w:line="180" w:lineRule="exact"/>
        <w:rPr>
          <w:rFonts w:ascii="Arial" w:cs="Arial" w:eastAsia="Arial" w:hAnsi="Arial"/>
          <w:sz w:val="18"/>
          <w:szCs w:val="18"/>
          <w:color w:val="auto"/>
        </w:rPr>
      </w:pPr>
    </w:p>
    <w:p>
      <w:pPr>
        <w:jc w:val="both"/>
        <w:ind w:left="1300" w:right="80" w:hanging="535"/>
        <w:spacing w:after="0" w:line="253"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the Deloitte &amp; Touche LLP required by applicable requirements of the PCAOB regarding Deloitte &amp; Touche LLP’s communications with the audit committee concerning independence, and has discussed with Deloitte &amp; Touche LLP the independence of Deloitte &amp; Touche LLP.</w:t>
      </w:r>
    </w:p>
    <w:p>
      <w:pPr>
        <w:spacing w:after="0" w:line="169" w:lineRule="exact"/>
        <w:rPr>
          <w:sz w:val="20"/>
          <w:szCs w:val="20"/>
          <w:color w:val="auto"/>
        </w:rPr>
      </w:pPr>
    </w:p>
    <w:p>
      <w:pPr>
        <w:ind w:right="420" w:firstLine="440"/>
        <w:spacing w:after="0" w:line="271" w:lineRule="auto"/>
        <w:rPr>
          <w:sz w:val="20"/>
          <w:szCs w:val="20"/>
          <w:color w:val="auto"/>
        </w:rPr>
      </w:pPr>
      <w:r>
        <w:rPr>
          <w:rFonts w:ascii="Arial" w:cs="Arial" w:eastAsia="Arial" w:hAnsi="Arial"/>
          <w:sz w:val="18"/>
          <w:szCs w:val="18"/>
          <w:color w:val="auto"/>
        </w:rPr>
        <w:t>Based on the Audit Committee’s review and discussions noted above, the Audit Committee recommended to the Board that the audited financial statements be included in our Annual Report on Form 10-K for the year ended December 31, 2023.</w:t>
      </w:r>
    </w:p>
    <w:p>
      <w:pPr>
        <w:spacing w:after="0" w:line="18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Respectfully submitted by:</w:t>
      </w:r>
    </w:p>
    <w:p>
      <w:pPr>
        <w:spacing w:after="0" w:line="21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Jeffrey Margolis</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Yon Jorden</w:t>
      </w:r>
    </w:p>
    <w:p>
      <w:pPr>
        <w:ind w:left="6620"/>
        <w:spacing w:after="0"/>
        <w:rPr>
          <w:sz w:val="20"/>
          <w:szCs w:val="20"/>
          <w:color w:val="auto"/>
        </w:rPr>
      </w:pPr>
      <w:r>
        <w:rPr>
          <w:rFonts w:ascii="Arial" w:cs="Arial" w:eastAsia="Arial" w:hAnsi="Arial"/>
          <w:sz w:val="18"/>
          <w:szCs w:val="18"/>
          <w:color w:val="auto"/>
        </w:rPr>
        <w:t>Margaret McCarthy</w:t>
      </w:r>
    </w:p>
    <w:p>
      <w:pPr>
        <w:spacing w:after="0" w:line="196"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i w:val="1"/>
          <w:iCs w:val="1"/>
          <w:color w:val="auto"/>
        </w:rPr>
        <w:t>This report shall not be deemed soliciting material or to be filed with the SEC, or incorporated by reference in any document so filed, whether made before or after the date hereof, except to the extent we specifically request that it be treated as soliciting material or it is specifically incorporated by reference therein.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0980"/>
          </w:cols>
          <w:pgMar w:left="440" w:top="296" w:right="47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4 – NON-BINDING ADVISORY VOTE ON EXECUTIVE COMPENSATION</w:t>
      </w:r>
    </w:p>
    <w:p>
      <w:pPr>
        <w:spacing w:after="0" w:line="212" w:lineRule="exact"/>
        <w:rPr>
          <w:sz w:val="20"/>
          <w:szCs w:val="20"/>
          <w:color w:val="auto"/>
        </w:rPr>
      </w:pPr>
    </w:p>
    <w:p>
      <w:pPr>
        <w:ind w:right="220" w:firstLine="440"/>
        <w:spacing w:after="0"/>
        <w:rPr>
          <w:sz w:val="20"/>
          <w:szCs w:val="20"/>
          <w:color w:val="auto"/>
        </w:rPr>
      </w:pPr>
      <w:r>
        <w:rPr>
          <w:rFonts w:ascii="Arial" w:cs="Arial" w:eastAsia="Arial" w:hAnsi="Arial"/>
          <w:sz w:val="18"/>
          <w:szCs w:val="18"/>
          <w:color w:val="auto"/>
        </w:rPr>
        <w:t>In accordance with the requirements of Section 14A of the Exchange Act and the related rules of the SEC and as a matter of good corporate governance, we are providing our stockholders with a non-binding, advisory vote on the compensation paid to the Company’s NEOs. This stockholder vote, commonly known as a “say-on-pay” vote, provides stockholders with the opportunity to endorse or not endorse the Company’s fiscal year 2023 executive compensation programs and policies and the compensation paid to our NEOs as discussed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of this proxy statement beginning on page 41, the accompanying compensation tables and the related narrative disclosure. Our next say-on-pay vote will take place at our 2025 annual meeting of stockholders.</w:t>
      </w:r>
    </w:p>
    <w:p>
      <w:pPr>
        <w:spacing w:after="0" w:line="185" w:lineRule="exact"/>
        <w:rPr>
          <w:sz w:val="20"/>
          <w:szCs w:val="20"/>
          <w:color w:val="auto"/>
        </w:rPr>
      </w:pPr>
    </w:p>
    <w:p>
      <w:pPr>
        <w:ind w:right="120" w:firstLine="440"/>
        <w:spacing w:after="0" w:line="247"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summarizes our executive compensation program. Our Board and the Compensation Committee have implemented an executive compensation program that is intended to align the interests of our executive officers with those of our stockholders. The vast majority of our NEOs’ compensation is in the form of variable, at-risk compensation. Our cash annual incentive plan utilizes metrics that are tied to strategic goals that we believe will enhance stockholder value.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We are asking our stockholders to vote on the following resolution:</w:t>
      </w:r>
    </w:p>
    <w:p>
      <w:pPr>
        <w:spacing w:after="0" w:line="212" w:lineRule="exact"/>
        <w:rPr>
          <w:sz w:val="20"/>
          <w:szCs w:val="20"/>
          <w:color w:val="auto"/>
        </w:rPr>
      </w:pPr>
    </w:p>
    <w:p>
      <w:pPr>
        <w:jc w:val="both"/>
        <w:ind w:left="980" w:firstLine="401"/>
        <w:spacing w:after="0" w:line="253" w:lineRule="auto"/>
        <w:rPr>
          <w:sz w:val="20"/>
          <w:szCs w:val="20"/>
          <w:color w:val="auto"/>
        </w:rPr>
      </w:pPr>
      <w:r>
        <w:rPr>
          <w:rFonts w:ascii="Arial" w:cs="Arial" w:eastAsia="Arial" w:hAnsi="Arial"/>
          <w:sz w:val="18"/>
          <w:szCs w:val="18"/>
          <w:color w:val="auto"/>
        </w:rPr>
        <w:t>RESOLVED, that the stockholders of Alignment Healthcare, Inc. approve, on an advisory basis, the compensation of the Company’s Named Executive Officers, as described in the “</w:t>
      </w:r>
      <w:r>
        <w:rPr>
          <w:rFonts w:ascii="Arial" w:cs="Arial" w:eastAsia="Arial" w:hAnsi="Arial"/>
          <w:sz w:val="18"/>
          <w:szCs w:val="18"/>
          <w:i w:val="1"/>
          <w:iCs w:val="1"/>
          <w:color w:val="auto"/>
        </w:rPr>
        <w:t>Compensation Discussion and Analysis</w:t>
      </w:r>
      <w:r>
        <w:rPr>
          <w:rFonts w:ascii="Arial" w:cs="Arial" w:eastAsia="Arial" w:hAnsi="Arial"/>
          <w:sz w:val="18"/>
          <w:szCs w:val="18"/>
          <w:color w:val="auto"/>
        </w:rPr>
        <w:t>” section, the accompanying compensation tables and the related narrative disclosure, set forth in the Company’s proxy statement.</w:t>
      </w:r>
    </w:p>
    <w:p>
      <w:pPr>
        <w:spacing w:after="0" w:line="169" w:lineRule="exact"/>
        <w:rPr>
          <w:sz w:val="20"/>
          <w:szCs w:val="20"/>
          <w:color w:val="auto"/>
        </w:rPr>
      </w:pPr>
    </w:p>
    <w:p>
      <w:pPr>
        <w:jc w:val="center"/>
        <w:ind w:right="360"/>
        <w:spacing w:after="0" w:line="301" w:lineRule="auto"/>
        <w:rPr>
          <w:sz w:val="20"/>
          <w:szCs w:val="20"/>
          <w:color w:val="auto"/>
        </w:rPr>
      </w:pPr>
      <w:r>
        <w:rPr>
          <w:rFonts w:ascii="Arial" w:cs="Arial" w:eastAsia="Arial" w:hAnsi="Arial"/>
          <w:sz w:val="17"/>
          <w:szCs w:val="17"/>
          <w:color w:val="auto"/>
        </w:rPr>
        <w:t>Although this advisory vote on the compensation of our NEOs is non-binding, the Board of Directors and the Compensation Committee will carefully review and consider the outcome of the vote when considering future compensation arrangements our NEOs.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Vote Required and Recommendation of the Board of Directors</w:t>
      </w:r>
    </w:p>
    <w:p>
      <w:pPr>
        <w:spacing w:after="0" w:line="21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Approval of the non-binding, advisory resolution approving the compensation of our NEOs requires affirmative votes from the holders of a majority of the voting power present in person or represented by proxy at the Annual Meeting and entitled to vote on such matter. Shares not present at the meeting and broker-non votes have no effect on the approval of this matter, while abstentions will count as votes “against.” Pursuant to current NYSE regulations, brokers and other NYSE member organizations do not have discretionary voting power over the approval of the non-binding, advisory vote on the compensation of the Company’s Named Executive Officers. Therefore, if you hold shares through a broker or other NYSE member organization and do not provide voting instructions to your, broker or other NYSE member organization, your shares will not be entitled to vote with respect to this proposal. If you timely submit a signed proxy card but fail to specify instructions to vote with respect to this proposal, the proxy card will be voted “FOR” the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143510</wp:posOffset>
            </wp:positionV>
            <wp:extent cx="7003415" cy="402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003415" cy="402590"/>
                    </a:xfrm>
                    <a:prstGeom prst="rect">
                      <a:avLst/>
                    </a:prstGeom>
                    <a:noFill/>
                  </pic:spPr>
                </pic:pic>
              </a:graphicData>
            </a:graphic>
          </wp:anchor>
        </w:drawing>
      </w:r>
    </w:p>
    <w:p>
      <w:pPr>
        <w:spacing w:after="0" w:line="295" w:lineRule="exact"/>
        <w:rPr>
          <w:sz w:val="20"/>
          <w:szCs w:val="20"/>
          <w:color w:val="auto"/>
        </w:rPr>
      </w:pPr>
    </w:p>
    <w:p>
      <w:pPr>
        <w:jc w:val="center"/>
        <w:ind w:left="580" w:right="480"/>
        <w:spacing w:after="0" w:line="281" w:lineRule="auto"/>
        <w:rPr>
          <w:sz w:val="20"/>
          <w:szCs w:val="20"/>
          <w:color w:val="auto"/>
        </w:rPr>
      </w:pPr>
      <w:r>
        <w:rPr>
          <w:rFonts w:ascii="Arial" w:cs="Arial" w:eastAsia="Arial" w:hAnsi="Arial"/>
          <w:sz w:val="18"/>
          <w:szCs w:val="18"/>
          <w:b w:val="1"/>
          <w:bCs w:val="1"/>
          <w:color w:val="auto"/>
        </w:rPr>
        <w:t>THE BOARD OF DIRECTORS RECOMMENDS THAT YOU VOTE “FOR” THE NON-BINDING, ADVISORY RESOLUTION APPROVING THE COMPENSATON OF OUR NEOs.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0"/>
          </w:cols>
          <w:pgMar w:left="440" w:top="296" w:right="459" w:bottom="1440" w:gutter="0" w:footer="0" w:header="0"/>
        </w:sectPr>
      </w:pPr>
    </w:p>
    <w:bookmarkStart w:id="94" w:name="page95"/>
    <w:bookmarkEnd w:id="9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OTHER MATTERS</w:t>
      </w:r>
    </w:p>
    <w:p>
      <w:pPr>
        <w:spacing w:after="0" w:line="212" w:lineRule="exact"/>
        <w:rPr>
          <w:sz w:val="20"/>
          <w:szCs w:val="20"/>
          <w:color w:val="auto"/>
        </w:rPr>
      </w:pPr>
    </w:p>
    <w:p>
      <w:pPr>
        <w:ind w:right="100" w:firstLine="440"/>
        <w:spacing w:after="0" w:line="247" w:lineRule="auto"/>
        <w:rPr>
          <w:sz w:val="20"/>
          <w:szCs w:val="20"/>
          <w:color w:val="auto"/>
        </w:rPr>
      </w:pPr>
      <w:r>
        <w:rPr>
          <w:rFonts w:ascii="Arial" w:cs="Arial" w:eastAsia="Arial" w:hAnsi="Arial"/>
          <w:sz w:val="18"/>
          <w:szCs w:val="18"/>
          <w:color w:val="auto"/>
        </w:rPr>
        <w:t>We are not aware of any matters other than those discussed in the foregoing materials contemplated for action at the Annual Meeting.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AVAILABILITY OF SEC FILINGS, CODE OF CONDUCT AND COMMITTEE CHARTERS</w:t>
      </w:r>
    </w:p>
    <w:p>
      <w:pPr>
        <w:spacing w:after="0" w:line="212" w:lineRule="exact"/>
        <w:rPr>
          <w:sz w:val="20"/>
          <w:szCs w:val="20"/>
          <w:color w:val="auto"/>
        </w:rPr>
      </w:pPr>
    </w:p>
    <w:p>
      <w:pPr>
        <w:ind w:right="20" w:firstLine="440"/>
        <w:spacing w:after="0" w:line="261" w:lineRule="auto"/>
        <w:rPr>
          <w:sz w:val="20"/>
          <w:szCs w:val="20"/>
          <w:color w:val="auto"/>
        </w:rPr>
      </w:pPr>
      <w:r>
        <w:rPr>
          <w:rFonts w:ascii="Arial" w:cs="Arial" w:eastAsia="Arial" w:hAnsi="Arial"/>
          <w:sz w:val="17"/>
          <w:szCs w:val="17"/>
          <w:color w:val="auto"/>
        </w:rPr>
        <w:t>Copies of our reports on Forms 10-K, 10-Q, 8-K and all amendments to those reports filed with the SEC, and our Code of Conduct and the charters of the Audit Committee, Compensation Committee and NCGCC, and any reports of beneficial ownership of our common stock filed by executive officers, directors and beneficial owners of more than 10% of our outstanding common stock are posted on and may be obtained the investor relations section of our corporate website, https://ir.alignmenthealth.com/, or may be requested in print, at no cost, by mail at Alignment Healthcare, Inc., 1100 W. Town &amp; Country Rd., Suite 1600, Orange, CA 92868, Attention: Investor Relations.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TO FIND ADDITIONAL INFORMATION</w:t>
      </w:r>
    </w:p>
    <w:p>
      <w:pPr>
        <w:spacing w:after="0" w:line="212" w:lineRule="exact"/>
        <w:rPr>
          <w:sz w:val="20"/>
          <w:szCs w:val="20"/>
          <w:color w:val="auto"/>
        </w:rPr>
      </w:pPr>
    </w:p>
    <w:p>
      <w:pPr>
        <w:ind w:firstLine="440"/>
        <w:spacing w:after="0"/>
        <w:rPr>
          <w:sz w:val="20"/>
          <w:szCs w:val="20"/>
          <w:color w:val="auto"/>
        </w:rPr>
      </w:pPr>
      <w:r>
        <w:rPr>
          <w:rFonts w:ascii="Arial" w:cs="Arial" w:eastAsia="Arial" w:hAnsi="Arial"/>
          <w:sz w:val="18"/>
          <w:szCs w:val="18"/>
          <w:color w:val="auto"/>
        </w:rPr>
        <w:t>We are subject to the informational requirements of the Exchange Act and in accordance therewith, we file annual, quarterly and current reports and other information with the SEC. Such information may be accessed electronically by means of the SEC’s home page on the Internet at www.sec.gov. We are an electronic filer, and the SEC maintains an Internet site at www.sec.gov that contains the reports and other information we file electronically. The investor relations section of our corporate website may be found at https://ir.alignmenthealth.com/. We make available free of charge, through our website, our annual report on Form 10-K, as amended,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COST OF PROXY SOLICITATION</w:t>
      </w:r>
    </w:p>
    <w:p>
      <w:pPr>
        <w:spacing w:after="0" w:line="212" w:lineRule="exact"/>
        <w:rPr>
          <w:sz w:val="20"/>
          <w:szCs w:val="20"/>
          <w:color w:val="auto"/>
        </w:rPr>
      </w:pPr>
    </w:p>
    <w:p>
      <w:pPr>
        <w:ind w:firstLine="440"/>
        <w:spacing w:after="0" w:line="244" w:lineRule="auto"/>
        <w:rPr>
          <w:sz w:val="20"/>
          <w:szCs w:val="20"/>
          <w:color w:val="auto"/>
        </w:rPr>
      </w:pPr>
      <w:r>
        <w:rPr>
          <w:rFonts w:ascii="Arial" w:cs="Arial" w:eastAsia="Arial" w:hAnsi="Arial"/>
          <w:sz w:val="18"/>
          <w:szCs w:val="18"/>
          <w:color w:val="auto"/>
        </w:rPr>
        <w:t>Alignment is paying the expenses of this solicitation. Alignment will also make arrangements with brokerage houses and other custodians, nominees and fiduciaries to forward proxy materials to beneficial owners of common stock held as of the Record Date by such persons, and Alignment will reimburse such persons for their reasonable out-of-pocket expenses in forwarding such proxy materials. In addition to solicitation by mail, directors, officers and other employees of Alignment may solicit proxies in person or by telephone, facsimile, email or other similar means. Such individuals will not receive any additional compensation for these solicitation activities.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0980"/>
          </w:cols>
          <w:pgMar w:left="440" w:top="296" w:right="479" w:bottom="1440" w:gutter="0" w:footer="0" w:header="0"/>
        </w:sectPr>
      </w:pPr>
    </w:p>
    <w:bookmarkStart w:id="95" w:name="page96"/>
    <w:bookmarkEnd w:id="95"/>
    <w:p>
      <w:pPr>
        <w:ind w:left="3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APPENDIX – NON-GAAP FINANCIAL MEASURES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Adjusted Gross Profit and Medical Benefits Ratio, or MBR</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Adjusted gross profit is a non-GAAP financial measure that we define as loss from operations before depreciation and amortization, clinical equity-based compensation expense, and selling, general, and administrative expenses. Adjusted gross profit is a key measure used by our management and Board of Directors to understand and evaluate our operating performance and trends before the impact of our consolidated selling, general and administrative expenses.</w:t>
      </w:r>
    </w:p>
    <w:p>
      <w:pPr>
        <w:spacing w:after="0" w:line="174" w:lineRule="exact"/>
        <w:rPr>
          <w:sz w:val="20"/>
          <w:szCs w:val="20"/>
          <w:color w:val="auto"/>
        </w:rPr>
      </w:pPr>
    </w:p>
    <w:p>
      <w:pPr>
        <w:jc w:val="both"/>
        <w:ind w:right="100"/>
        <w:spacing w:after="0" w:line="253" w:lineRule="auto"/>
        <w:rPr>
          <w:sz w:val="20"/>
          <w:szCs w:val="20"/>
          <w:color w:val="auto"/>
        </w:rPr>
      </w:pPr>
      <w:r>
        <w:rPr>
          <w:rFonts w:ascii="Arial" w:cs="Arial" w:eastAsia="Arial" w:hAnsi="Arial"/>
          <w:sz w:val="18"/>
          <w:szCs w:val="18"/>
          <w:color w:val="auto"/>
        </w:rPr>
        <w:t>Adjusted gross profit should not be considered in isolation of, or as an alternative to, measures prepared in accordance with GAAP. There are a number of limitations related to the use of adjusted gross profit in lieu of loss from operations, which is the most directly comparable financial measure calculated in accordance with GAAP.</w:t>
      </w:r>
    </w:p>
    <w:p>
      <w:pPr>
        <w:spacing w:after="0" w:line="16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Our use of the term adjusted gross profit may vary from the use of similar terms by other companies in our industry and accordingly may not be comparable to similarly titled measures used by other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Adjusted gross profit is reconciled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00" w:type="dxa"/>
            <w:vAlign w:val="bottom"/>
            <w:gridSpan w:val="7"/>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596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212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4"/>
              <w:spacing w:after="0" w:line="155" w:lineRule="exact"/>
              <w:rPr>
                <w:sz w:val="20"/>
                <w:szCs w:val="20"/>
                <w:color w:val="auto"/>
              </w:rPr>
            </w:pPr>
            <w:r>
              <w:rPr>
                <w:rFonts w:ascii="Arial" w:cs="Arial" w:eastAsia="Arial" w:hAnsi="Arial"/>
                <w:sz w:val="14"/>
                <w:szCs w:val="14"/>
                <w:b w:val="1"/>
                <w:bCs w:val="1"/>
                <w:color w:val="auto"/>
              </w:rPr>
              <w:t>2023</w:t>
            </w:r>
          </w:p>
        </w:tc>
        <w:tc>
          <w:tcPr>
            <w:tcW w:w="2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5960" w:type="dxa"/>
            <w:vAlign w:val="bottom"/>
            <w:vMerge w:val="continue"/>
          </w:tcPr>
          <w:p>
            <w:pPr>
              <w:spacing w:after="0"/>
              <w:rPr>
                <w:sz w:val="15"/>
                <w:szCs w:val="15"/>
                <w:color w:val="auto"/>
              </w:rPr>
            </w:pPr>
          </w:p>
        </w:tc>
        <w:tc>
          <w:tcPr>
            <w:tcW w:w="2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5960" w:type="dxa"/>
            <w:vAlign w:val="bottom"/>
            <w:shd w:val="clear" w:color="auto" w:fill="DBE5F1"/>
          </w:tcPr>
          <w:p>
            <w:pPr>
              <w:spacing w:after="0"/>
              <w:rPr>
                <w:sz w:val="20"/>
                <w:szCs w:val="20"/>
                <w:color w:val="auto"/>
              </w:rPr>
            </w:pPr>
            <w:r>
              <w:rPr>
                <w:rFonts w:ascii="Arial" w:cs="Arial" w:eastAsia="Arial" w:hAnsi="Arial"/>
                <w:sz w:val="18"/>
                <w:szCs w:val="18"/>
                <w:color w:val="auto"/>
              </w:rPr>
              <w:t>Loss from operations</w:t>
            </w:r>
          </w:p>
        </w:tc>
        <w:tc>
          <w:tcPr>
            <w:tcW w:w="2360" w:type="dxa"/>
            <w:vAlign w:val="bottom"/>
            <w:gridSpan w:val="2"/>
            <w:shd w:val="clear" w:color="auto" w:fill="DBE5F1"/>
          </w:tcPr>
          <w:p>
            <w:pPr>
              <w:ind w:left="2120"/>
              <w:spacing w:after="0"/>
              <w:rPr>
                <w:sz w:val="20"/>
                <w:szCs w:val="20"/>
                <w:color w:val="auto"/>
              </w:rPr>
            </w:pPr>
            <w:r>
              <w:rPr>
                <w:rFonts w:ascii="Arial" w:cs="Arial" w:eastAsia="Arial" w:hAnsi="Arial"/>
                <w:sz w:val="18"/>
                <w:szCs w:val="18"/>
                <w:color w:val="auto"/>
              </w:rPr>
              <w:t xml:space="preserve">$ </w:t>
            </w:r>
          </w:p>
        </w:tc>
        <w:tc>
          <w:tcPr>
            <w:tcW w:w="1200" w:type="dxa"/>
            <w:vAlign w:val="bottom"/>
            <w:gridSpan w:val="3"/>
            <w:shd w:val="clear" w:color="auto" w:fill="DBE5F1"/>
          </w:tcPr>
          <w:p>
            <w:pPr>
              <w:jc w:val="right"/>
              <w:ind w:right="280"/>
              <w:spacing w:after="0"/>
              <w:rPr>
                <w:sz w:val="20"/>
                <w:szCs w:val="20"/>
                <w:color w:val="auto"/>
              </w:rPr>
            </w:pPr>
            <w:r>
              <w:rPr>
                <w:rFonts w:ascii="Arial" w:cs="Arial" w:eastAsia="Arial" w:hAnsi="Arial"/>
                <w:sz w:val="18"/>
                <w:szCs w:val="18"/>
                <w:color w:val="auto"/>
                <w:w w:val="98"/>
              </w:rPr>
              <w:t>  (127,817)</w:t>
            </w:r>
          </w:p>
        </w:tc>
        <w:tc>
          <w:tcPr>
            <w:tcW w:w="420" w:type="dxa"/>
            <w:vAlign w:val="bottom"/>
            <w:gridSpan w:val="2"/>
            <w:shd w:val="clear" w:color="auto" w:fill="DBE5F1"/>
          </w:tcPr>
          <w:p>
            <w:pPr>
              <w:ind w:left="180"/>
              <w:spacing w:after="0"/>
              <w:rPr>
                <w:sz w:val="20"/>
                <w:szCs w:val="20"/>
                <w:color w:val="auto"/>
              </w:rPr>
            </w:pPr>
            <w:r>
              <w:rPr>
                <w:rFonts w:ascii="Arial" w:cs="Arial" w:eastAsia="Arial" w:hAnsi="Arial"/>
                <w:sz w:val="18"/>
                <w:szCs w:val="18"/>
                <w:color w:val="auto"/>
              </w:rPr>
              <w:t xml:space="preserve">$ </w:t>
            </w:r>
          </w:p>
        </w:tc>
        <w:tc>
          <w:tcPr>
            <w:tcW w:w="1080" w:type="dxa"/>
            <w:vAlign w:val="bottom"/>
            <w:gridSpan w:val="2"/>
            <w:shd w:val="clear" w:color="auto" w:fill="DBE5F1"/>
          </w:tcPr>
          <w:p>
            <w:pPr>
              <w:jc w:val="right"/>
              <w:ind w:right="160"/>
              <w:spacing w:after="0"/>
              <w:rPr>
                <w:sz w:val="20"/>
                <w:szCs w:val="20"/>
                <w:color w:val="auto"/>
              </w:rPr>
            </w:pPr>
            <w:r>
              <w:rPr>
                <w:rFonts w:ascii="Arial" w:cs="Arial" w:eastAsia="Arial" w:hAnsi="Arial"/>
                <w:sz w:val="18"/>
                <w:szCs w:val="18"/>
                <w:color w:val="auto"/>
                <w:w w:val="98"/>
              </w:rPr>
              <w:t>  (128,639)</w:t>
            </w:r>
          </w:p>
        </w:tc>
        <w:tc>
          <w:tcPr>
            <w:tcW w:w="0" w:type="dxa"/>
            <w:vAlign w:val="bottom"/>
          </w:tcPr>
          <w:p>
            <w:pPr>
              <w:spacing w:after="0"/>
              <w:rPr>
                <w:sz w:val="1"/>
                <w:szCs w:val="1"/>
                <w:color w:val="auto"/>
              </w:rPr>
            </w:pPr>
          </w:p>
        </w:tc>
      </w:t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Add back:</w:t>
            </w: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60" w:type="dxa"/>
            <w:vAlign w:val="bottom"/>
            <w:shd w:val="clear" w:color="auto" w:fill="DBE5F1"/>
          </w:tcPr>
          <w:p>
            <w:pPr>
              <w:spacing w:after="0"/>
              <w:rPr>
                <w:sz w:val="20"/>
                <w:szCs w:val="20"/>
                <w:color w:val="auto"/>
              </w:rPr>
            </w:pPr>
            <w:r>
              <w:rPr>
                <w:rFonts w:ascii="Arial" w:cs="Arial" w:eastAsia="Arial" w:hAnsi="Arial"/>
                <w:sz w:val="18"/>
                <w:szCs w:val="18"/>
                <w:color w:val="auto"/>
              </w:rPr>
              <w:t>Equity-based compensation (medical expenses)</w:t>
            </w:r>
          </w:p>
        </w:tc>
        <w:tc>
          <w:tcPr>
            <w:tcW w:w="212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200" w:type="dxa"/>
            <w:vAlign w:val="bottom"/>
            <w:gridSpan w:val="3"/>
            <w:shd w:val="clear" w:color="auto" w:fill="DBE5F1"/>
          </w:tcPr>
          <w:p>
            <w:pPr>
              <w:jc w:val="right"/>
              <w:ind w:right="340"/>
              <w:spacing w:after="0"/>
              <w:rPr>
                <w:sz w:val="20"/>
                <w:szCs w:val="20"/>
                <w:color w:val="auto"/>
              </w:rPr>
            </w:pPr>
            <w:r>
              <w:rPr>
                <w:rFonts w:ascii="Arial" w:cs="Arial" w:eastAsia="Arial" w:hAnsi="Arial"/>
                <w:sz w:val="18"/>
                <w:szCs w:val="18"/>
                <w:color w:val="auto"/>
              </w:rPr>
              <w:t>7,541</w:t>
            </w:r>
          </w:p>
        </w:tc>
        <w:tc>
          <w:tcPr>
            <w:tcW w:w="18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080" w:type="dxa"/>
            <w:vAlign w:val="bottom"/>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9,128</w:t>
            </w:r>
          </w:p>
        </w:tc>
        <w:tc>
          <w:tcPr>
            <w:tcW w:w="0" w:type="dxa"/>
            <w:vAlign w:val="bottom"/>
          </w:tcPr>
          <w:p>
            <w:pPr>
              <w:spacing w:after="0"/>
              <w:rPr>
                <w:sz w:val="1"/>
                <w:szCs w:val="1"/>
                <w:color w:val="auto"/>
              </w:rPr>
            </w:pPr>
          </w:p>
        </w:tc>
      </w:tr>
      <w:tr>
        <w:trPr>
          <w:trHeight w:val="229"/>
        </w:trPr>
        <w:tc>
          <w:tcPr>
            <w:tcW w:w="5960" w:type="dxa"/>
            <w:vAlign w:val="bottom"/>
          </w:tcPr>
          <w:p>
            <w:pPr>
              <w:spacing w:after="0"/>
              <w:rPr>
                <w:sz w:val="20"/>
                <w:szCs w:val="20"/>
                <w:color w:val="auto"/>
              </w:rPr>
            </w:pPr>
            <w:r>
              <w:rPr>
                <w:rFonts w:ascii="Arial" w:cs="Arial" w:eastAsia="Arial" w:hAnsi="Arial"/>
                <w:sz w:val="18"/>
                <w:szCs w:val="18"/>
                <w:color w:val="auto"/>
              </w:rPr>
              <w:t>Depreciation (medical expenses)</w:t>
            </w:r>
          </w:p>
        </w:tc>
        <w:tc>
          <w:tcPr>
            <w:tcW w:w="2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254</w:t>
            </w: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5960" w:type="dxa"/>
            <w:vAlign w:val="bottom"/>
            <w:shd w:val="clear" w:color="auto" w:fill="DBE5F1"/>
          </w:tcPr>
          <w:p>
            <w:pPr>
              <w:spacing w:after="0"/>
              <w:rPr>
                <w:sz w:val="20"/>
                <w:szCs w:val="20"/>
                <w:color w:val="auto"/>
              </w:rPr>
            </w:pPr>
            <w:r>
              <w:rPr>
                <w:rFonts w:ascii="Arial" w:cs="Arial" w:eastAsia="Arial" w:hAnsi="Arial"/>
                <w:sz w:val="18"/>
                <w:szCs w:val="18"/>
                <w:color w:val="auto"/>
              </w:rPr>
              <w:t>Depreciation and amortization</w:t>
            </w:r>
          </w:p>
        </w:tc>
        <w:tc>
          <w:tcPr>
            <w:tcW w:w="212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200" w:type="dxa"/>
            <w:vAlign w:val="bottom"/>
            <w:gridSpan w:val="3"/>
            <w:shd w:val="clear" w:color="auto" w:fill="DBE5F1"/>
          </w:tcPr>
          <w:p>
            <w:pPr>
              <w:jc w:val="right"/>
              <w:ind w:right="340"/>
              <w:spacing w:after="0"/>
              <w:rPr>
                <w:sz w:val="20"/>
                <w:szCs w:val="20"/>
                <w:color w:val="auto"/>
              </w:rPr>
            </w:pPr>
            <w:r>
              <w:rPr>
                <w:rFonts w:ascii="Arial" w:cs="Arial" w:eastAsia="Arial" w:hAnsi="Arial"/>
                <w:sz w:val="18"/>
                <w:szCs w:val="18"/>
                <w:color w:val="auto"/>
              </w:rPr>
              <w:t>21,414</w:t>
            </w:r>
          </w:p>
        </w:tc>
        <w:tc>
          <w:tcPr>
            <w:tcW w:w="18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080" w:type="dxa"/>
            <w:vAlign w:val="bottom"/>
            <w:gridSpan w:val="2"/>
            <w:shd w:val="clear" w:color="auto" w:fill="DBE5F1"/>
          </w:tcPr>
          <w:p>
            <w:pPr>
              <w:jc w:val="right"/>
              <w:ind w:right="220"/>
              <w:spacing w:after="0"/>
              <w:rPr>
                <w:sz w:val="20"/>
                <w:szCs w:val="20"/>
                <w:color w:val="auto"/>
              </w:rPr>
            </w:pPr>
            <w:r>
              <w:rPr>
                <w:rFonts w:ascii="Arial" w:cs="Arial" w:eastAsia="Arial" w:hAnsi="Arial"/>
                <w:sz w:val="18"/>
                <w:szCs w:val="18"/>
                <w:color w:val="auto"/>
              </w:rPr>
              <w:t>17,273</w:t>
            </w:r>
          </w:p>
        </w:tc>
        <w:tc>
          <w:tcPr>
            <w:tcW w:w="0" w:type="dxa"/>
            <w:vAlign w:val="bottom"/>
          </w:tcPr>
          <w:p>
            <w:pPr>
              <w:spacing w:after="0"/>
              <w:rPr>
                <w:sz w:val="1"/>
                <w:szCs w:val="1"/>
                <w:color w:val="auto"/>
              </w:rPr>
            </w:pPr>
          </w:p>
        </w:tc>
      </w:tr>
      <w:tr>
        <w:trPr>
          <w:trHeight w:val="237"/>
        </w:trPr>
        <w:tc>
          <w:tcPr>
            <w:tcW w:w="59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307,433</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295,646</w:t>
            </w:r>
          </w:p>
        </w:tc>
        <w:tc>
          <w:tcPr>
            <w:tcW w:w="0" w:type="dxa"/>
            <w:vAlign w:val="bottom"/>
          </w:tcPr>
          <w:p>
            <w:pPr>
              <w:spacing w:after="0"/>
              <w:rPr>
                <w:sz w:val="1"/>
                <w:szCs w:val="1"/>
                <w:color w:val="auto"/>
              </w:rPr>
            </w:pPr>
          </w:p>
        </w:tc>
      </w:tr>
      <w:tr>
        <w:trPr>
          <w:trHeight w:val="229"/>
        </w:trPr>
        <w:tc>
          <w:tcPr>
            <w:tcW w:w="5960" w:type="dxa"/>
            <w:vAlign w:val="bottom"/>
            <w:shd w:val="clear" w:color="auto" w:fill="DBE5F1"/>
          </w:tcPr>
          <w:p>
            <w:pPr>
              <w:spacing w:after="0"/>
              <w:rPr>
                <w:sz w:val="20"/>
                <w:szCs w:val="20"/>
                <w:color w:val="auto"/>
              </w:rPr>
            </w:pPr>
            <w:r>
              <w:rPr>
                <w:rFonts w:ascii="Arial" w:cs="Arial" w:eastAsia="Arial" w:hAnsi="Arial"/>
                <w:sz w:val="18"/>
                <w:szCs w:val="18"/>
                <w:color w:val="auto"/>
              </w:rPr>
              <w:t>Total add back</w:t>
            </w:r>
          </w:p>
        </w:tc>
        <w:tc>
          <w:tcPr>
            <w:tcW w:w="2120" w:type="dxa"/>
            <w:vAlign w:val="bottom"/>
            <w:shd w:val="clear" w:color="auto" w:fill="DBE5F1"/>
          </w:tcPr>
          <w:p>
            <w:pPr>
              <w:spacing w:after="0"/>
              <w:rPr>
                <w:sz w:val="19"/>
                <w:szCs w:val="19"/>
                <w:color w:val="auto"/>
              </w:rPr>
            </w:pPr>
          </w:p>
        </w:tc>
        <w:tc>
          <w:tcPr>
            <w:tcW w:w="240" w:type="dxa"/>
            <w:vAlign w:val="bottom"/>
            <w:tcBorders>
              <w:top w:val="single" w:sz="8" w:color="auto"/>
            </w:tcBorders>
            <w:shd w:val="clear" w:color="auto" w:fill="DBE5F1"/>
          </w:tcPr>
          <w:p>
            <w:pPr>
              <w:spacing w:after="0"/>
              <w:rPr>
                <w:sz w:val="19"/>
                <w:szCs w:val="19"/>
                <w:color w:val="auto"/>
              </w:rPr>
            </w:pPr>
          </w:p>
        </w:tc>
        <w:tc>
          <w:tcPr>
            <w:tcW w:w="880" w:type="dxa"/>
            <w:vAlign w:val="bottom"/>
            <w:tcBorders>
              <w:top w:val="single" w:sz="8" w:color="auto"/>
            </w:tcBorders>
            <w:gridSpan w:val="2"/>
            <w:shd w:val="clear" w:color="auto" w:fill="DBE5F1"/>
          </w:tcPr>
          <w:p>
            <w:pPr>
              <w:jc w:val="right"/>
              <w:ind w:right="20"/>
              <w:spacing w:after="0"/>
              <w:rPr>
                <w:sz w:val="20"/>
                <w:szCs w:val="20"/>
                <w:color w:val="auto"/>
              </w:rPr>
            </w:pPr>
            <w:r>
              <w:rPr>
                <w:rFonts w:ascii="Arial" w:cs="Arial" w:eastAsia="Arial" w:hAnsi="Arial"/>
                <w:sz w:val="18"/>
                <w:szCs w:val="18"/>
                <w:color w:val="auto"/>
              </w:rPr>
              <w:t>336,642</w:t>
            </w:r>
          </w:p>
        </w:tc>
        <w:tc>
          <w:tcPr>
            <w:tcW w:w="320" w:type="dxa"/>
            <w:vAlign w:val="bottom"/>
            <w:shd w:val="clear" w:color="auto" w:fill="DBE5F1"/>
          </w:tcPr>
          <w:p>
            <w:pPr>
              <w:spacing w:after="0"/>
              <w:rPr>
                <w:sz w:val="19"/>
                <w:szCs w:val="19"/>
                <w:color w:val="auto"/>
              </w:rPr>
            </w:pPr>
          </w:p>
        </w:tc>
        <w:tc>
          <w:tcPr>
            <w:tcW w:w="180" w:type="dxa"/>
            <w:vAlign w:val="bottom"/>
            <w:shd w:val="clear" w:color="auto" w:fill="DBE5F1"/>
          </w:tcPr>
          <w:p>
            <w:pPr>
              <w:spacing w:after="0"/>
              <w:rPr>
                <w:sz w:val="19"/>
                <w:szCs w:val="19"/>
                <w:color w:val="auto"/>
              </w:rPr>
            </w:pPr>
          </w:p>
        </w:tc>
        <w:tc>
          <w:tcPr>
            <w:tcW w:w="240" w:type="dxa"/>
            <w:vAlign w:val="bottom"/>
            <w:tcBorders>
              <w:top w:val="single" w:sz="8" w:color="auto"/>
            </w:tcBorders>
            <w:shd w:val="clear" w:color="auto" w:fill="DBE5F1"/>
          </w:tcPr>
          <w:p>
            <w:pPr>
              <w:spacing w:after="0"/>
              <w:rPr>
                <w:sz w:val="19"/>
                <w:szCs w:val="19"/>
                <w:color w:val="auto"/>
              </w:rPr>
            </w:pPr>
          </w:p>
        </w:tc>
        <w:tc>
          <w:tcPr>
            <w:tcW w:w="860" w:type="dxa"/>
            <w:vAlign w:val="bottom"/>
            <w:tcBorders>
              <w:top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322,260</w:t>
            </w:r>
          </w:p>
        </w:tc>
        <w:tc>
          <w:tcPr>
            <w:tcW w:w="22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960" w:type="dxa"/>
            <w:vAlign w:val="bottom"/>
          </w:tcPr>
          <w:p>
            <w:pPr>
              <w:spacing w:after="0"/>
              <w:rPr>
                <w:sz w:val="20"/>
                <w:szCs w:val="20"/>
                <w:color w:val="auto"/>
              </w:rPr>
            </w:pPr>
            <w:r>
              <w:rPr>
                <w:rFonts w:ascii="Arial" w:cs="Arial" w:eastAsia="Arial" w:hAnsi="Arial"/>
                <w:sz w:val="18"/>
                <w:szCs w:val="18"/>
                <w:color w:val="auto"/>
              </w:rPr>
              <w:t>Adjusted gross profit</w:t>
            </w:r>
          </w:p>
        </w:tc>
        <w:tc>
          <w:tcPr>
            <w:tcW w:w="2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208,825</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193,621</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960" w:type="dxa"/>
            <w:vAlign w:val="bottom"/>
            <w:shd w:val="clear" w:color="auto" w:fill="DBE5F1"/>
          </w:tcPr>
          <w:p>
            <w:pPr>
              <w:spacing w:after="0"/>
              <w:rPr>
                <w:sz w:val="20"/>
                <w:szCs w:val="20"/>
                <w:color w:val="auto"/>
              </w:rPr>
            </w:pPr>
            <w:r>
              <w:rPr>
                <w:rFonts w:ascii="Arial" w:cs="Arial" w:eastAsia="Arial" w:hAnsi="Arial"/>
                <w:sz w:val="18"/>
                <w:szCs w:val="18"/>
                <w:color w:val="auto"/>
              </w:rPr>
              <w:t>Medical benefit ratio</w:t>
            </w:r>
          </w:p>
        </w:tc>
        <w:tc>
          <w:tcPr>
            <w:tcW w:w="212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200" w:type="dxa"/>
            <w:vAlign w:val="bottom"/>
            <w:gridSpan w:val="3"/>
            <w:shd w:val="clear" w:color="auto" w:fill="DBE5F1"/>
          </w:tcPr>
          <w:p>
            <w:pPr>
              <w:jc w:val="right"/>
              <w:ind w:right="180"/>
              <w:spacing w:after="0"/>
              <w:rPr>
                <w:sz w:val="20"/>
                <w:szCs w:val="20"/>
                <w:color w:val="auto"/>
              </w:rPr>
            </w:pPr>
            <w:r>
              <w:rPr>
                <w:rFonts w:ascii="Arial" w:cs="Arial" w:eastAsia="Arial" w:hAnsi="Arial"/>
                <w:sz w:val="18"/>
                <w:szCs w:val="18"/>
                <w:color w:val="auto"/>
              </w:rPr>
              <w:t>88.5%</w:t>
            </w:r>
          </w:p>
        </w:tc>
        <w:tc>
          <w:tcPr>
            <w:tcW w:w="180" w:type="dxa"/>
            <w:vAlign w:val="bottom"/>
            <w:shd w:val="clear" w:color="auto" w:fill="DBE5F1"/>
          </w:tcPr>
          <w:p>
            <w:pPr>
              <w:spacing w:after="0"/>
              <w:rPr>
                <w:sz w:val="20"/>
                <w:szCs w:val="20"/>
                <w:color w:val="auto"/>
              </w:rPr>
            </w:pPr>
          </w:p>
        </w:tc>
        <w:tc>
          <w:tcPr>
            <w:tcW w:w="240" w:type="dxa"/>
            <w:vAlign w:val="bottom"/>
            <w:shd w:val="clear" w:color="auto" w:fill="DBE5F1"/>
          </w:tcPr>
          <w:p>
            <w:pPr>
              <w:spacing w:after="0"/>
              <w:rPr>
                <w:sz w:val="20"/>
                <w:szCs w:val="20"/>
                <w:color w:val="auto"/>
              </w:rPr>
            </w:pPr>
          </w:p>
        </w:tc>
        <w:tc>
          <w:tcPr>
            <w:tcW w:w="1080" w:type="dxa"/>
            <w:vAlign w:val="bottom"/>
            <w:gridSpan w:val="2"/>
            <w:shd w:val="clear" w:color="auto" w:fill="DBE5F1"/>
          </w:tcPr>
          <w:p>
            <w:pPr>
              <w:jc w:val="right"/>
              <w:ind w:right="60"/>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right="160"/>
        <w:spacing w:after="0" w:line="242" w:lineRule="auto"/>
        <w:rPr>
          <w:sz w:val="20"/>
          <w:szCs w:val="20"/>
          <w:color w:val="auto"/>
        </w:rPr>
      </w:pPr>
      <w:r>
        <w:rPr>
          <w:rFonts w:ascii="Arial" w:cs="Arial" w:eastAsia="Arial" w:hAnsi="Arial"/>
          <w:sz w:val="18"/>
          <w:szCs w:val="18"/>
          <w:color w:val="auto"/>
        </w:rPr>
        <w:t>We calculate our medical benefits ratio (“MBR”) by dividing total medical expenses, excluding depreciation and equity-based compensation, by total revenues in a given period. We believe our MBR is an indicator of our gross profit for our Medicare Advantage plans and demonstrates the ability of our clinical model to produce superior outcomes by identifying and providing targeted care to our high-risk members resulting in improved member health and reduced total population medical expenses. We expect that this metric may fluctuate over time due to a variety of factors, including our pace of new member growth given that new members typically join Alignment with higher MBRs, while our model has demonstrated an ability to improve MBR for a given cohort over time.</w:t>
      </w:r>
    </w:p>
    <w:p>
      <w:pPr>
        <w:spacing w:after="0" w:line="179" w:lineRule="exact"/>
        <w:rPr>
          <w:sz w:val="20"/>
          <w:szCs w:val="20"/>
          <w:color w:val="auto"/>
        </w:rPr>
      </w:pPr>
    </w:p>
    <w:p>
      <w:pPr>
        <w:jc w:val="both"/>
        <w:ind w:right="200"/>
        <w:spacing w:after="0" w:line="253" w:lineRule="auto"/>
        <w:rPr>
          <w:sz w:val="20"/>
          <w:szCs w:val="20"/>
          <w:color w:val="auto"/>
        </w:rPr>
      </w:pPr>
      <w:r>
        <w:rPr>
          <w:rFonts w:ascii="Arial" w:cs="Arial" w:eastAsia="Arial" w:hAnsi="Arial"/>
          <w:sz w:val="18"/>
          <w:szCs w:val="18"/>
          <w:color w:val="auto"/>
        </w:rPr>
        <w:t>When we determine, on an annual basis, whether we have satisfied the CMS minimum Medical Loss Ratio (“MLR”) of 85%, adjustments are made to the MBR calculation to include certain additional expenses related to improving the quality of care provided, and to exclude certain taxes and fees, in each case as permitted or required by CMS and applicable regulatory requirements.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1F497D"/>
        </w:rPr>
        <w:t>Adjusted EBITDA</w:t>
      </w:r>
    </w:p>
    <w:p>
      <w:pPr>
        <w:spacing w:after="0" w:line="212" w:lineRule="exact"/>
        <w:rPr>
          <w:sz w:val="20"/>
          <w:szCs w:val="20"/>
          <w:color w:val="auto"/>
        </w:rPr>
      </w:pPr>
    </w:p>
    <w:p>
      <w:pPr>
        <w:ind w:right="200"/>
        <w:spacing w:after="0" w:line="247" w:lineRule="auto"/>
        <w:rPr>
          <w:sz w:val="20"/>
          <w:szCs w:val="20"/>
          <w:color w:val="auto"/>
        </w:rPr>
      </w:pPr>
      <w:r>
        <w:rPr>
          <w:rFonts w:ascii="Arial" w:cs="Arial" w:eastAsia="Arial" w:hAnsi="Arial"/>
          <w:sz w:val="18"/>
          <w:szCs w:val="18"/>
          <w:color w:val="auto"/>
        </w:rPr>
        <w:t>Adjusted EBITDA is a non-GAAP financial measure that we define as net loss before interest expense, income taxes, depreciation and amortization expense, reorganization and transaction-related expenses and equity-based compensation expense. Adjusted EBITDA is a key measure used by our management and our Board of Directors to understand and evaluate our operating performance and trends, to prepare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20"/>
          </w:cols>
          <w:pgMar w:left="440" w:top="296" w:right="439" w:bottom="1440" w:gutter="0" w:footer="0" w:header="0"/>
        </w:sectPr>
      </w:pPr>
    </w:p>
    <w:bookmarkStart w:id="96" w:name="page97"/>
    <w:bookmarkEnd w:id="96"/>
    <w:p>
      <w:pPr>
        <w:ind w:right="20"/>
        <w:spacing w:after="0" w:line="24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and approve our annual budget and to develop short and long-term operating plans. In particular, we believe that the exclusion of the amounts eliminated in calculating Adjusted EBITDA provides useful measures for period-to-period comparisons of our business. Given our intent to continue to invest in our platform and the scalability of our business in the short to medium-term, we believe Adjusted EBITDA over the long term will be an important indicator of value creation.</w:t>
      </w:r>
    </w:p>
    <w:p>
      <w:pPr>
        <w:spacing w:after="0" w:line="17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Adjusted EBITDA should not be considered in isolation of, or as an alternative to, measures prepared in accordance with GAAP. There are a number of limitations related to the use of Adjusted EBITDA in lieu of net loss, which is the most directly comparable financial measure calculated in accordance with GAAP.</w:t>
      </w:r>
    </w:p>
    <w:p>
      <w:pPr>
        <w:spacing w:after="0" w:line="169"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Our use of the term Adjusted EBITDA may vary from the use of similar terms by other companies in our industry and accordingly may not be comparable to similarly titled measures used by other companies.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is reconciled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56"/>
        </w:trPr>
        <w:tc>
          <w:tcPr>
            <w:tcW w:w="818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2023</w:t>
            </w:r>
          </w:p>
        </w:tc>
        <w:tc>
          <w:tcPr>
            <w:tcW w:w="2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818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8180" w:type="dxa"/>
            <w:vAlign w:val="bottom"/>
            <w:shd w:val="clear" w:color="auto" w:fill="DBE5F1"/>
          </w:tcPr>
          <w:p>
            <w:pPr>
              <w:spacing w:after="0"/>
              <w:rPr>
                <w:sz w:val="20"/>
                <w:szCs w:val="20"/>
                <w:color w:val="auto"/>
              </w:rPr>
            </w:pPr>
            <w:r>
              <w:rPr>
                <w:rFonts w:ascii="Arial" w:cs="Arial" w:eastAsia="Arial" w:hAnsi="Arial"/>
                <w:sz w:val="18"/>
                <w:szCs w:val="18"/>
                <w:color w:val="auto"/>
              </w:rPr>
              <w:t>Net loss</w:t>
            </w:r>
          </w:p>
        </w:tc>
        <w:tc>
          <w:tcPr>
            <w:tcW w:w="380" w:type="dxa"/>
            <w:vAlign w:val="bottom"/>
            <w:shd w:val="clear" w:color="auto" w:fill="DBE5F1"/>
          </w:tcPr>
          <w:p>
            <w:pPr>
              <w:spacing w:after="0"/>
              <w:rPr>
                <w:sz w:val="20"/>
                <w:szCs w:val="20"/>
                <w:color w:val="auto"/>
              </w:rPr>
            </w:pPr>
            <w:r>
              <w:rPr>
                <w:rFonts w:ascii="Arial" w:cs="Arial" w:eastAsia="Arial" w:hAnsi="Arial"/>
                <w:sz w:val="18"/>
                <w:szCs w:val="18"/>
                <w:color w:val="auto"/>
              </w:rPr>
              <w:t xml:space="preserve">$    </w:t>
            </w:r>
          </w:p>
        </w:tc>
        <w:tc>
          <w:tcPr>
            <w:tcW w:w="1000" w:type="dxa"/>
            <w:vAlign w:val="bottom"/>
            <w:gridSpan w:val="2"/>
            <w:shd w:val="clear" w:color="auto" w:fill="DBE5F1"/>
          </w:tcPr>
          <w:p>
            <w:pPr>
              <w:jc w:val="right"/>
              <w:ind w:right="140"/>
              <w:spacing w:after="0"/>
              <w:rPr>
                <w:sz w:val="20"/>
                <w:szCs w:val="20"/>
                <w:color w:val="auto"/>
              </w:rPr>
            </w:pPr>
            <w:r>
              <w:rPr>
                <w:rFonts w:ascii="Arial" w:cs="Arial" w:eastAsia="Arial" w:hAnsi="Arial"/>
                <w:sz w:val="18"/>
                <w:szCs w:val="18"/>
                <w:color w:val="auto"/>
              </w:rPr>
              <w:t>(148,173)</w:t>
            </w:r>
          </w:p>
        </w:tc>
        <w:tc>
          <w:tcPr>
            <w:tcW w:w="380" w:type="dxa"/>
            <w:vAlign w:val="bottom"/>
            <w:gridSpan w:val="2"/>
            <w:shd w:val="clear" w:color="auto" w:fill="DBE5F1"/>
          </w:tcPr>
          <w:p>
            <w:pPr>
              <w:ind w:left="140"/>
              <w:spacing w:after="0"/>
              <w:rPr>
                <w:sz w:val="20"/>
                <w:szCs w:val="20"/>
                <w:color w:val="auto"/>
              </w:rPr>
            </w:pPr>
            <w:r>
              <w:rPr>
                <w:rFonts w:ascii="Arial" w:cs="Arial" w:eastAsia="Arial" w:hAnsi="Arial"/>
                <w:sz w:val="18"/>
                <w:szCs w:val="18"/>
                <w:color w:val="auto"/>
              </w:rPr>
              <w:t xml:space="preserve">$ </w:t>
            </w:r>
          </w:p>
        </w:tc>
        <w:tc>
          <w:tcPr>
            <w:tcW w:w="1080" w:type="dxa"/>
            <w:vAlign w:val="bottom"/>
            <w:gridSpan w:val="2"/>
            <w:shd w:val="clear" w:color="auto" w:fill="DBE5F1"/>
          </w:tcPr>
          <w:p>
            <w:pPr>
              <w:jc w:val="right"/>
              <w:ind w:right="60"/>
              <w:spacing w:after="0"/>
              <w:rPr>
                <w:sz w:val="20"/>
                <w:szCs w:val="20"/>
                <w:color w:val="auto"/>
              </w:rPr>
            </w:pPr>
            <w:r>
              <w:rPr>
                <w:rFonts w:ascii="Arial" w:cs="Arial" w:eastAsia="Arial" w:hAnsi="Arial"/>
                <w:sz w:val="18"/>
                <w:szCs w:val="18"/>
                <w:color w:val="auto"/>
                <w:w w:val="95"/>
              </w:rPr>
              <w:t>   (149,639)</w:t>
            </w:r>
          </w:p>
        </w:tc>
        <w:tc>
          <w:tcPr>
            <w:tcW w:w="0" w:type="dxa"/>
            <w:vAlign w:val="bottom"/>
          </w:tcPr>
          <w:p>
            <w:pPr>
              <w:spacing w:after="0"/>
              <w:rPr>
                <w:sz w:val="1"/>
                <w:szCs w:val="1"/>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30"/>
        </w:trPr>
        <w:tc>
          <w:tcPr>
            <w:tcW w:w="8180" w:type="dxa"/>
            <w:vAlign w:val="bottom"/>
            <w:shd w:val="clear" w:color="auto" w:fill="DBE5F1"/>
          </w:tcPr>
          <w:p>
            <w:pPr>
              <w:spacing w:after="0"/>
              <w:rPr>
                <w:sz w:val="20"/>
                <w:szCs w:val="20"/>
                <w:color w:val="auto"/>
              </w:rPr>
            </w:pPr>
            <w:r>
              <w:rPr>
                <w:rFonts w:ascii="Arial" w:cs="Arial" w:eastAsia="Arial" w:hAnsi="Arial"/>
                <w:sz w:val="18"/>
                <w:szCs w:val="18"/>
                <w:color w:val="auto"/>
              </w:rPr>
              <w:t>Adjustments:</w:t>
            </w:r>
          </w:p>
        </w:tc>
        <w:tc>
          <w:tcPr>
            <w:tcW w:w="380" w:type="dxa"/>
            <w:vAlign w:val="bottom"/>
            <w:shd w:val="clear" w:color="auto" w:fill="DBE5F1"/>
          </w:tcPr>
          <w:p>
            <w:pPr>
              <w:spacing w:after="0"/>
              <w:rPr>
                <w:sz w:val="19"/>
                <w:szCs w:val="19"/>
                <w:color w:val="auto"/>
              </w:rPr>
            </w:pPr>
          </w:p>
        </w:tc>
        <w:tc>
          <w:tcPr>
            <w:tcW w:w="800" w:type="dxa"/>
            <w:vAlign w:val="bottom"/>
            <w:shd w:val="clear" w:color="auto" w:fill="DBE5F1"/>
          </w:tcPr>
          <w:p>
            <w:pPr>
              <w:spacing w:after="0"/>
              <w:rPr>
                <w:sz w:val="19"/>
                <w:szCs w:val="19"/>
                <w:color w:val="auto"/>
              </w:rPr>
            </w:pPr>
          </w:p>
        </w:tc>
        <w:tc>
          <w:tcPr>
            <w:tcW w:w="20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960" w:type="dxa"/>
            <w:vAlign w:val="bottom"/>
            <w:shd w:val="clear" w:color="auto" w:fill="DBE5F1"/>
          </w:tcPr>
          <w:p>
            <w:pPr>
              <w:spacing w:after="0"/>
              <w:rPr>
                <w:sz w:val="19"/>
                <w:szCs w:val="19"/>
                <w:color w:val="auto"/>
              </w:rPr>
            </w:pPr>
          </w:p>
        </w:tc>
        <w:tc>
          <w:tcPr>
            <w:tcW w:w="12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21,231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18,289</w:t>
            </w:r>
          </w:p>
        </w:tc>
        <w:tc>
          <w:tcPr>
            <w:tcW w:w="0" w:type="dxa"/>
            <w:vAlign w:val="bottom"/>
          </w:tcPr>
          <w:p>
            <w:pPr>
              <w:spacing w:after="0"/>
              <w:rPr>
                <w:sz w:val="1"/>
                <w:szCs w:val="1"/>
                <w:color w:val="auto"/>
              </w:rPr>
            </w:pPr>
          </w:p>
        </w:tc>
      </w:tr>
      <w:tr>
        <w:trPr>
          <w:trHeight w:val="229"/>
        </w:trPr>
        <w:tc>
          <w:tcPr>
            <w:tcW w:w="8180" w:type="dxa"/>
            <w:vAlign w:val="bottom"/>
            <w:shd w:val="clear" w:color="auto" w:fill="DBE5F1"/>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shd w:val="clear" w:color="auto" w:fill="DBE5F1"/>
          </w:tcPr>
          <w:p>
            <w:pPr>
              <w:spacing w:after="0"/>
              <w:rPr>
                <w:sz w:val="19"/>
                <w:szCs w:val="19"/>
                <w:color w:val="auto"/>
              </w:rPr>
            </w:pPr>
          </w:p>
        </w:tc>
        <w:tc>
          <w:tcPr>
            <w:tcW w:w="1000" w:type="dxa"/>
            <w:vAlign w:val="bottom"/>
            <w:gridSpan w:val="2"/>
            <w:shd w:val="clear" w:color="auto" w:fill="DBE5F1"/>
          </w:tcPr>
          <w:p>
            <w:pPr>
              <w:jc w:val="right"/>
              <w:ind w:right="200"/>
              <w:spacing w:after="0"/>
              <w:rPr>
                <w:sz w:val="20"/>
                <w:szCs w:val="20"/>
                <w:color w:val="auto"/>
              </w:rPr>
            </w:pPr>
            <w:r>
              <w:rPr>
                <w:rFonts w:ascii="Arial" w:cs="Arial" w:eastAsia="Arial" w:hAnsi="Arial"/>
                <w:sz w:val="18"/>
                <w:szCs w:val="18"/>
                <w:color w:val="auto"/>
              </w:rPr>
              <w:t>21,668</w:t>
            </w: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080" w:type="dxa"/>
            <w:vAlign w:val="bottom"/>
            <w:gridSpan w:val="2"/>
            <w:shd w:val="clear" w:color="auto" w:fill="DBE5F1"/>
          </w:tcPr>
          <w:p>
            <w:pPr>
              <w:jc w:val="right"/>
              <w:ind w:right="120"/>
              <w:spacing w:after="0"/>
              <w:rPr>
                <w:sz w:val="20"/>
                <w:szCs w:val="20"/>
                <w:color w:val="auto"/>
              </w:rPr>
            </w:pPr>
            <w:r>
              <w:rPr>
                <w:rFonts w:ascii="Arial" w:cs="Arial" w:eastAsia="Arial" w:hAnsi="Arial"/>
                <w:sz w:val="18"/>
                <w:szCs w:val="18"/>
                <w:color w:val="auto"/>
              </w:rPr>
              <w:t>17,486</w:t>
            </w:r>
          </w:p>
        </w:tc>
        <w:tc>
          <w:tcPr>
            <w:tcW w:w="0" w:type="dxa"/>
            <w:vAlign w:val="bottom"/>
          </w:tcPr>
          <w:p>
            <w:pPr>
              <w:spacing w:after="0"/>
              <w:rPr>
                <w:sz w:val="1"/>
                <w:szCs w:val="1"/>
                <w:color w:val="auto"/>
              </w:rPr>
            </w:pPr>
          </w:p>
        </w:tc>
      </w:tr>
      <w:tr>
        <w:trPr>
          <w:trHeight w:val="230"/>
        </w:trPr>
        <w:tc>
          <w:tcPr>
            <w:tcW w:w="8180" w:type="dxa"/>
            <w:vAlign w:val="bottom"/>
          </w:tcPr>
          <w:p>
            <w:pPr>
              <w:spacing w:after="0"/>
              <w:rPr>
                <w:sz w:val="20"/>
                <w:szCs w:val="20"/>
                <w:color w:val="auto"/>
              </w:rPr>
            </w:pPr>
            <w:r>
              <w:rPr>
                <w:rFonts w:ascii="Arial" w:cs="Arial" w:eastAsia="Arial" w:hAnsi="Arial"/>
                <w:sz w:val="18"/>
                <w:szCs w:val="18"/>
                <w:color w:val="auto"/>
              </w:rPr>
              <w:t>Income taxes</w:t>
            </w:r>
          </w:p>
        </w:tc>
        <w:tc>
          <w:tcPr>
            <w:tcW w:w="38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29"/>
        </w:trPr>
        <w:tc>
          <w:tcPr>
            <w:tcW w:w="8180" w:type="dxa"/>
            <w:vAlign w:val="bottom"/>
            <w:shd w:val="clear" w:color="auto" w:fill="DBE5F1"/>
          </w:tcPr>
          <w:p>
            <w:pPr>
              <w:spacing w:after="0" w:line="230" w:lineRule="exact"/>
              <w:rPr>
                <w:sz w:val="20"/>
                <w:szCs w:val="20"/>
                <w:color w:val="auto"/>
              </w:rPr>
            </w:pPr>
            <w:r>
              <w:rPr>
                <w:rFonts w:ascii="Arial" w:cs="Arial" w:eastAsia="Arial" w:hAnsi="Arial"/>
                <w:sz w:val="18"/>
                <w:szCs w:val="18"/>
                <w:color w:val="auto"/>
              </w:rPr>
              <w:t>Equity-based compensation</w:t>
            </w:r>
            <w:r>
              <w:rPr>
                <w:rFonts w:ascii="Arial" w:cs="Arial" w:eastAsia="Arial" w:hAnsi="Arial"/>
                <w:sz w:val="26"/>
                <w:szCs w:val="26"/>
                <w:color w:val="auto"/>
                <w:vertAlign w:val="superscript"/>
              </w:rPr>
              <w:t>(1)</w:t>
            </w:r>
          </w:p>
        </w:tc>
        <w:tc>
          <w:tcPr>
            <w:tcW w:w="380" w:type="dxa"/>
            <w:vAlign w:val="bottom"/>
            <w:shd w:val="clear" w:color="auto" w:fill="DBE5F1"/>
          </w:tcPr>
          <w:p>
            <w:pPr>
              <w:spacing w:after="0"/>
              <w:rPr>
                <w:sz w:val="19"/>
                <w:szCs w:val="19"/>
                <w:color w:val="auto"/>
              </w:rPr>
            </w:pPr>
          </w:p>
        </w:tc>
        <w:tc>
          <w:tcPr>
            <w:tcW w:w="1000" w:type="dxa"/>
            <w:vAlign w:val="bottom"/>
            <w:gridSpan w:val="2"/>
            <w:shd w:val="clear" w:color="auto" w:fill="DBE5F1"/>
          </w:tcPr>
          <w:p>
            <w:pPr>
              <w:jc w:val="right"/>
              <w:ind w:right="200"/>
              <w:spacing w:after="0"/>
              <w:rPr>
                <w:sz w:val="20"/>
                <w:szCs w:val="20"/>
                <w:color w:val="auto"/>
              </w:rPr>
            </w:pPr>
            <w:r>
              <w:rPr>
                <w:rFonts w:ascii="Arial" w:cs="Arial" w:eastAsia="Arial" w:hAnsi="Arial"/>
                <w:sz w:val="18"/>
                <w:szCs w:val="18"/>
                <w:color w:val="auto"/>
              </w:rPr>
              <w:t>66,835</w:t>
            </w: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080" w:type="dxa"/>
            <w:vAlign w:val="bottom"/>
            <w:gridSpan w:val="2"/>
            <w:shd w:val="clear" w:color="auto" w:fill="DBE5F1"/>
          </w:tcPr>
          <w:p>
            <w:pPr>
              <w:jc w:val="right"/>
              <w:ind w:right="120"/>
              <w:spacing w:after="0"/>
              <w:rPr>
                <w:sz w:val="20"/>
                <w:szCs w:val="20"/>
                <w:color w:val="auto"/>
              </w:rPr>
            </w:pPr>
            <w:r>
              <w:rPr>
                <w:rFonts w:ascii="Arial" w:cs="Arial" w:eastAsia="Arial" w:hAnsi="Arial"/>
                <w:sz w:val="18"/>
                <w:szCs w:val="18"/>
                <w:color w:val="auto"/>
              </w:rPr>
              <w:t>81,718</w:t>
            </w:r>
          </w:p>
        </w:tc>
        <w:tc>
          <w:tcPr>
            <w:tcW w:w="0" w:type="dxa"/>
            <w:vAlign w:val="bottom"/>
          </w:tcPr>
          <w:p>
            <w:pPr>
              <w:spacing w:after="0"/>
              <w:rPr>
                <w:sz w:val="1"/>
                <w:szCs w:val="1"/>
                <w:color w:val="auto"/>
              </w:rPr>
            </w:pPr>
          </w:p>
        </w:tc>
      </w:tr>
      <w:tr>
        <w:trPr>
          <w:trHeight w:val="230"/>
        </w:trPr>
        <w:tc>
          <w:tcPr>
            <w:tcW w:w="8180" w:type="dxa"/>
            <w:vAlign w:val="bottom"/>
          </w:tcPr>
          <w:p>
            <w:pPr>
              <w:spacing w:after="0" w:line="230" w:lineRule="exact"/>
              <w:rPr>
                <w:sz w:val="20"/>
                <w:szCs w:val="20"/>
                <w:color w:val="auto"/>
              </w:rPr>
            </w:pPr>
            <w:r>
              <w:rPr>
                <w:rFonts w:ascii="Arial" w:cs="Arial" w:eastAsia="Arial" w:hAnsi="Arial"/>
                <w:sz w:val="18"/>
                <w:szCs w:val="18"/>
                <w:color w:val="auto"/>
              </w:rPr>
              <w:t>Transaction-related expenses</w:t>
            </w:r>
            <w:r>
              <w:rPr>
                <w:rFonts w:ascii="Arial" w:cs="Arial" w:eastAsia="Arial" w:hAnsi="Arial"/>
                <w:sz w:val="26"/>
                <w:szCs w:val="26"/>
                <w:color w:val="auto"/>
                <w:vertAlign w:val="superscript"/>
              </w:rPr>
              <w:t>(2)</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29"/>
        </w:trPr>
        <w:tc>
          <w:tcPr>
            <w:tcW w:w="8180" w:type="dxa"/>
            <w:vAlign w:val="bottom"/>
            <w:shd w:val="clear" w:color="auto" w:fill="DBE5F1"/>
          </w:tcPr>
          <w:p>
            <w:pPr>
              <w:spacing w:after="0" w:line="230" w:lineRule="exact"/>
              <w:rPr>
                <w:sz w:val="20"/>
                <w:szCs w:val="20"/>
                <w:color w:val="auto"/>
              </w:rPr>
            </w:pPr>
            <w:r>
              <w:rPr>
                <w:rFonts w:ascii="Arial" w:cs="Arial" w:eastAsia="Arial" w:hAnsi="Arial"/>
                <w:sz w:val="18"/>
                <w:szCs w:val="18"/>
                <w:color w:val="auto"/>
              </w:rPr>
              <w:t>Acquisition expenses</w:t>
            </w:r>
            <w:r>
              <w:rPr>
                <w:rFonts w:ascii="Arial" w:cs="Arial" w:eastAsia="Arial" w:hAnsi="Arial"/>
                <w:sz w:val="26"/>
                <w:szCs w:val="26"/>
                <w:color w:val="auto"/>
                <w:vertAlign w:val="superscript"/>
              </w:rPr>
              <w:t>(3)</w:t>
            </w:r>
          </w:p>
        </w:tc>
        <w:tc>
          <w:tcPr>
            <w:tcW w:w="380" w:type="dxa"/>
            <w:vAlign w:val="bottom"/>
            <w:shd w:val="clear" w:color="auto" w:fill="DBE5F1"/>
          </w:tcPr>
          <w:p>
            <w:pPr>
              <w:spacing w:after="0"/>
              <w:rPr>
                <w:sz w:val="19"/>
                <w:szCs w:val="19"/>
                <w:color w:val="auto"/>
              </w:rPr>
            </w:pPr>
          </w:p>
        </w:tc>
        <w:tc>
          <w:tcPr>
            <w:tcW w:w="800" w:type="dxa"/>
            <w:vAlign w:val="bottom"/>
            <w:shd w:val="clear" w:color="auto" w:fill="DBE5F1"/>
          </w:tcPr>
          <w:p>
            <w:pPr>
              <w:jc w:val="right"/>
              <w:spacing w:after="0"/>
              <w:rPr>
                <w:sz w:val="20"/>
                <w:szCs w:val="20"/>
                <w:color w:val="auto"/>
              </w:rPr>
            </w:pPr>
            <w:r>
              <w:rPr>
                <w:rFonts w:ascii="Arial" w:cs="Arial" w:eastAsia="Arial" w:hAnsi="Arial"/>
                <w:sz w:val="18"/>
                <w:szCs w:val="18"/>
                <w:color w:val="auto"/>
              </w:rPr>
              <w:t>977</w:t>
            </w:r>
          </w:p>
        </w:tc>
        <w:tc>
          <w:tcPr>
            <w:tcW w:w="20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080" w:type="dxa"/>
            <w:vAlign w:val="bottom"/>
            <w:gridSpan w:val="2"/>
            <w:shd w:val="clear" w:color="auto" w:fill="DBE5F1"/>
          </w:tcPr>
          <w:p>
            <w:pPr>
              <w:jc w:val="right"/>
              <w:ind w:right="120"/>
              <w:spacing w:after="0"/>
              <w:rPr>
                <w:sz w:val="20"/>
                <w:szCs w:val="20"/>
                <w:color w:val="auto"/>
              </w:rPr>
            </w:pPr>
            <w:r>
              <w:rPr>
                <w:rFonts w:ascii="Arial" w:cs="Arial" w:eastAsia="Arial" w:hAnsi="Arial"/>
                <w:sz w:val="18"/>
                <w:szCs w:val="18"/>
                <w:color w:val="auto"/>
              </w:rPr>
              <w:t>1,614</w:t>
            </w:r>
          </w:p>
        </w:tc>
        <w:tc>
          <w:tcPr>
            <w:tcW w:w="0" w:type="dxa"/>
            <w:vAlign w:val="bottom"/>
          </w:tcPr>
          <w:p>
            <w:pPr>
              <w:spacing w:after="0"/>
              <w:rPr>
                <w:sz w:val="1"/>
                <w:szCs w:val="1"/>
                <w:color w:val="auto"/>
              </w:rPr>
            </w:pPr>
          </w:p>
        </w:tc>
      </w:tr>
      <w:tr>
        <w:trPr>
          <w:trHeight w:val="229"/>
        </w:trPr>
        <w:tc>
          <w:tcPr>
            <w:tcW w:w="8180" w:type="dxa"/>
            <w:vAlign w:val="bottom"/>
          </w:tcPr>
          <w:p>
            <w:pPr>
              <w:spacing w:after="0" w:line="230" w:lineRule="exact"/>
              <w:rPr>
                <w:sz w:val="20"/>
                <w:szCs w:val="20"/>
                <w:color w:val="auto"/>
              </w:rPr>
            </w:pPr>
            <w:r>
              <w:rPr>
                <w:rFonts w:ascii="Arial" w:cs="Arial" w:eastAsia="Arial" w:hAnsi="Arial"/>
                <w:sz w:val="18"/>
                <w:szCs w:val="18"/>
                <w:color w:val="auto"/>
              </w:rPr>
              <w:t>Litigation costs and settlement</w:t>
            </w:r>
            <w:r>
              <w:rPr>
                <w:rFonts w:ascii="Arial" w:cs="Arial" w:eastAsia="Arial" w:hAnsi="Arial"/>
                <w:sz w:val="26"/>
                <w:szCs w:val="26"/>
                <w:color w:val="auto"/>
                <w:vertAlign w:val="superscript"/>
              </w:rPr>
              <w:t>(4)</w:t>
            </w:r>
          </w:p>
        </w:tc>
        <w:tc>
          <w:tcPr>
            <w:tcW w:w="38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2,298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shd w:val="clear" w:color="auto" w:fill="DBE5F1"/>
          </w:tcPr>
          <w:p>
            <w:pPr>
              <w:spacing w:after="0" w:line="230" w:lineRule="exact"/>
              <w:rPr>
                <w:sz w:val="20"/>
                <w:szCs w:val="20"/>
                <w:color w:val="auto"/>
              </w:rPr>
            </w:pPr>
            <w:r>
              <w:rPr>
                <w:rFonts w:ascii="Arial" w:cs="Arial" w:eastAsia="Arial" w:hAnsi="Arial"/>
                <w:sz w:val="18"/>
                <w:szCs w:val="18"/>
                <w:color w:val="auto"/>
              </w:rPr>
              <w:t>(Gain) loss on right of use assets</w:t>
            </w:r>
            <w:r>
              <w:rPr>
                <w:rFonts w:ascii="Arial" w:cs="Arial" w:eastAsia="Arial" w:hAnsi="Arial"/>
                <w:sz w:val="26"/>
                <w:szCs w:val="26"/>
                <w:color w:val="auto"/>
                <w:vertAlign w:val="superscript"/>
              </w:rPr>
              <w:t>(5)</w:t>
            </w:r>
          </w:p>
        </w:tc>
        <w:tc>
          <w:tcPr>
            <w:tcW w:w="380" w:type="dxa"/>
            <w:vAlign w:val="bottom"/>
            <w:shd w:val="clear" w:color="auto" w:fill="DBE5F1"/>
          </w:tcPr>
          <w:p>
            <w:pPr>
              <w:spacing w:after="0"/>
              <w:rPr>
                <w:sz w:val="19"/>
                <w:szCs w:val="19"/>
                <w:color w:val="auto"/>
              </w:rPr>
            </w:pPr>
          </w:p>
        </w:tc>
        <w:tc>
          <w:tcPr>
            <w:tcW w:w="1000" w:type="dxa"/>
            <w:vAlign w:val="bottom"/>
            <w:gridSpan w:val="2"/>
            <w:shd w:val="clear" w:color="auto" w:fill="DBE5F1"/>
          </w:tcPr>
          <w:p>
            <w:pPr>
              <w:jc w:val="right"/>
              <w:ind w:right="140"/>
              <w:spacing w:after="0"/>
              <w:rPr>
                <w:sz w:val="20"/>
                <w:szCs w:val="20"/>
                <w:color w:val="auto"/>
              </w:rPr>
            </w:pPr>
            <w:r>
              <w:rPr>
                <w:rFonts w:ascii="Arial" w:cs="Arial" w:eastAsia="Arial" w:hAnsi="Arial"/>
                <w:sz w:val="18"/>
                <w:szCs w:val="18"/>
                <w:color w:val="auto"/>
              </w:rPr>
              <w:t>(289)</w:t>
            </w:r>
          </w:p>
        </w:tc>
        <w:tc>
          <w:tcPr>
            <w:tcW w:w="140" w:type="dxa"/>
            <w:vAlign w:val="bottom"/>
            <w:shd w:val="clear" w:color="auto" w:fill="DBE5F1"/>
          </w:tcPr>
          <w:p>
            <w:pPr>
              <w:spacing w:after="0"/>
              <w:rPr>
                <w:sz w:val="19"/>
                <w:szCs w:val="19"/>
                <w:color w:val="auto"/>
              </w:rPr>
            </w:pPr>
          </w:p>
        </w:tc>
        <w:tc>
          <w:tcPr>
            <w:tcW w:w="240" w:type="dxa"/>
            <w:vAlign w:val="bottom"/>
            <w:shd w:val="clear" w:color="auto" w:fill="DBE5F1"/>
          </w:tcPr>
          <w:p>
            <w:pPr>
              <w:spacing w:after="0"/>
              <w:rPr>
                <w:sz w:val="19"/>
                <w:szCs w:val="19"/>
                <w:color w:val="auto"/>
              </w:rPr>
            </w:pPr>
          </w:p>
        </w:tc>
        <w:tc>
          <w:tcPr>
            <w:tcW w:w="1080" w:type="dxa"/>
            <w:vAlign w:val="bottom"/>
            <w:gridSpan w:val="2"/>
            <w:shd w:val="clear" w:color="auto" w:fill="DBE5F1"/>
          </w:tcPr>
          <w:p>
            <w:pPr>
              <w:jc w:val="right"/>
              <w:ind w:right="12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36"/>
        </w:trPr>
        <w:tc>
          <w:tcPr>
            <w:tcW w:w="81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38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30"/>
        </w:trPr>
        <w:tc>
          <w:tcPr>
            <w:tcW w:w="8180" w:type="dxa"/>
            <w:vAlign w:val="bottom"/>
            <w:shd w:val="clear" w:color="auto" w:fill="DBE5F1"/>
          </w:tcPr>
          <w:p>
            <w:pPr>
              <w:spacing w:after="0"/>
              <w:rPr>
                <w:sz w:val="20"/>
                <w:szCs w:val="20"/>
                <w:color w:val="auto"/>
              </w:rPr>
            </w:pPr>
            <w:r>
              <w:rPr>
                <w:rFonts w:ascii="Arial" w:cs="Arial" w:eastAsia="Arial" w:hAnsi="Arial"/>
                <w:sz w:val="18"/>
                <w:szCs w:val="18"/>
                <w:color w:val="auto"/>
              </w:rPr>
              <w:t>Adjusted EBITDA</w:t>
            </w:r>
          </w:p>
        </w:tc>
        <w:tc>
          <w:tcPr>
            <w:tcW w:w="380" w:type="dxa"/>
            <w:vAlign w:val="bottom"/>
            <w:tcBorders>
              <w:top w:val="single" w:sz="8" w:color="auto"/>
              <w:bottom w:val="single" w:sz="8" w:color="auto"/>
            </w:tcBorders>
            <w:shd w:val="clear" w:color="auto" w:fill="DBE5F1"/>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(35,319)</w:t>
            </w:r>
          </w:p>
        </w:tc>
        <w:tc>
          <w:tcPr>
            <w:tcW w:w="200" w:type="dxa"/>
            <w:vAlign w:val="bottom"/>
            <w:shd w:val="clear" w:color="auto" w:fill="DBE5F1"/>
          </w:tcPr>
          <w:p>
            <w:pPr>
              <w:spacing w:after="0"/>
              <w:rPr>
                <w:sz w:val="19"/>
                <w:szCs w:val="19"/>
                <w:color w:val="auto"/>
              </w:rPr>
            </w:pPr>
          </w:p>
        </w:tc>
        <w:tc>
          <w:tcPr>
            <w:tcW w:w="140" w:type="dxa"/>
            <w:vAlign w:val="bottom"/>
            <w:shd w:val="clear" w:color="auto" w:fill="DBE5F1"/>
          </w:tcPr>
          <w:p>
            <w:pPr>
              <w:spacing w:after="0"/>
              <w:rPr>
                <w:sz w:val="19"/>
                <w:szCs w:val="19"/>
                <w:color w:val="auto"/>
              </w:rPr>
            </w:pPr>
          </w:p>
        </w:tc>
        <w:tc>
          <w:tcPr>
            <w:tcW w:w="240" w:type="dxa"/>
            <w:vAlign w:val="bottom"/>
            <w:tcBorders>
              <w:top w:val="single" w:sz="8" w:color="auto"/>
              <w:bottom w:val="single" w:sz="8" w:color="auto"/>
            </w:tcBorders>
            <w:shd w:val="clear" w:color="auto" w:fill="DBE5F1"/>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DBE5F1"/>
          </w:tcPr>
          <w:p>
            <w:pPr>
              <w:jc w:val="right"/>
              <w:spacing w:after="0"/>
              <w:rPr>
                <w:sz w:val="20"/>
                <w:szCs w:val="20"/>
                <w:color w:val="auto"/>
              </w:rPr>
            </w:pPr>
            <w:r>
              <w:rPr>
                <w:rFonts w:ascii="Arial" w:cs="Arial" w:eastAsia="Arial" w:hAnsi="Arial"/>
                <w:sz w:val="18"/>
                <w:szCs w:val="18"/>
                <w:color w:val="auto"/>
              </w:rPr>
              <w:t>(26,715)</w:t>
            </w:r>
          </w:p>
        </w:tc>
        <w:tc>
          <w:tcPr>
            <w:tcW w:w="120" w:type="dxa"/>
            <w:vAlign w:val="bottom"/>
            <w:shd w:val="clear" w:color="auto" w:fill="DBE5F1"/>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860" w:right="260" w:hanging="432"/>
        <w:spacing w:after="0" w:line="266" w:lineRule="auto"/>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equity-based compensation related to grants made in the applicable year, as well as equity-based compensation related to the timing of the IPO, which includes previously issued stock appreciation rights (“SARs”) liability awards, modifications related to transaction vesting units, and grants made in conjunction with the IPO.</w:t>
      </w:r>
    </w:p>
    <w:p>
      <w:pPr>
        <w:spacing w:after="0" w:line="198" w:lineRule="exact"/>
        <w:rPr>
          <w:rFonts w:ascii="Arial" w:cs="Arial" w:eastAsia="Arial" w:hAnsi="Arial"/>
          <w:sz w:val="16"/>
          <w:szCs w:val="16"/>
          <w:color w:val="auto"/>
        </w:rPr>
      </w:pPr>
    </w:p>
    <w:p>
      <w:pPr>
        <w:ind w:left="860" w:right="80" w:hanging="432"/>
        <w:spacing w:after="0" w:line="286" w:lineRule="auto"/>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legal, professional, accounting and other advisory fees related to a secondary offering that are considered nonrecurring and non-capitalizable.</w:t>
      </w:r>
    </w:p>
    <w:p>
      <w:pPr>
        <w:spacing w:after="0" w:line="182" w:lineRule="exact"/>
        <w:rPr>
          <w:rFonts w:ascii="Arial" w:cs="Arial" w:eastAsia="Arial" w:hAnsi="Arial"/>
          <w:sz w:val="16"/>
          <w:szCs w:val="16"/>
          <w:color w:val="auto"/>
        </w:rPr>
      </w:pPr>
    </w:p>
    <w:p>
      <w:pPr>
        <w:ind w:left="860" w:hanging="432"/>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acquisition-related fees, such as legal and advisory fees, that are non-capitalizable.</w:t>
      </w:r>
    </w:p>
    <w:p>
      <w:pPr>
        <w:spacing w:after="0" w:line="248" w:lineRule="exact"/>
        <w:rPr>
          <w:rFonts w:ascii="Arial" w:cs="Arial" w:eastAsia="Arial" w:hAnsi="Arial"/>
          <w:sz w:val="16"/>
          <w:szCs w:val="16"/>
          <w:color w:val="auto"/>
        </w:rPr>
      </w:pPr>
    </w:p>
    <w:p>
      <w:pPr>
        <w:ind w:left="860" w:right="120" w:hanging="432"/>
        <w:spacing w:after="0" w:line="253" w:lineRule="auto"/>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litigation costs considered outside of the ordinary course of business based on the following considerations which we assess regularly: (i) the frequency of similar cases that have been brought to date, or are expected to be brought within two years, (ii) complexity of the case, (iii) nature of the remedies sought, (iv) litigation posture of the Company, (v) counterparty involved, and (vi) the Company’s overall litigation strategy. This includes (a) $0.1 million in legal fees and a $0.9 million reserve for settlement related to a wage and hour class action lawsuit and (b) $1.1 million in legal fees related to legal action initiated by the Company seeking injunctive relief prohibiting member solicitation in violation of CMS regulations. Refer to Note 12, “Commitments and Contingencies” in our consolidated financial statements for more information regarding certain related litigation.</w:t>
      </w:r>
    </w:p>
    <w:p>
      <w:pPr>
        <w:spacing w:after="0" w:line="208" w:lineRule="exact"/>
        <w:rPr>
          <w:rFonts w:ascii="Arial" w:cs="Arial" w:eastAsia="Arial" w:hAnsi="Arial"/>
          <w:sz w:val="16"/>
          <w:szCs w:val="16"/>
          <w:color w:val="auto"/>
        </w:rPr>
      </w:pPr>
    </w:p>
    <w:p>
      <w:pPr>
        <w:ind w:left="860" w:hanging="432"/>
        <w:spacing w:after="0"/>
        <w:tabs>
          <w:tab w:leader="none" w:pos="8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Represents gain or loss related to right of use (‘ROU”) assets that were terminated or subleased in the respective period.</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20"/>
          </w:cols>
          <w:pgMar w:left="440" w:top="296" w:right="439" w:bottom="1440"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40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8340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5492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76549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6549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765492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80BD78F"/>
    <w:multiLevelType w:val="hybridMultilevel"/>
    <w:lvl w:ilvl="0">
      <w:lvlJc w:val="left"/>
      <w:lvlText w:val="☐"/>
      <w:numFmt w:val="bullet"/>
      <w:start w:val="1"/>
    </w:lvl>
  </w:abstractNum>
  <w:abstractNum w:abstractNumId="1">
    <w:nsid w:val="153EA438"/>
    <w:multiLevelType w:val="hybridMultilevel"/>
    <w:lvl w:ilvl="0">
      <w:lvlJc w:val="left"/>
      <w:lvlText w:val="☒"/>
      <w:numFmt w:val="bullet"/>
      <w:start w:val="1"/>
    </w:lvl>
  </w:abstractNum>
  <w:abstractNum w:abstractNumId="2">
    <w:nsid w:val="3855585C"/>
    <w:multiLevelType w:val="hybridMultilevel"/>
    <w:lvl w:ilvl="0">
      <w:lvlJc w:val="left"/>
      <w:lvlText w:val="☐"/>
      <w:numFmt w:val="bullet"/>
      <w:start w:val="1"/>
    </w:lvl>
  </w:abstractNum>
  <w:abstractNum w:abstractNumId="3">
    <w:nsid w:val="70A64E2A"/>
    <w:multiLevelType w:val="hybridMultilevel"/>
    <w:lvl w:ilvl="0">
      <w:lvlJc w:val="left"/>
      <w:lvlText w:val="●"/>
      <w:numFmt w:val="bullet"/>
      <w:start w:val="1"/>
    </w:lvl>
  </w:abstractNum>
  <w:abstractNum w:abstractNumId="4">
    <w:nsid w:val="6A2342EC"/>
    <w:multiLevelType w:val="hybridMultilevel"/>
    <w:lvl w:ilvl="0">
      <w:lvlJc w:val="left"/>
      <w:lvlText w:val="●"/>
      <w:numFmt w:val="bullet"/>
      <w:start w:val="1"/>
    </w:lvl>
  </w:abstractNum>
  <w:abstractNum w:abstractNumId="5">
    <w:nsid w:val="2A487CB0"/>
    <w:multiLevelType w:val="hybridMultilevel"/>
    <w:lvl w:ilvl="0">
      <w:lvlJc w:val="left"/>
      <w:lvlText w:val="●"/>
      <w:numFmt w:val="bullet"/>
      <w:start w:val="1"/>
    </w:lvl>
  </w:abstractNum>
  <w:abstractNum w:abstractNumId="6">
    <w:nsid w:val="1D4ED43B"/>
    <w:multiLevelType w:val="hybridMultilevel"/>
    <w:lvl w:ilvl="0">
      <w:lvlJc w:val="left"/>
      <w:lvlText w:val="●"/>
      <w:numFmt w:val="bullet"/>
      <w:start w:val="1"/>
    </w:lvl>
  </w:abstractNum>
  <w:abstractNum w:abstractNumId="7">
    <w:nsid w:val="725A06FB"/>
    <w:multiLevelType w:val="hybridMultilevel"/>
    <w:lvl w:ilvl="0">
      <w:lvlJc w:val="left"/>
      <w:lvlText w:val="●"/>
      <w:numFmt w:val="bullet"/>
      <w:start w:val="1"/>
    </w:lvl>
  </w:abstractNum>
  <w:abstractNum w:abstractNumId="8">
    <w:nsid w:val="2CD89A32"/>
    <w:multiLevelType w:val="hybridMultilevel"/>
    <w:lvl w:ilvl="0">
      <w:lvlJc w:val="left"/>
      <w:lvlText w:val="●"/>
      <w:numFmt w:val="bullet"/>
      <w:start w:val="1"/>
    </w:lvl>
  </w:abstractNum>
  <w:abstractNum w:abstractNumId="9">
    <w:nsid w:val="57E4CCAF"/>
    <w:multiLevelType w:val="hybridMultilevel"/>
    <w:lvl w:ilvl="0">
      <w:lvlJc w:val="left"/>
      <w:lvlText w:val="%1."/>
      <w:numFmt w:val="decimal"/>
      <w:start w:val="1"/>
    </w:lvl>
  </w:abstractNum>
  <w:abstractNum w:abstractNumId="10">
    <w:nsid w:val="7A6D8D3C"/>
    <w:multiLevelType w:val="hybridMultilevel"/>
    <w:lvl w:ilvl="0">
      <w:lvlJc w:val="left"/>
      <w:lvlText w:val="%1."/>
      <w:numFmt w:val="decimal"/>
      <w:start w:val="1"/>
    </w:lvl>
  </w:abstractNum>
  <w:abstractNum w:abstractNumId="11">
    <w:nsid w:val="4B588F54"/>
    <w:multiLevelType w:val="hybridMultilevel"/>
    <w:lvl w:ilvl="0">
      <w:lvlJc w:val="left"/>
      <w:lvlText w:val="(%1)"/>
      <w:numFmt w:val="decimal"/>
      <w:start w:val="1"/>
    </w:lvl>
  </w:abstractNum>
  <w:abstractNum w:abstractNumId="12">
    <w:nsid w:val="542289EC"/>
    <w:multiLevelType w:val="hybridMultilevel"/>
    <w:lvl w:ilvl="0">
      <w:lvlJc w:val="left"/>
      <w:lvlText w:val="●"/>
      <w:numFmt w:val="bullet"/>
      <w:start w:val="1"/>
    </w:lvl>
  </w:abstractNum>
  <w:abstractNum w:abstractNumId="13">
    <w:nsid w:val="6DE91B18"/>
    <w:multiLevelType w:val="hybridMultilevel"/>
    <w:lvl w:ilvl="0">
      <w:lvlJc w:val="left"/>
      <w:lvlText w:val=" "/>
      <w:numFmt w:val="bullet"/>
      <w:start w:val="1"/>
    </w:lvl>
  </w:abstractNum>
  <w:abstractNum w:abstractNumId="14">
    <w:nsid w:val="38437FDB"/>
    <w:multiLevelType w:val="hybridMultilevel"/>
    <w:lvl w:ilvl="0">
      <w:lvlJc w:val="left"/>
      <w:lvlText w:val=" "/>
      <w:numFmt w:val="bullet"/>
      <w:start w:val="1"/>
    </w:lvl>
  </w:abstractNum>
  <w:abstractNum w:abstractNumId="15">
    <w:nsid w:val="7644A45C"/>
    <w:multiLevelType w:val="hybridMultilevel"/>
    <w:lvl w:ilvl="0">
      <w:lvlJc w:val="left"/>
      <w:lvlText w:val="•"/>
      <w:numFmt w:val="bullet"/>
      <w:start w:val="1"/>
    </w:lvl>
  </w:abstractNum>
  <w:abstractNum w:abstractNumId="16">
    <w:nsid w:val="32FFF902"/>
    <w:multiLevelType w:val="hybridMultilevel"/>
    <w:lvl w:ilvl="0">
      <w:lvlJc w:val="left"/>
      <w:lvlText w:val="•"/>
      <w:numFmt w:val="bullet"/>
      <w:start w:val="1"/>
    </w:lvl>
  </w:abstractNum>
  <w:abstractNum w:abstractNumId="17">
    <w:nsid w:val="684A481A"/>
    <w:multiLevelType w:val="hybridMultilevel"/>
    <w:lvl w:ilvl="0">
      <w:lvlJc w:val="left"/>
      <w:lvlText w:val="•"/>
      <w:numFmt w:val="bullet"/>
      <w:start w:val="1"/>
    </w:lvl>
  </w:abstractNum>
  <w:abstractNum w:abstractNumId="18">
    <w:nsid w:val="579478FE"/>
    <w:multiLevelType w:val="hybridMultilevel"/>
    <w:lvl w:ilvl="0">
      <w:lvlJc w:val="left"/>
      <w:lvlText w:val="•"/>
      <w:numFmt w:val="bullet"/>
      <w:start w:val="1"/>
    </w:lvl>
  </w:abstractNum>
  <w:abstractNum w:abstractNumId="19">
    <w:nsid w:val="749ABB43"/>
    <w:multiLevelType w:val="hybridMultilevel"/>
    <w:lvl w:ilvl="0">
      <w:lvlJc w:val="left"/>
      <w:lvlText w:val="•"/>
      <w:numFmt w:val="bullet"/>
      <w:start w:val="1"/>
    </w:lvl>
  </w:abstractNum>
  <w:abstractNum w:abstractNumId="20">
    <w:nsid w:val="3DC240FB"/>
    <w:multiLevelType w:val="hybridMultilevel"/>
    <w:lvl w:ilvl="0">
      <w:lvlJc w:val="left"/>
      <w:lvlText w:val="•"/>
      <w:numFmt w:val="bullet"/>
      <w:start w:val="1"/>
    </w:lvl>
  </w:abstractNum>
  <w:abstractNum w:abstractNumId="21">
    <w:nsid w:val="1BA026FA"/>
    <w:multiLevelType w:val="hybridMultilevel"/>
    <w:lvl w:ilvl="0">
      <w:lvlJc w:val="left"/>
      <w:lvlText w:val="•"/>
      <w:numFmt w:val="bullet"/>
      <w:start w:val="1"/>
    </w:lvl>
  </w:abstractNum>
  <w:abstractNum w:abstractNumId="22">
    <w:nsid w:val="79A1DEAA"/>
    <w:multiLevelType w:val="hybridMultilevel"/>
    <w:lvl w:ilvl="0">
      <w:lvlJc w:val="left"/>
      <w:lvlText w:val="•"/>
      <w:numFmt w:val="bullet"/>
      <w:start w:val="1"/>
    </w:lvl>
  </w:abstractNum>
  <w:abstractNum w:abstractNumId="23">
    <w:nsid w:val="75C6C33A"/>
    <w:multiLevelType w:val="hybridMultilevel"/>
    <w:lvl w:ilvl="0">
      <w:lvlJc w:val="left"/>
      <w:lvlText w:val="•"/>
      <w:numFmt w:val="bullet"/>
      <w:start w:val="1"/>
    </w:lvl>
  </w:abstractNum>
  <w:abstractNum w:abstractNumId="24">
    <w:nsid w:val="12E685FB"/>
    <w:multiLevelType w:val="hybridMultilevel"/>
    <w:lvl w:ilvl="0">
      <w:lvlJc w:val="left"/>
      <w:lvlText w:val="*"/>
      <w:numFmt w:val="bullet"/>
      <w:start w:val="1"/>
    </w:lvl>
  </w:abstractNum>
  <w:abstractNum w:abstractNumId="25">
    <w:nsid w:val="70C6A529"/>
    <w:multiLevelType w:val="hybridMultilevel"/>
    <w:lvl w:ilvl="0">
      <w:lvlJc w:val="left"/>
      <w:lvlText w:val="•"/>
      <w:numFmt w:val="bullet"/>
      <w:start w:val="1"/>
    </w:lvl>
  </w:abstractNum>
  <w:abstractNum w:abstractNumId="26">
    <w:nsid w:val="520EEDD1"/>
    <w:multiLevelType w:val="hybridMultilevel"/>
    <w:lvl w:ilvl="0">
      <w:lvlJc w:val="left"/>
      <w:lvlText w:val="(%1)"/>
      <w:numFmt w:val="lowerRoman"/>
      <w:start w:val="2"/>
    </w:lvl>
  </w:abstractNum>
  <w:abstractNum w:abstractNumId="27">
    <w:nsid w:val="374A3FE6"/>
    <w:multiLevelType w:val="hybridMultilevel"/>
    <w:lvl w:ilvl="0">
      <w:lvlJc w:val="left"/>
      <w:lvlText w:val="(%1)"/>
      <w:numFmt w:val="decimal"/>
      <w:start w:val="1"/>
    </w:lvl>
  </w:abstractNum>
  <w:abstractNum w:abstractNumId="28">
    <w:nsid w:val="4F4EF005"/>
    <w:multiLevelType w:val="hybridMultilevel"/>
    <w:lvl w:ilvl="0">
      <w:lvlJc w:val="left"/>
      <w:lvlText w:val="●"/>
      <w:numFmt w:val="bullet"/>
      <w:start w:val="1"/>
    </w:lvl>
  </w:abstractNum>
  <w:abstractNum w:abstractNumId="29">
    <w:nsid w:val="23F9C13C"/>
    <w:multiLevelType w:val="hybridMultilevel"/>
    <w:lvl w:ilvl="0">
      <w:lvlJc w:val="left"/>
      <w:lvlText w:val="●"/>
      <w:numFmt w:val="bullet"/>
      <w:start w:val="1"/>
    </w:lvl>
  </w:abstractNum>
  <w:abstractNum w:abstractNumId="30">
    <w:nsid w:val="649BB77C"/>
    <w:multiLevelType w:val="hybridMultilevel"/>
    <w:lvl w:ilvl="0">
      <w:lvlJc w:val="left"/>
      <w:lvlText w:val="●"/>
      <w:numFmt w:val="bullet"/>
      <w:start w:val="1"/>
    </w:lvl>
    <w:lvl w:ilvl="1">
      <w:lvlJc w:val="left"/>
      <w:lvlText w:val="●"/>
      <w:numFmt w:val="bullet"/>
      <w:start w:val="1"/>
    </w:lvl>
  </w:abstractNum>
  <w:abstractNum w:abstractNumId="31">
    <w:nsid w:val="275AC794"/>
    <w:multiLevelType w:val="hybridMultilevel"/>
    <w:lvl w:ilvl="0">
      <w:lvlJc w:val="left"/>
      <w:lvlText w:val="●"/>
      <w:numFmt w:val="bullet"/>
      <w:start w:val="1"/>
    </w:lvl>
  </w:abstractNum>
  <w:abstractNum w:abstractNumId="32">
    <w:nsid w:val="39386575"/>
    <w:multiLevelType w:val="hybridMultilevel"/>
    <w:lvl w:ilvl="0">
      <w:lvlJc w:val="left"/>
      <w:lvlText w:val="o"/>
      <w:numFmt w:val="bullet"/>
      <w:start w:val="1"/>
    </w:lvl>
  </w:abstractNum>
  <w:abstractNum w:abstractNumId="33">
    <w:nsid w:val="1CF10FD8"/>
    <w:multiLevelType w:val="hybridMultilevel"/>
    <w:lvl w:ilvl="0">
      <w:lvlJc w:val="left"/>
      <w:lvlText w:val="●"/>
      <w:numFmt w:val="bullet"/>
      <w:start w:val="1"/>
    </w:lvl>
  </w:abstractNum>
  <w:abstractNum w:abstractNumId="34">
    <w:nsid w:val="180115BE"/>
    <w:multiLevelType w:val="hybridMultilevel"/>
    <w:lvl w:ilvl="0">
      <w:lvlJc w:val="left"/>
      <w:lvlText w:val="(%1)"/>
      <w:numFmt w:val="decimal"/>
      <w:start w:val="1"/>
    </w:lvl>
  </w:abstractNum>
  <w:abstractNum w:abstractNumId="35">
    <w:nsid w:val="235BA861"/>
    <w:multiLevelType w:val="hybridMultilevel"/>
    <w:lvl w:ilvl="0">
      <w:lvlJc w:val="left"/>
      <w:lvlText w:val="(%1)"/>
      <w:numFmt w:val="decimal"/>
      <w:start w:val="1"/>
    </w:lvl>
  </w:abstractNum>
  <w:abstractNum w:abstractNumId="36">
    <w:nsid w:val="47398C89"/>
    <w:multiLevelType w:val="hybridMultilevel"/>
    <w:lvl w:ilvl="0">
      <w:lvlJc w:val="left"/>
      <w:lvlText w:val="•"/>
      <w:numFmt w:val="bullet"/>
      <w:start w:val="1"/>
    </w:lvl>
  </w:abstractNum>
  <w:abstractNum w:abstractNumId="37">
    <w:nsid w:val="354FE9F9"/>
    <w:multiLevelType w:val="hybridMultilevel"/>
    <w:lvl w:ilvl="0">
      <w:lvlJc w:val="left"/>
      <w:lvlText w:val="•"/>
      <w:numFmt w:val="bullet"/>
      <w:start w:val="1"/>
    </w:lvl>
  </w:abstractNum>
  <w:abstractNum w:abstractNumId="38">
    <w:nsid w:val="15B5AF5C"/>
    <w:multiLevelType w:val="hybridMultilevel"/>
    <w:lvl w:ilvl="0">
      <w:lvlJc w:val="left"/>
      <w:lvlText w:val="(%1)"/>
      <w:numFmt w:val="decimal"/>
      <w:start w:val="1"/>
    </w:lvl>
  </w:abstractNum>
  <w:abstractNum w:abstractNumId="39">
    <w:nsid w:val="741226BB"/>
    <w:multiLevelType w:val="hybridMultilevel"/>
    <w:lvl w:ilvl="0">
      <w:lvlJc w:val="left"/>
      <w:lvlText w:val="(%1)"/>
      <w:numFmt w:val="decimal"/>
      <w:start w:val="1"/>
    </w:lvl>
  </w:abstractNum>
  <w:abstractNum w:abstractNumId="40">
    <w:nsid w:val="D34B6A8"/>
    <w:multiLevelType w:val="hybridMultilevel"/>
    <w:lvl w:ilvl="0">
      <w:lvlJc w:val="left"/>
      <w:lvlText w:val="•"/>
      <w:numFmt w:val="bullet"/>
      <w:start w:val="1"/>
    </w:lvl>
  </w:abstractNum>
  <w:abstractNum w:abstractNumId="41">
    <w:nsid w:val="10233C99"/>
    <w:multiLevelType w:val="hybridMultilevel"/>
    <w:lvl w:ilvl="0">
      <w:lvlJc w:val="left"/>
      <w:lvlText w:val="●"/>
      <w:numFmt w:val="bullet"/>
      <w:start w:val="1"/>
    </w:lvl>
  </w:abstractNum>
  <w:abstractNum w:abstractNumId="42">
    <w:nsid w:val="3F6AB60F"/>
    <w:multiLevelType w:val="hybridMultilevel"/>
    <w:lvl w:ilvl="0">
      <w:lvlJc w:val="left"/>
      <w:lvlText w:val="(%1)"/>
      <w:numFmt w:val="decimal"/>
      <w:start w:val="1"/>
    </w:lvl>
  </w:abstractNum>
  <w:abstractNum w:abstractNumId="43">
    <w:nsid w:val="61574095"/>
    <w:multiLevelType w:val="hybridMultilevel"/>
    <w:lvl w:ilvl="0">
      <w:lvlJc w:val="left"/>
      <w:lvlText w:val="(%1)"/>
      <w:numFmt w:val="decimal"/>
      <w:start w:val="1"/>
    </w:lvl>
  </w:abstractNum>
  <w:abstractNum w:abstractNumId="44">
    <w:nsid w:val="7E0C57B1"/>
    <w:multiLevelType w:val="hybridMultilevel"/>
    <w:lvl w:ilvl="0">
      <w:lvlJc w:val="left"/>
      <w:lvlText w:val=" "/>
      <w:numFmt w:val="bullet"/>
      <w:start w:val="1"/>
    </w:lvl>
  </w:abstractNum>
  <w:abstractNum w:abstractNumId="45">
    <w:nsid w:val="77AE35EB"/>
    <w:multiLevelType w:val="hybridMultilevel"/>
    <w:lvl w:ilvl="0">
      <w:lvlJc w:val="left"/>
      <w:lvlText w:val=" "/>
      <w:numFmt w:val="bullet"/>
      <w:start w:val="1"/>
    </w:lvl>
    <w:lvl w:ilvl="1">
      <w:lvlJc w:val="left"/>
      <w:lvlText w:val="(%2)"/>
      <w:numFmt w:val="decimal"/>
      <w:start w:val="1"/>
    </w:lvl>
  </w:abstractNum>
  <w:abstractNum w:abstractNumId="46">
    <w:nsid w:val="579BE4F1"/>
    <w:multiLevelType w:val="hybridMultilevel"/>
    <w:lvl w:ilvl="0">
      <w:lvlJc w:val="left"/>
      <w:lvlText w:val="(%1)"/>
      <w:numFmt w:val="decimal"/>
      <w:start w:val="3"/>
    </w:lvl>
  </w:abstractNum>
  <w:abstractNum w:abstractNumId="47">
    <w:nsid w:val="310C50B3"/>
    <w:multiLevelType w:val="hybridMultilevel"/>
    <w:lvl w:ilvl="0">
      <w:lvlJc w:val="left"/>
      <w:lvlText w:val="(%1)"/>
      <w:numFmt w:val="decimal"/>
      <w:start w:val="1"/>
    </w:lvl>
  </w:abstractNum>
  <w:abstractNum w:abstractNumId="48">
    <w:nsid w:val="5FF87E05"/>
    <w:multiLevelType w:val="hybridMultilevel"/>
    <w:lvl w:ilvl="0">
      <w:lvlJc w:val="left"/>
      <w:lvlText w:val="(%1)"/>
      <w:numFmt w:val="decimal"/>
      <w:start w:val="1"/>
    </w:lvl>
  </w:abstractNum>
  <w:abstractNum w:abstractNumId="49">
    <w:nsid w:val="2F305DEF"/>
    <w:multiLevelType w:val="hybridMultilevel"/>
    <w:lvl w:ilvl="0">
      <w:lvlJc w:val="left"/>
      <w:lvlText w:val="(%1)"/>
      <w:numFmt w:val="decimal"/>
      <w:start w:val="2"/>
    </w:lvl>
  </w:abstractNum>
  <w:abstractNum w:abstractNumId="50">
    <w:nsid w:val="25A70BF7"/>
    <w:multiLevelType w:val="hybridMultilevel"/>
    <w:lvl w:ilvl="0">
      <w:lvlJc w:val="left"/>
      <w:lvlText w:val="(%1)"/>
      <w:numFmt w:val="decimal"/>
      <w:start w:val="1"/>
    </w:lvl>
  </w:abstractNum>
  <w:abstractNum w:abstractNumId="51">
    <w:nsid w:val="1DBABF00"/>
    <w:multiLevelType w:val="hybridMultilevel"/>
    <w:lvl w:ilvl="0">
      <w:lvlJc w:val="left"/>
      <w:lvlText w:val="(%1)"/>
      <w:numFmt w:val="decimal"/>
      <w:start w:val="5"/>
    </w:lvl>
  </w:abstractNum>
  <w:abstractNum w:abstractNumId="52">
    <w:nsid w:val="4AD084E9"/>
    <w:multiLevelType w:val="hybridMultilevel"/>
    <w:lvl w:ilvl="0">
      <w:lvlJc w:val="left"/>
      <w:lvlText w:val="(%1)"/>
      <w:numFmt w:val="lowerRoman"/>
      <w:start w:val="4"/>
    </w:lvl>
  </w:abstractNum>
  <w:abstractNum w:abstractNumId="53">
    <w:nsid w:val="1F48EAA1"/>
    <w:multiLevelType w:val="hybridMultilevel"/>
    <w:lvl w:ilvl="0">
      <w:lvlJc w:val="left"/>
      <w:lvlText w:val="(%1)"/>
      <w:numFmt w:val="lowerRoman"/>
      <w:start w:val="1"/>
    </w:lvl>
  </w:abstractNum>
  <w:abstractNum w:abstractNumId="54">
    <w:nsid w:val="1381823A"/>
    <w:multiLevelType w:val="hybridMultilevel"/>
    <w:lvl w:ilvl="0">
      <w:lvlJc w:val="left"/>
      <w:lvlText w:val="(%1)"/>
      <w:numFmt w:val="lowerLetter"/>
      <w:start w:val="25"/>
    </w:lvl>
  </w:abstractNum>
  <w:abstractNum w:abstractNumId="55">
    <w:nsid w:val="5DB70AE5"/>
    <w:multiLevelType w:val="hybridMultilevel"/>
    <w:lvl w:ilvl="0">
      <w:lvlJc w:val="left"/>
      <w:lvlText w:val="(%1)"/>
      <w:numFmt w:val="decimal"/>
      <w:start w:val="2"/>
    </w:lvl>
  </w:abstractNum>
  <w:abstractNum w:abstractNumId="56">
    <w:nsid w:val="100F8FCA"/>
    <w:multiLevelType w:val="hybridMultilevel"/>
    <w:lvl w:ilvl="0">
      <w:lvlJc w:val="left"/>
      <w:lvlText w:val="(%1)"/>
      <w:numFmt w:val="lowerLetter"/>
      <w:start w:val="3"/>
    </w:lvl>
  </w:abstractNum>
  <w:abstractNum w:abstractNumId="57">
    <w:nsid w:val="6590700B"/>
    <w:multiLevelType w:val="hybridMultilevel"/>
    <w:lvl w:ilvl="0">
      <w:lvlJc w:val="left"/>
      <w:lvlText w:val="(%1)"/>
      <w:numFmt w:val="decimal"/>
      <w:start w:val="1"/>
    </w:lvl>
  </w:abstractNum>
  <w:abstractNum w:abstractNumId="58">
    <w:nsid w:val="15014ACB"/>
    <w:multiLevelType w:val="hybridMultilevel"/>
    <w:lvl w:ilvl="0">
      <w:lvlJc w:val="left"/>
      <w:lvlText w:val="•"/>
      <w:numFmt w:val="bullet"/>
      <w:start w:val="1"/>
    </w:lvl>
  </w:abstractNum>
  <w:abstractNum w:abstractNumId="59">
    <w:nsid w:val="5F5E7FD0"/>
    <w:multiLevelType w:val="hybridMultilevel"/>
    <w:lvl w:ilvl="0">
      <w:lvlJc w:val="left"/>
      <w:lvlText w:val="(%1)"/>
      <w:numFmt w:val="decimal"/>
      <w:start w:val="1"/>
    </w:lvl>
  </w:abstractNum>
  <w:abstractNum w:abstractNumId="60">
    <w:nsid w:val="98A314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1">
    <w:nsid w:val="799D0247"/>
    <w:multiLevelType w:val="hybridMultilevel"/>
    <w:lvl w:ilvl="0">
      <w:lvlJc w:val="left"/>
      <w:lvlText w:val="(%1)"/>
      <w:numFmt w:val="decimal"/>
      <w:start w:val="3"/>
    </w:lvl>
    <w:lvl w:ilvl="1">
      <w:lvlJc w:val="left"/>
      <w:lvlText w:val="(%2)"/>
      <w:numFmt w:val="lowerLetter"/>
      <w:start w:val="4"/>
    </w:lvl>
    <w:lvl w:ilvl="2">
      <w:lvlJc w:val="left"/>
      <w:lvlText w:val="%3"/>
      <w:numFmt w:val="lowerLetter"/>
      <w:start w:val="1"/>
    </w:lvl>
  </w:abstractNum>
  <w:abstractNum w:abstractNumId="62">
    <w:nsid w:val="6B94764"/>
    <w:multiLevelType w:val="hybridMultilevel"/>
    <w:lvl w:ilvl="0">
      <w:lvlJc w:val="left"/>
      <w:lvlText w:val="(%1)"/>
      <w:numFmt w:val="lowerRoman"/>
      <w:start w:val="1"/>
    </w:lvl>
  </w:abstractNum>
  <w:abstractNum w:abstractNumId="63">
    <w:nsid w:val="42C296BD"/>
    <w:multiLevelType w:val="hybridMultilevel"/>
    <w:lvl w:ilvl="0">
      <w:lvlJc w:val="left"/>
      <w:lvlText w:val="(%1)"/>
      <w:numFmt w:val="decimal"/>
      <w:start w:val="1"/>
    </w:lvl>
  </w:abstractNum>
  <w:abstractNum w:abstractNumId="64">
    <w:nsid w:val="168E121F"/>
    <w:multiLevelType w:val="hybridMultilevel"/>
    <w:lvl w:ilvl="0">
      <w:lvlJc w:val="left"/>
      <w:lvlText w:val="(%1)"/>
      <w:numFmt w:val="decimal"/>
      <w:start w:val="3"/>
    </w:lvl>
  </w:abstractNum>
  <w:abstractNum w:abstractNumId="65">
    <w:nsid w:val="1EBA5D23"/>
    <w:multiLevelType w:val="hybridMultilevel"/>
    <w:lvl w:ilvl="0">
      <w:lvlJc w:val="left"/>
      <w:lvlText w:val="(%1)"/>
      <w:numFmt w:val="decimal"/>
      <w:start w:val="5"/>
    </w:lvl>
  </w:abstractNum>
  <w:abstractNum w:abstractNumId="66">
    <w:nsid w:val="661E3F1E"/>
    <w:multiLevelType w:val="hybridMultilevel"/>
    <w:lvl w:ilvl="0">
      <w:lvlJc w:val="left"/>
      <w:lvlText w:val="•"/>
      <w:numFmt w:val="bullet"/>
      <w:start w:val="1"/>
    </w:lvl>
  </w:abstractNum>
  <w:abstractNum w:abstractNumId="67">
    <w:nsid w:val="5DC79EA8"/>
    <w:multiLevelType w:val="hybridMultilevel"/>
    <w:lvl w:ilvl="0">
      <w:lvlJc w:val="left"/>
      <w:lvlText w:val="•"/>
      <w:numFmt w:val="bullet"/>
      <w:start w:val="1"/>
    </w:lvl>
  </w:abstractNum>
  <w:abstractNum w:abstractNumId="68">
    <w:nsid w:val="540A471C"/>
    <w:multiLevelType w:val="hybridMultilevel"/>
    <w:lvl w:ilvl="0">
      <w:lvlJc w:val="left"/>
      <w:lvlText w:val="•"/>
      <w:numFmt w:val="bullet"/>
      <w:start w:val="1"/>
    </w:lvl>
  </w:abstractNum>
  <w:abstractNum w:abstractNumId="69">
    <w:nsid w:val="7BD3EE7B"/>
    <w:multiLevelType w:val="hybridMultilevel"/>
    <w:lvl w:ilvl="0">
      <w:lvlJc w:val="left"/>
      <w:lvlText w:val="●"/>
      <w:numFmt w:val="bullet"/>
      <w:start w:val="1"/>
    </w:lvl>
  </w:abstractNum>
  <w:abstractNum w:abstractNumId="70">
    <w:nsid w:val="51D9C564"/>
    <w:multiLevelType w:val="hybridMultilevel"/>
    <w:lvl w:ilvl="0">
      <w:lvlJc w:val="left"/>
      <w:lvlText w:val="•"/>
      <w:numFmt w:val="bullet"/>
      <w:start w:val="1"/>
    </w:lvl>
  </w:abstractNum>
  <w:abstractNum w:abstractNumId="71">
    <w:nsid w:val="613EFDC5"/>
    <w:multiLevelType w:val="hybridMultilevel"/>
    <w:lvl w:ilvl="0">
      <w:lvlJc w:val="left"/>
      <w:lvlText w:val="•"/>
      <w:numFmt w:val="bullet"/>
      <w:start w:val="1"/>
    </w:lvl>
  </w:abstractNum>
  <w:abstractNum w:abstractNumId="72">
    <w:nsid w:val="BF72B14"/>
    <w:multiLevelType w:val="hybridMultilevel"/>
    <w:lvl w:ilvl="0">
      <w:lvlJc w:val="left"/>
      <w:lvlText w:val="(%1)"/>
      <w:numFmt w:val="lowerLetter"/>
      <w:start w:val="1"/>
    </w:lvl>
  </w:abstractNum>
  <w:abstractNum w:abstractNumId="73">
    <w:nsid w:val="11447B73"/>
    <w:multiLevelType w:val="hybridMultilevel"/>
    <w:lvl w:ilvl="0">
      <w:lvlJc w:val="left"/>
      <w:lvlText w:val="(%1)"/>
      <w:numFmt w:val="lowerRoman"/>
      <w:start w:val="2"/>
    </w:lvl>
  </w:abstractNum>
  <w:abstractNum w:abstractNumId="74">
    <w:nsid w:val="42963E5A"/>
    <w:multiLevelType w:val="hybridMultilevel"/>
    <w:lvl w:ilvl="0">
      <w:lvlJc w:val="left"/>
      <w:lvlText w:val="●"/>
      <w:numFmt w:val="bullet"/>
      <w:start w:val="1"/>
    </w:lvl>
  </w:abstractNum>
  <w:abstractNum w:abstractNumId="75">
    <w:nsid w:val="A0382C5"/>
    <w:multiLevelType w:val="hybridMultilevel"/>
    <w:lvl w:ilvl="0">
      <w:lvlJc w:val="left"/>
      <w:lvlText w:val="(%1)"/>
      <w:numFmt w:val="decimal"/>
      <w:start w:val="1"/>
    </w:lvl>
  </w:abstractNum>
  <w:abstractNum w:abstractNumId="76">
    <w:nsid w:val="8F2B15E"/>
    <w:multiLevelType w:val="hybridMultilevel"/>
    <w:lvl w:ilvl="0">
      <w:lvlJc w:val="left"/>
      <w:lvlText w:val="(%1)"/>
      <w:numFmt w:val="decimal"/>
      <w:start w:val="1"/>
    </w:lvl>
  </w:abstractNum>
  <w:abstractNum w:abstractNumId="77">
    <w:nsid w:val="1A32234B"/>
    <w:multiLevelType w:val="hybridMultilevel"/>
    <w:lvl w:ilvl="0">
      <w:lvlJc w:val="left"/>
      <w:lvlText w:val="(%1)"/>
      <w:numFmt w:val="lowerLetter"/>
      <w:start w:val="1"/>
    </w:lvl>
  </w:abstractNum>
  <w:abstractNum w:abstractNumId="78">
    <w:nsid w:val="3B0FD379"/>
    <w:multiLevelType w:val="hybridMultilevel"/>
    <w:lvl w:ilvl="0">
      <w:lvlJc w:val="left"/>
      <w:lvlText w:val="•"/>
      <w:numFmt w:val="bullet"/>
      <w:start w:val="1"/>
    </w:lvl>
  </w:abstractNum>
  <w:abstractNum w:abstractNumId="79">
    <w:nsid w:val="68EB2F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2024-04-26T08:13:54Z</dcterms:created>
  <dcterms:modified xsi:type="dcterms:W3CDTF">2024-04-26T08:13:54Z</dcterms:modified>
</cp:coreProperties>
</file>