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MARGOLIS JEFFREY H</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Alignment Healthcare,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ALHC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6"/>
            <w:vMerge w:val="restart"/>
          </w:tcPr>
          <w:p>
            <w:pPr>
              <w:spacing w:after="0"/>
              <w:rPr>
                <w:sz w:val="20"/>
                <w:szCs w:val="20"/>
                <w:color w:val="auto"/>
              </w:rPr>
            </w:pPr>
            <w:r>
              <w:rPr>
                <w:rFonts w:ascii="Arial" w:cs="Arial" w:eastAsia="Arial" w:hAnsi="Arial"/>
                <w:sz w:val="17"/>
                <w:szCs w:val="17"/>
                <w:color w:val="0000FF"/>
              </w:rPr>
              <w:t>C/O ALIGNMENT HEALTHCARE, INC.</w:t>
            </w:r>
          </w:p>
        </w:tc>
        <w:tc>
          <w:tcPr>
            <w:tcW w:w="6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10/13/2021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1100 W. TOWN &amp; COUNTRY ROAD, SUITE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1600</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7"/>
                <w:szCs w:val="17"/>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7" w:lineRule="exact"/>
              <w:rPr>
                <w:sz w:val="20"/>
                <w:szCs w:val="20"/>
                <w:color w:val="auto"/>
              </w:rPr>
            </w:pPr>
            <w:r>
              <w:rPr>
                <w:rFonts w:ascii="Arial" w:cs="Arial" w:eastAsia="Arial" w:hAnsi="Arial"/>
                <w:sz w:val="17"/>
                <w:szCs w:val="17"/>
                <w:color w:val="0000FF"/>
              </w:rPr>
              <w:t>ORANGE</w:t>
            </w:r>
          </w:p>
        </w:tc>
        <w:tc>
          <w:tcPr>
            <w:tcW w:w="300" w:type="dxa"/>
            <w:vAlign w:val="bottom"/>
          </w:tcPr>
          <w:p>
            <w:pPr>
              <w:ind w:left="40"/>
              <w:spacing w:after="0" w:line="187" w:lineRule="exact"/>
              <w:rPr>
                <w:sz w:val="20"/>
                <w:szCs w:val="20"/>
                <w:color w:val="auto"/>
              </w:rPr>
            </w:pPr>
            <w:r>
              <w:rPr>
                <w:rFonts w:ascii="Arial" w:cs="Arial" w:eastAsia="Arial" w:hAnsi="Arial"/>
                <w:sz w:val="17"/>
                <w:szCs w:val="17"/>
                <w:color w:val="0000FF"/>
              </w:rPr>
              <w:t>CA</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ind w:left="140"/>
              <w:spacing w:after="0" w:line="187" w:lineRule="exact"/>
              <w:rPr>
                <w:sz w:val="20"/>
                <w:szCs w:val="20"/>
                <w:color w:val="auto"/>
              </w:rPr>
            </w:pPr>
            <w:r>
              <w:rPr>
                <w:rFonts w:ascii="Arial" w:cs="Arial" w:eastAsia="Arial" w:hAnsi="Arial"/>
                <w:sz w:val="17"/>
                <w:szCs w:val="17"/>
                <w:color w:val="0000FF"/>
              </w:rPr>
              <w:t>92868</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gridSpan w:val="2"/>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5"/>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7"/>
          </w:tcPr>
          <w:p>
            <w:pPr>
              <w:ind w:left="60"/>
              <w:spacing w:after="0"/>
              <w:rPr>
                <w:sz w:val="20"/>
                <w:szCs w:val="20"/>
                <w:color w:val="auto"/>
              </w:rPr>
            </w:pPr>
            <w:r>
              <w:rPr>
                <w:rFonts w:ascii="Arial" w:cs="Arial" w:eastAsia="Arial" w:hAnsi="Arial"/>
                <w:sz w:val="17"/>
                <w:szCs w:val="17"/>
                <w:color w:val="0000FF"/>
              </w:rPr>
              <w:t>Common Stock, par value $0.001 per</w:t>
            </w:r>
          </w:p>
        </w:tc>
        <w:tc>
          <w:tcPr>
            <w:tcW w:w="1100" w:type="dxa"/>
            <w:vAlign w:val="bottom"/>
            <w:gridSpan w:val="5"/>
            <w:vMerge w:val="restart"/>
          </w:tcPr>
          <w:p>
            <w:pPr>
              <w:jc w:val="right"/>
              <w:ind w:right="95"/>
              <w:spacing w:after="0"/>
              <w:rPr>
                <w:sz w:val="20"/>
                <w:szCs w:val="20"/>
                <w:color w:val="auto"/>
              </w:rPr>
            </w:pPr>
            <w:r>
              <w:rPr>
                <w:rFonts w:ascii="Arial" w:cs="Arial" w:eastAsia="Arial" w:hAnsi="Arial"/>
                <w:sz w:val="17"/>
                <w:szCs w:val="17"/>
                <w:color w:val="0000FF"/>
              </w:rPr>
              <w:t>10/13/2021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1,200</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600" w:type="dxa"/>
            <w:vAlign w:val="bottom"/>
            <w:gridSpan w:val="3"/>
            <w:vMerge w:val="restart"/>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427,933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share ("Common Stock")</w:t>
            </w:r>
          </w:p>
        </w:tc>
        <w:tc>
          <w:tcPr>
            <w:tcW w:w="70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33,333</w:t>
            </w:r>
            <w:r>
              <w:rPr>
                <w:rFonts w:ascii="Arial" w:cs="Arial" w:eastAsia="Arial" w:hAnsi="Arial"/>
                <w:sz w:val="22"/>
                <w:szCs w:val="22"/>
                <w:color w:val="008000"/>
                <w:vertAlign w:val="superscript"/>
              </w:rPr>
              <w:t>(3)</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previously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held by the Margolis Family trust 12/23/98, of which Mr. Margolis is the trustee.</w:t>
      </w:r>
    </w:p>
    <w:p>
      <w:pPr>
        <w:spacing w:after="0" w:line="50"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33,333 shares of restricted Common Stock that will vest in equal annual installments on each of the first three anniversaries of Alignment Healthcare, Inc.'s initial public offering unless Mr. Margolis is removed for cause or resigns prior to such dates.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24.1 - Power of Attorney</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Richard A. Cross,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38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Jeffrey H 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4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49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KNOW ALL BY THESE PRESENTS, that the undersigned hereby constitutes and appoints each of (i) R. Thomas Freeman, (ii) Richard 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Cross, (iii) Christopher Johnson and (iv) Thomas E. Mitchell, signing SINGLY, the undersigned’s true and lawful attorney-in-fact to:</w:t>
      </w:r>
    </w:p>
    <w:p>
      <w:pPr>
        <w:spacing w:after="0" w:line="208" w:lineRule="exact"/>
        <w:rPr>
          <w:sz w:val="20"/>
          <w:szCs w:val="20"/>
          <w:color w:val="auto"/>
        </w:rPr>
      </w:pPr>
    </w:p>
    <w:p>
      <w:pPr>
        <w:jc w:val="both"/>
        <w:ind w:right="20" w:firstLine="646"/>
        <w:spacing w:after="0" w:line="257" w:lineRule="auto"/>
        <w:tabs>
          <w:tab w:leader="none" w:pos="1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or holder of 10% or more of the registered class of securities of Alignment Healthcare, Inc. (the “Company”), Forms 3, 4 and 5 in accordance with Section 16(a) of the Securities Exchange Act of 1934, as amended, and the rules thereunder;</w:t>
      </w:r>
    </w:p>
    <w:p>
      <w:pPr>
        <w:spacing w:after="0" w:line="187" w:lineRule="exact"/>
        <w:rPr>
          <w:rFonts w:ascii="Arial" w:cs="Arial" w:eastAsia="Arial" w:hAnsi="Arial"/>
          <w:sz w:val="18"/>
          <w:szCs w:val="18"/>
          <w:color w:val="auto"/>
        </w:rPr>
      </w:pPr>
    </w:p>
    <w:p>
      <w:pPr>
        <w:jc w:val="both"/>
        <w:ind w:firstLine="646"/>
        <w:spacing w:after="0" w:line="257" w:lineRule="auto"/>
        <w:tabs>
          <w:tab w:leader="none" w:pos="1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87" w:lineRule="exact"/>
        <w:rPr>
          <w:rFonts w:ascii="Arial" w:cs="Arial" w:eastAsia="Arial" w:hAnsi="Arial"/>
          <w:sz w:val="18"/>
          <w:szCs w:val="18"/>
          <w:color w:val="auto"/>
        </w:rPr>
      </w:pPr>
    </w:p>
    <w:p>
      <w:pPr>
        <w:jc w:val="both"/>
        <w:ind w:firstLine="646"/>
        <w:spacing w:after="0" w:line="253" w:lineRule="auto"/>
        <w:tabs>
          <w:tab w:leader="none" w:pos="1241"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jc w:val="both"/>
        <w:ind w:firstLine="640"/>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168" w:lineRule="exact"/>
        <w:rPr>
          <w:sz w:val="20"/>
          <w:szCs w:val="20"/>
          <w:color w:val="auto"/>
        </w:rPr>
      </w:pPr>
    </w:p>
    <w:p>
      <w:pPr>
        <w:jc w:val="both"/>
        <w:ind w:right="20" w:firstLine="1279"/>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69640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361" w:right="4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15th day of October 2021.</w:t>
      </w:r>
    </w:p>
    <w:p>
      <w:pPr>
        <w:sectPr>
          <w:pgSz w:w="11900" w:h="16838" w:orient="portrait"/>
          <w:cols w:equalWidth="0" w:num="1">
            <w:col w:w="9359"/>
          </w:cols>
          <w:pgMar w:left="1100" w:top="1007"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tbl>
      <w:tblPr>
        <w:tblLayout w:type="fixed"/>
        <w:tblInd w:w="5400" w:type="dxa"/>
        <w:tblCellMar>
          <w:top w:w="0" w:type="dxa"/>
          <w:left w:w="0" w:type="dxa"/>
          <w:bottom w:w="0" w:type="dxa"/>
          <w:right w:w="0" w:type="dxa"/>
        </w:tblCellMar>
      </w:tblPr>
      <w:tr>
        <w:trPr>
          <w:trHeight w:val="22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H. Margolis</w:t>
            </w:r>
          </w:p>
        </w:tc>
      </w:tr>
      <w:tr>
        <w:trPr>
          <w:trHeight w:val="218"/>
        </w:trPr>
        <w:tc>
          <w:tcPr>
            <w:tcW w:w="5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Name: Jeffrey H. Margolis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to Power of Attorney (Forms 3, 4 &amp; 5)— Alignment Healthcare,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214630</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359"/>
      </w:cols>
      <w:pgMar w:left="1100" w:top="100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105688" TargetMode="External"/><Relationship Id="rId13"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2021-10-15T18:42:20Z</dcterms:created>
  <dcterms:modified xsi:type="dcterms:W3CDTF">2021-10-15T18:42:20Z</dcterms:modified>
</cp:coreProperties>
</file>