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5242.xml.htm"/>
      <w:bookmarkStart w:id="1" w:name="kswkform4_17842352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Maroney Dawn Christine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W. TOWN &amp; COUNTRY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ORANGE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Alignment Healthcare, Inc.</w:t>
              </w:r>
            </w:hyperlink>
            <w:r>
              <w:rPr/>
              <w:t xml:space="preserve"> [ </w:t>
            </w:r>
            <w:r>
              <w:rPr>
                <w:rFonts w:ascii="Times;serif" w:hAnsi="Times;serif"/>
                <w:color w:val="0000FF"/>
                <w:sz w:val="24"/>
                <w:shd w:fill="FFFFFF" w:val="clear"/>
              </w:rPr>
              <w:t>ALHC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05"/>
        <w:gridCol w:w="339"/>
        <w:gridCol w:w="1002"/>
        <w:gridCol w:w="423"/>
        <w:gridCol w:w="983"/>
        <w:gridCol w:w="1246"/>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152,068</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1,099,381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177,068</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20.8281</w:t>
            </w:r>
            <w:r>
              <w:rPr>
                <w:rFonts w:ascii="Times;serif" w:hAnsi="Times;serif"/>
                <w:color w:val="008000"/>
                <w:position w:val="7"/>
                <w:sz w:val="16"/>
                <w:sz w:val="20"/>
                <w:shd w:fill="FFFFFF" w:val="clear"/>
              </w:rPr>
              <w:t>(2)</w:t>
            </w:r>
            <w:r>
              <w:rPr/>
              <w:t xml:space="preserve"> </w:t>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922,313</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9.06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152,068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03/08/2032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152,068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9.06</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Date of adoption of Rule 10b5-1 plan: 3/13/26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weighted-average price. Shares were sold in multiple transactions at a per share price ranging from $20.29 to $21.14.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Options vested 25% on each of the first four anniversaries of the grant date (03/08/2022), subject to the reporting person's continued service to the Company as of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J. Joyce, as Attorney-in-Fact, for Dawn C. Maroney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0397" TargetMode="External"/><Relationship Id="rId5" Type="http://schemas.openxmlformats.org/officeDocument/2006/relationships/hyperlink" Target="http://www.sec.gov/cgi-bin/browse-edgar?action=getcompany&amp;CIK=00018324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3804</Characters>
  <CharactersWithSpaces>4430</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