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Alignment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Partners 95,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308,852.00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GAPCO GmbH &amp; Co. KG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Coinvestments III,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Coinvestments IV,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308,852.00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308,852.00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Coinvestments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Coinvestments CDA,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(SPV)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308,852.00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308,852.00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308,852.00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GAPCO Management GmbH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GenPar,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(ALN HLTH),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308,852.00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308,852.00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Alignment Healthcare,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1100 W. TOWN AND COUNTRY ROAD, SUITE1600, ORANGE, CA 92868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This Statement is being filed on behalf of each of the following persons (collectively, the "Reporting Persons"): (i) General Atlantic, L.P. ("GA LP"); (ii) General Atlantic Partners 95, L.P. ("GAP 95"); (iii) GAPCO GmbH &amp; Co. KG</w:t>
      </w:r>
    </w:p>
    <w:p>
      <w:pPr>
        <w:spacing w:after="0" w:line="1" w:lineRule="exact"/>
        <w:rPr>
          <w:sz w:val="20"/>
          <w:szCs w:val="20"/>
          <w:color w:val="auto"/>
        </w:rPr>
      </w:pPr>
    </w:p>
    <w:p>
      <w:pPr>
        <w:jc w:val="both"/>
        <w:ind w:left="920" w:right="20" w:hanging="912"/>
        <w:spacing w:after="0" w:line="181" w:lineRule="auto"/>
        <w:tabs>
          <w:tab w:leader="none" w:pos="92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("GAPCO GmbH"); (iv) GAP Coinvestments III, LLC ("GAPCO III"); (v) GAP Coinvestments IV, LLC ("GAPCO IV"); (vi) GAP Coinvestments V, LLC ("GAPCO V"); (vii) GAP Coinvestments CDA, L.P. ("GAPCO CDA"); (viii) General Atlantic (SPV) GP, LLC ("GA SPV"); (ix) GAPCO Management GmbH ("GAPCO Management"); (x)</w:t>
      </w:r>
    </w:p>
    <w:p>
      <w:pPr>
        <w:ind w:left="920" w:right="240"/>
        <w:spacing w:after="0" w:line="235"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General Atlantic GenPar, L.P. ("GA GenPar"); and (xi) General Atlantic (ALN HLTH), L.P. ("GA ALN"). GA 95, GAPCO GmbH, GAPCO III, GAPCO IV, GAPCO V, and GAPCO CDA are collectively referred to as the "GA Funds."</w:t>
      </w:r>
    </w:p>
    <w:p>
      <w:pPr>
        <w:spacing w:after="0" w:line="15"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2"/>
          <w:szCs w:val="42"/>
          <w:color w:val="auto"/>
          <w:vertAlign w:val="subscript"/>
        </w:rPr>
      </w:pPr>
    </w:p>
    <w:p>
      <w:pPr>
        <w:ind w:left="920" w:hanging="912"/>
        <w:spacing w:after="0" w:line="193"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 The address of GA LP, GAP 95, GAPCO III, GAPCO IV, GAPCO V, GAPCO CDA, GA SPV, GA GenPar, and GA ALN is c/o General Atlantic Service Company, L.P., 55 East 52nd Street, 33rd Floor, New York, NY 10055. The address of GAPCO GmbH and GAPCO Management is c/o General Atlantic GmbH, Luitpoldblock, Amiraplatz 3, 80333 Munchen, Germany.</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Row (4) of each Reporting Person's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ectPr>
          <w:pgSz w:w="11900" w:h="16838" w:orient="portrait"/>
          <w:cols w:equalWidth="0" w:num="1">
            <w:col w:w="11020"/>
          </w:cols>
          <w:pgMar w:left="360" w:top="111" w:right="519" w:bottom="0" w:gutter="0" w:footer="0" w:header="0"/>
          <w:type w:val="continuous"/>
        </w:sectPr>
      </w:pPr>
    </w:p>
    <w:bookmarkStart w:id="9" w:name="page10"/>
    <w:bookmarkEnd w:id="9"/>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Amount beneficially owned: As of March 31, 2026, the Reporting Persons owned the following number of the Company's common stock: (i) GA LP owned of record no shares of common stock or 0.0% of the issued and outstanding shares of common stock (ii) GAP 95 owned of record no shares of common stock or 0.0% of the issued and outstanding shares of common stock (iii) GAPCO GmbH owned of record no shares of common stock or 0.0% of the issued and outstanding shares of common stock (iv) GAPCO III owned of record no shares of common stock or 0.0% of the issued and outstanding shares of common stock (v) GAPCO IV owned of record no shares of common stock or 0.0% of the issued and outstanding shares of common stock (vi) GAPCO V owned of record no shares of common stock or 0.0% of the issued and outstanding shares of common stock (vii) GAPCO CDA owned of record no shares of common stock or 0.0% of the issued and outstanding shares of common stock (viii) GA SPV owned of record no shares of common stock or 0.0% of the issued and outstanding shares of common stock (ix) GAPCO Management owned of record no shares of common stock or 0.0% of the issued and outstanding shares of common stock (x) GA GenPar owned of record no shares of common stock or 0.0% of the issued and outstanding shares of common stock (xi) GA ALN owned of record no shares of common stock or 0.0% of the issued and outstanding</w:t>
      </w:r>
    </w:p>
    <w:p>
      <w:pPr>
        <w:spacing w:after="0" w:line="4" w:lineRule="exact"/>
        <w:rPr>
          <w:sz w:val="20"/>
          <w:szCs w:val="20"/>
          <w:color w:val="auto"/>
        </w:rPr>
      </w:pPr>
    </w:p>
    <w:p>
      <w:pPr>
        <w:ind w:left="920" w:hanging="912"/>
        <w:spacing w:after="0" w:line="231"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Includes an aggregate of 308,852 shares of common stock held by David Hodgson and Robbert Vorhoff, who are employees of General Atlantic Service Company, L.P., solely for the benefit of GASC MGP, LLC, which is controlled by the Partnership Committee (as defined below). The GA Funds share beneficial ownership of the shares of common stock held by GA ALN. The general partner of GA ALN is GA SPV. The general partner of GAP 95 is GA GenPar and GA GenPar is ultimately controlled by GA LP. The general partner of GAPCO GmbH is GAPCO Management. GA LP, which is controlled by the Partnership Committee of GASC MGP, LLC (the "Partnership Committee"), is the managing member of GAPCO III, GAPCO IV and GAPCO V, the general partner of GAPCO CDA and GA GenPar, and the sole member of GA SPV. The Partnership Committee also controls the investment and voting decisions of GAPCO Management. There are six members of the Partnership Committee. By virtue of the foregoing, the Reporting Persons may be deemed to share voting power and the power to direct the disposition of the shares that each owns of record. Each of the members of the Partnership Committee disclaims ownership of the shares of common stock reported herein except to the extent that he has a pecuniary interest therein. The name, the address and the citizenship of each of the members of the Partnership Committee as of the date hereof is attached hereto as Schedule A and is hereby incorporated by reference. Amount Beneficially Owned: By virtue of the relationship described above, each of the Reporting Persons may be deemed to beneficially own 308,852 shares of common stock.</w:t>
      </w:r>
    </w:p>
    <w:p>
      <w:pPr>
        <w:spacing w:after="0" w:line="22"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jc w:val="both"/>
        <w:ind w:left="920" w:right="240" w:hanging="912"/>
        <w:spacing w:after="0" w:line="244"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calculations of percentage ownership herein are based on an aggregate of 206,733,823 shares of common stock reported by the Company to be outstanding as of April 27, 2026, as reflected in the Company's Quarterly Report on Form 10-Q filed with the U.S. Securities and Exchange Commission on April 30,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Each of the Reporting Persons may be deemed to have the sole power to direct the voting of the shares of common stock indicated on Row (5) of each such Reporting Person's cover page included herein.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40"/>
          </w:cols>
          <w:pgMar w:left="360" w:top="111" w:right="399" w:bottom="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Times New Roman" w:cs="Times New Roman" w:eastAsia="Times New Roman" w:hAnsi="Times New Roman"/>
          <w:sz w:val="22"/>
          <w:szCs w:val="22"/>
          <w:color w:val="auto"/>
        </w:rPr>
        <w:t>Each of the Reporting Persons may be deemed to share the power to direct the voting of the shares of common stock indicated on Row (6) of each such Reporting Person's cover page included herein.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Each of the Reporting Persons may be deemed to have the sole power to direct the dispositions of the shares of common stock indicated on Row (7) of each such Reporting Person's cover page included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of the Reporting Persons may be deemed to share the power to direct the dispositions of the shares of common stock indicated on Row (8) of each such Reporting Person's cover page included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 which states the identity of the members of the group filing this Schedule 13G.</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GENERAL ATLANTIC, L.P.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Michael Gosk, Managing Director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General Atlantic Partners 95,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Michael Gosk, Managing Director of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Atlantic, L.P., the general partner of General</w:t>
      </w:r>
    </w:p>
    <w:p>
      <w:pPr>
        <w:ind w:left="6740"/>
        <w:spacing w:after="0"/>
        <w:rPr>
          <w:sz w:val="20"/>
          <w:szCs w:val="20"/>
          <w:color w:val="auto"/>
        </w:rPr>
      </w:pPr>
      <w:r>
        <w:rPr>
          <w:rFonts w:ascii="Times New Roman" w:cs="Times New Roman" w:eastAsia="Times New Roman" w:hAnsi="Times New Roman"/>
          <w:sz w:val="22"/>
          <w:szCs w:val="22"/>
          <w:color w:val="auto"/>
        </w:rPr>
        <w:t>Atlantic GenPar, L.P.,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GAPCO GmbH &amp; Co. KG</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GAPCO</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GmbH,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GAP Coinvestments III,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Atlantic, L.P., its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11" w:name="page12"/>
    <w:bookmarkEnd w:id="11"/>
    <w:p>
      <w:pPr>
        <w:ind w:left="2740"/>
        <w:spacing w:after="0"/>
        <w:rPr>
          <w:sz w:val="20"/>
          <w:szCs w:val="20"/>
          <w:color w:val="auto"/>
        </w:rPr>
      </w:pPr>
      <w:r>
        <w:rPr>
          <w:rFonts w:ascii="Times New Roman" w:cs="Times New Roman" w:eastAsia="Times New Roman" w:hAnsi="Times New Roman"/>
          <w:sz w:val="22"/>
          <w:szCs w:val="22"/>
          <w:color w:val="auto"/>
        </w:rPr>
        <w:t>GAP Coinvestments IV,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Atlantic, L.P., its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GAP Coinvestments V,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Atlantic, L.P., its 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GAP Coinvestments CDA,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Atlantic, L.P.,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General Atlantic (SPV)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Atlantic, L.P., its sole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GAPCO Management GmbH</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Michael Gosk, Managing Director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General Atlantic GenPar,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Atlantic, L.P.,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General Atlantic (ALN HLTH),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Michael Gosk, Managing Director of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Atlantic, L.P., the sole member of General</w:t>
      </w:r>
    </w:p>
    <w:p>
      <w:pPr>
        <w:ind w:left="6740"/>
        <w:spacing w:after="0"/>
        <w:rPr>
          <w:sz w:val="20"/>
          <w:szCs w:val="20"/>
          <w:color w:val="auto"/>
        </w:rPr>
      </w:pPr>
      <w:r>
        <w:rPr>
          <w:rFonts w:ascii="Times New Roman" w:cs="Times New Roman" w:eastAsia="Times New Roman" w:hAnsi="Times New Roman"/>
          <w:sz w:val="22"/>
          <w:szCs w:val="22"/>
          <w:color w:val="auto"/>
        </w:rPr>
        <w:t>Atlantic (SPV)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Exhibit 1 - Agreement relating to the filing of joint acquisition statements as required by Rule 13d-1(k)(1) under the Act (previously filed). (https://www.sec.gov/Archives/edgar/data/1017645/000095014222000589/eh220223352_13g-alignment.htm)</w:t>
      </w:r>
    </w:p>
    <w:p>
      <w:pPr>
        <w:sectPr>
          <w:pgSz w:w="11900" w:h="16838" w:orient="portrait"/>
          <w:cols w:equalWidth="0" w:num="1">
            <w:col w:w="11140"/>
          </w:cols>
          <w:pgMar w:left="360" w:top="166" w:right="3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Members of the Partnership Committee (as of the date hereof)</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4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Business Address</w:t>
            </w:r>
          </w:p>
        </w:tc>
        <w:tc>
          <w:tcPr>
            <w:tcW w:w="3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Citizenship</w:t>
            </w:r>
          </w:p>
        </w:tc>
      </w:tr>
      <w:tr>
        <w:trPr>
          <w:trHeight w:val="184"/>
        </w:trPr>
        <w:tc>
          <w:tcPr>
            <w:tcW w:w="2860" w:type="dxa"/>
            <w:vAlign w:val="bottom"/>
            <w:tcBorders>
              <w:left w:val="single" w:sz="8" w:color="auto"/>
              <w:right w:val="single" w:sz="8" w:color="auto"/>
            </w:tcBorders>
            <w:shd w:val="clear" w:color="auto" w:fill="C6F4F9"/>
          </w:tcPr>
          <w:p>
            <w:pPr>
              <w:ind w:left="40"/>
              <w:spacing w:after="0" w:line="183" w:lineRule="exact"/>
              <w:rPr>
                <w:sz w:val="20"/>
                <w:szCs w:val="20"/>
                <w:color w:val="auto"/>
              </w:rPr>
            </w:pPr>
            <w:r>
              <w:rPr>
                <w:rFonts w:ascii="Arial" w:cs="Arial" w:eastAsia="Arial" w:hAnsi="Arial"/>
                <w:sz w:val="18"/>
                <w:szCs w:val="18"/>
                <w:color w:val="auto"/>
              </w:rPr>
              <w:t>William E. Ford</w:t>
            </w:r>
          </w:p>
        </w:tc>
        <w:tc>
          <w:tcPr>
            <w:tcW w:w="4980" w:type="dxa"/>
            <w:vAlign w:val="bottom"/>
            <w:tcBorders>
              <w:right w:val="single" w:sz="8" w:color="auto"/>
            </w:tcBorders>
            <w:shd w:val="clear" w:color="auto" w:fill="C6F4F9"/>
          </w:tcPr>
          <w:p>
            <w:pPr>
              <w:ind w:left="20"/>
              <w:spacing w:after="0" w:line="183" w:lineRule="exact"/>
              <w:rPr>
                <w:sz w:val="20"/>
                <w:szCs w:val="20"/>
                <w:color w:val="auto"/>
              </w:rPr>
            </w:pPr>
            <w:r>
              <w:rPr>
                <w:rFonts w:ascii="Arial" w:cs="Arial" w:eastAsia="Arial" w:hAnsi="Arial"/>
                <w:sz w:val="18"/>
                <w:szCs w:val="18"/>
                <w:color w:val="auto"/>
              </w:rPr>
              <w:t>55 East 52nd Street</w:t>
            </w:r>
          </w:p>
        </w:tc>
        <w:tc>
          <w:tcPr>
            <w:tcW w:w="3400" w:type="dxa"/>
            <w:vAlign w:val="bottom"/>
            <w:tcBorders>
              <w:right w:val="single" w:sz="8" w:color="auto"/>
            </w:tcBorders>
            <w:shd w:val="clear" w:color="auto" w:fill="C6F4F9"/>
          </w:tcPr>
          <w:p>
            <w:pPr>
              <w:spacing w:after="0" w:line="183" w:lineRule="exact"/>
              <w:rPr>
                <w:sz w:val="20"/>
                <w:szCs w:val="20"/>
                <w:color w:val="auto"/>
              </w:rPr>
            </w:pPr>
            <w:r>
              <w:rPr>
                <w:rFonts w:ascii="Arial" w:cs="Arial" w:eastAsia="Arial" w:hAnsi="Arial"/>
                <w:sz w:val="18"/>
                <w:szCs w:val="18"/>
                <w:color w:val="auto"/>
              </w:rPr>
              <w:t>United States</w:t>
            </w:r>
          </w:p>
        </w:tc>
      </w:tr>
      <w:tr>
        <w:trPr>
          <w:trHeight w:val="203"/>
        </w:trPr>
        <w:tc>
          <w:tcPr>
            <w:tcW w:w="2860" w:type="dxa"/>
            <w:vAlign w:val="bottom"/>
            <w:tcBorders>
              <w:left w:val="single" w:sz="8" w:color="auto"/>
              <w:right w:val="single" w:sz="8" w:color="auto"/>
            </w:tcBorders>
            <w:shd w:val="clear" w:color="auto" w:fill="C6F4F9"/>
          </w:tcPr>
          <w:p>
            <w:pPr>
              <w:ind w:left="40"/>
              <w:spacing w:after="0" w:line="202" w:lineRule="exact"/>
              <w:rPr>
                <w:sz w:val="20"/>
                <w:szCs w:val="20"/>
                <w:color w:val="auto"/>
              </w:rPr>
            </w:pPr>
            <w:r>
              <w:rPr>
                <w:rFonts w:ascii="Arial" w:cs="Arial" w:eastAsia="Arial" w:hAnsi="Arial"/>
                <w:sz w:val="18"/>
                <w:szCs w:val="18"/>
                <w:color w:val="auto"/>
              </w:rPr>
              <w:t>(Chief Executive Officer)</w:t>
            </w:r>
          </w:p>
        </w:tc>
        <w:tc>
          <w:tcPr>
            <w:tcW w:w="4980" w:type="dxa"/>
            <w:vAlign w:val="bottom"/>
            <w:tcBorders>
              <w:right w:val="single" w:sz="8" w:color="auto"/>
            </w:tcBorders>
            <w:shd w:val="clear" w:color="auto" w:fill="C6F4F9"/>
          </w:tcPr>
          <w:p>
            <w:pPr>
              <w:ind w:left="20"/>
              <w:spacing w:after="0" w:line="202" w:lineRule="exact"/>
              <w:rPr>
                <w:sz w:val="20"/>
                <w:szCs w:val="20"/>
                <w:color w:val="auto"/>
              </w:rPr>
            </w:pPr>
            <w:r>
              <w:rPr>
                <w:rFonts w:ascii="Arial" w:cs="Arial" w:eastAsia="Arial" w:hAnsi="Arial"/>
                <w:sz w:val="18"/>
                <w:szCs w:val="18"/>
                <w:color w:val="auto"/>
              </w:rPr>
              <w:t>33rd Floor</w:t>
            </w:r>
          </w:p>
        </w:tc>
        <w:tc>
          <w:tcPr>
            <w:tcW w:w="3400" w:type="dxa"/>
            <w:vAlign w:val="bottom"/>
            <w:tcBorders>
              <w:right w:val="single" w:sz="8" w:color="auto"/>
            </w:tcBorders>
            <w:shd w:val="clear" w:color="auto" w:fill="C6F4F9"/>
          </w:tcPr>
          <w:p>
            <w:pPr>
              <w:spacing w:after="0"/>
              <w:rPr>
                <w:sz w:val="17"/>
                <w:szCs w:val="17"/>
                <w:color w:val="auto"/>
              </w:rPr>
            </w:pPr>
          </w:p>
        </w:tc>
      </w:tr>
      <w:tr>
        <w:trPr>
          <w:trHeight w:val="228"/>
        </w:trPr>
        <w:tc>
          <w:tcPr>
            <w:tcW w:w="2860" w:type="dxa"/>
            <w:vAlign w:val="bottom"/>
            <w:tcBorders>
              <w:left w:val="single" w:sz="8" w:color="auto"/>
              <w:bottom w:val="single" w:sz="8" w:color="auto"/>
              <w:right w:val="single" w:sz="8" w:color="auto"/>
            </w:tcBorders>
            <w:shd w:val="clear" w:color="auto" w:fill="C6F4F9"/>
          </w:tcPr>
          <w:p>
            <w:pPr>
              <w:spacing w:after="0"/>
              <w:rPr>
                <w:sz w:val="19"/>
                <w:szCs w:val="19"/>
                <w:color w:val="auto"/>
              </w:rPr>
            </w:pPr>
          </w:p>
        </w:tc>
        <w:tc>
          <w:tcPr>
            <w:tcW w:w="498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10055</w:t>
            </w:r>
          </w:p>
        </w:tc>
        <w:tc>
          <w:tcPr>
            <w:tcW w:w="3400" w:type="dxa"/>
            <w:vAlign w:val="bottom"/>
            <w:tcBorders>
              <w:bottom w:val="single" w:sz="8" w:color="auto"/>
              <w:right w:val="single" w:sz="8" w:color="auto"/>
            </w:tcBorders>
            <w:shd w:val="clear" w:color="auto" w:fill="C6F4F9"/>
          </w:tcPr>
          <w:p>
            <w:pPr>
              <w:spacing w:after="0"/>
              <w:rPr>
                <w:sz w:val="19"/>
                <w:szCs w:val="19"/>
                <w:color w:val="auto"/>
              </w:rPr>
            </w:pPr>
          </w:p>
        </w:tc>
      </w:tr>
      <w:tr>
        <w:trPr>
          <w:trHeight w:val="184"/>
        </w:trPr>
        <w:tc>
          <w:tcPr>
            <w:tcW w:w="28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8"/>
                <w:szCs w:val="18"/>
                <w:color w:val="auto"/>
              </w:rPr>
              <w:t>Torbjorn Caesar</w:t>
            </w:r>
          </w:p>
        </w:tc>
        <w:tc>
          <w:tcPr>
            <w:tcW w:w="498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Royal Park, 29, Avenue de la Porte-Neuve</w:t>
            </w:r>
          </w:p>
        </w:tc>
        <w:tc>
          <w:tcPr>
            <w:tcW w:w="34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Sweden and United Kingdom</w:t>
            </w:r>
          </w:p>
        </w:tc>
      </w:tr>
      <w:tr>
        <w:trPr>
          <w:trHeight w:val="228"/>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4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L-2227 Luxembourg</w:t>
            </w:r>
          </w:p>
        </w:tc>
        <w:tc>
          <w:tcPr>
            <w:tcW w:w="3400" w:type="dxa"/>
            <w:vAlign w:val="bottom"/>
            <w:tcBorders>
              <w:bottom w:val="single" w:sz="8" w:color="auto"/>
              <w:right w:val="single" w:sz="8" w:color="auto"/>
            </w:tcBorders>
          </w:tcPr>
          <w:p>
            <w:pPr>
              <w:spacing w:after="0"/>
              <w:rPr>
                <w:sz w:val="19"/>
                <w:szCs w:val="19"/>
                <w:color w:val="auto"/>
              </w:rPr>
            </w:pPr>
          </w:p>
        </w:tc>
      </w:tr>
      <w:tr>
        <w:trPr>
          <w:trHeight w:val="184"/>
        </w:trPr>
        <w:tc>
          <w:tcPr>
            <w:tcW w:w="2860" w:type="dxa"/>
            <w:vAlign w:val="bottom"/>
            <w:tcBorders>
              <w:left w:val="single" w:sz="8" w:color="auto"/>
              <w:right w:val="single" w:sz="8" w:color="auto"/>
            </w:tcBorders>
            <w:shd w:val="clear" w:color="auto" w:fill="C6F4F9"/>
          </w:tcPr>
          <w:p>
            <w:pPr>
              <w:ind w:left="40"/>
              <w:spacing w:after="0" w:line="183" w:lineRule="exact"/>
              <w:rPr>
                <w:sz w:val="20"/>
                <w:szCs w:val="20"/>
                <w:color w:val="auto"/>
              </w:rPr>
            </w:pPr>
            <w:r>
              <w:rPr>
                <w:rFonts w:ascii="Arial" w:cs="Arial" w:eastAsia="Arial" w:hAnsi="Arial"/>
                <w:sz w:val="18"/>
                <w:szCs w:val="18"/>
                <w:color w:val="auto"/>
              </w:rPr>
              <w:t>Gabriel Caillaux</w:t>
            </w:r>
          </w:p>
        </w:tc>
        <w:tc>
          <w:tcPr>
            <w:tcW w:w="4980" w:type="dxa"/>
            <w:vAlign w:val="bottom"/>
            <w:tcBorders>
              <w:right w:val="single" w:sz="8" w:color="auto"/>
            </w:tcBorders>
            <w:shd w:val="clear" w:color="auto" w:fill="C6F4F9"/>
          </w:tcPr>
          <w:p>
            <w:pPr>
              <w:ind w:left="20"/>
              <w:spacing w:after="0" w:line="183" w:lineRule="exact"/>
              <w:rPr>
                <w:sz w:val="20"/>
                <w:szCs w:val="20"/>
                <w:color w:val="auto"/>
              </w:rPr>
            </w:pPr>
            <w:r>
              <w:rPr>
                <w:rFonts w:ascii="Arial" w:cs="Arial" w:eastAsia="Arial" w:hAnsi="Arial"/>
                <w:sz w:val="18"/>
                <w:szCs w:val="18"/>
                <w:color w:val="auto"/>
              </w:rPr>
              <w:t>23 Savile Row</w:t>
            </w:r>
          </w:p>
        </w:tc>
        <w:tc>
          <w:tcPr>
            <w:tcW w:w="3400" w:type="dxa"/>
            <w:vAlign w:val="bottom"/>
            <w:tcBorders>
              <w:right w:val="single" w:sz="8" w:color="auto"/>
            </w:tcBorders>
            <w:shd w:val="clear" w:color="auto" w:fill="C6F4F9"/>
          </w:tcPr>
          <w:p>
            <w:pPr>
              <w:spacing w:after="0" w:line="183" w:lineRule="exact"/>
              <w:rPr>
                <w:sz w:val="20"/>
                <w:szCs w:val="20"/>
                <w:color w:val="auto"/>
              </w:rPr>
            </w:pPr>
            <w:r>
              <w:rPr>
                <w:rFonts w:ascii="Arial" w:cs="Arial" w:eastAsia="Arial" w:hAnsi="Arial"/>
                <w:sz w:val="18"/>
                <w:szCs w:val="18"/>
                <w:color w:val="auto"/>
              </w:rPr>
              <w:t>France</w:t>
            </w:r>
          </w:p>
        </w:tc>
      </w:tr>
      <w:tr>
        <w:trPr>
          <w:trHeight w:val="203"/>
        </w:trPr>
        <w:tc>
          <w:tcPr>
            <w:tcW w:w="2860" w:type="dxa"/>
            <w:vAlign w:val="bottom"/>
            <w:tcBorders>
              <w:left w:val="single" w:sz="8" w:color="auto"/>
              <w:right w:val="single" w:sz="8" w:color="auto"/>
            </w:tcBorders>
            <w:shd w:val="clear" w:color="auto" w:fill="C6F4F9"/>
          </w:tcPr>
          <w:p>
            <w:pPr>
              <w:spacing w:after="0"/>
              <w:rPr>
                <w:sz w:val="17"/>
                <w:szCs w:val="17"/>
                <w:color w:val="auto"/>
              </w:rPr>
            </w:pPr>
          </w:p>
        </w:tc>
        <w:tc>
          <w:tcPr>
            <w:tcW w:w="4980" w:type="dxa"/>
            <w:vAlign w:val="bottom"/>
            <w:tcBorders>
              <w:right w:val="single" w:sz="8" w:color="auto"/>
            </w:tcBorders>
            <w:shd w:val="clear" w:color="auto" w:fill="C6F4F9"/>
          </w:tcPr>
          <w:p>
            <w:pPr>
              <w:ind w:left="20"/>
              <w:spacing w:after="0" w:line="202" w:lineRule="exact"/>
              <w:rPr>
                <w:sz w:val="20"/>
                <w:szCs w:val="20"/>
                <w:color w:val="auto"/>
              </w:rPr>
            </w:pPr>
            <w:r>
              <w:rPr>
                <w:rFonts w:ascii="Arial" w:cs="Arial" w:eastAsia="Arial" w:hAnsi="Arial"/>
                <w:sz w:val="18"/>
                <w:szCs w:val="18"/>
                <w:color w:val="auto"/>
              </w:rPr>
              <w:t>London W1S 2ET</w:t>
            </w:r>
          </w:p>
        </w:tc>
        <w:tc>
          <w:tcPr>
            <w:tcW w:w="3400" w:type="dxa"/>
            <w:vAlign w:val="bottom"/>
            <w:tcBorders>
              <w:right w:val="single" w:sz="8" w:color="auto"/>
            </w:tcBorders>
            <w:shd w:val="clear" w:color="auto" w:fill="C6F4F9"/>
          </w:tcPr>
          <w:p>
            <w:pPr>
              <w:spacing w:after="0"/>
              <w:rPr>
                <w:sz w:val="17"/>
                <w:szCs w:val="17"/>
                <w:color w:val="auto"/>
              </w:rPr>
            </w:pPr>
          </w:p>
        </w:tc>
      </w:tr>
      <w:tr>
        <w:trPr>
          <w:trHeight w:val="228"/>
        </w:trPr>
        <w:tc>
          <w:tcPr>
            <w:tcW w:w="2860" w:type="dxa"/>
            <w:vAlign w:val="bottom"/>
            <w:tcBorders>
              <w:left w:val="single" w:sz="8" w:color="auto"/>
              <w:bottom w:val="single" w:sz="8" w:color="auto"/>
              <w:right w:val="single" w:sz="8" w:color="auto"/>
            </w:tcBorders>
            <w:shd w:val="clear" w:color="auto" w:fill="C6F4F9"/>
          </w:tcPr>
          <w:p>
            <w:pPr>
              <w:spacing w:after="0"/>
              <w:rPr>
                <w:sz w:val="19"/>
                <w:szCs w:val="19"/>
                <w:color w:val="auto"/>
              </w:rPr>
            </w:pPr>
          </w:p>
        </w:tc>
        <w:tc>
          <w:tcPr>
            <w:tcW w:w="498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United Kingdom</w:t>
            </w:r>
          </w:p>
        </w:tc>
        <w:tc>
          <w:tcPr>
            <w:tcW w:w="3400" w:type="dxa"/>
            <w:vAlign w:val="bottom"/>
            <w:tcBorders>
              <w:bottom w:val="single" w:sz="8" w:color="auto"/>
              <w:right w:val="single" w:sz="8" w:color="auto"/>
            </w:tcBorders>
            <w:shd w:val="clear" w:color="auto" w:fill="C6F4F9"/>
          </w:tcPr>
          <w:p>
            <w:pPr>
              <w:spacing w:after="0"/>
              <w:rPr>
                <w:sz w:val="19"/>
                <w:szCs w:val="19"/>
                <w:color w:val="auto"/>
              </w:rPr>
            </w:pPr>
          </w:p>
        </w:tc>
      </w:tr>
      <w:tr>
        <w:trPr>
          <w:trHeight w:val="184"/>
        </w:trPr>
        <w:tc>
          <w:tcPr>
            <w:tcW w:w="28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8"/>
                <w:szCs w:val="18"/>
                <w:color w:val="auto"/>
              </w:rPr>
              <w:t>Martin Escobari</w:t>
            </w:r>
          </w:p>
        </w:tc>
        <w:tc>
          <w:tcPr>
            <w:tcW w:w="498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55 East 52nd Street</w:t>
            </w:r>
          </w:p>
        </w:tc>
        <w:tc>
          <w:tcPr>
            <w:tcW w:w="34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Bolivia and Brazil</w:t>
            </w:r>
          </w:p>
        </w:tc>
      </w:tr>
      <w:tr>
        <w:trPr>
          <w:trHeight w:val="203"/>
        </w:trPr>
        <w:tc>
          <w:tcPr>
            <w:tcW w:w="286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33rd Floor</w:t>
            </w:r>
          </w:p>
        </w:tc>
        <w:tc>
          <w:tcPr>
            <w:tcW w:w="3400" w:type="dxa"/>
            <w:vAlign w:val="bottom"/>
            <w:tcBorders>
              <w:right w:val="single" w:sz="8" w:color="auto"/>
            </w:tcBorders>
          </w:tcPr>
          <w:p>
            <w:pPr>
              <w:spacing w:after="0"/>
              <w:rPr>
                <w:sz w:val="17"/>
                <w:szCs w:val="17"/>
                <w:color w:val="auto"/>
              </w:rPr>
            </w:pPr>
          </w:p>
        </w:tc>
      </w:tr>
      <w:tr>
        <w:trPr>
          <w:trHeight w:val="228"/>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4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New York 10055</w:t>
            </w:r>
          </w:p>
        </w:tc>
        <w:tc>
          <w:tcPr>
            <w:tcW w:w="3400" w:type="dxa"/>
            <w:vAlign w:val="bottom"/>
            <w:tcBorders>
              <w:bottom w:val="single" w:sz="8" w:color="auto"/>
              <w:right w:val="single" w:sz="8" w:color="auto"/>
            </w:tcBorders>
          </w:tcPr>
          <w:p>
            <w:pPr>
              <w:spacing w:after="0"/>
              <w:rPr>
                <w:sz w:val="19"/>
                <w:szCs w:val="19"/>
                <w:color w:val="auto"/>
              </w:rPr>
            </w:pPr>
          </w:p>
        </w:tc>
      </w:tr>
      <w:tr>
        <w:trPr>
          <w:trHeight w:val="184"/>
        </w:trPr>
        <w:tc>
          <w:tcPr>
            <w:tcW w:w="2860" w:type="dxa"/>
            <w:vAlign w:val="bottom"/>
            <w:tcBorders>
              <w:left w:val="single" w:sz="8" w:color="auto"/>
              <w:right w:val="single" w:sz="8" w:color="auto"/>
            </w:tcBorders>
            <w:shd w:val="clear" w:color="auto" w:fill="C6F4F9"/>
          </w:tcPr>
          <w:p>
            <w:pPr>
              <w:ind w:left="40"/>
              <w:spacing w:after="0" w:line="183" w:lineRule="exact"/>
              <w:rPr>
                <w:sz w:val="20"/>
                <w:szCs w:val="20"/>
                <w:color w:val="auto"/>
              </w:rPr>
            </w:pPr>
            <w:r>
              <w:rPr>
                <w:rFonts w:ascii="Arial" w:cs="Arial" w:eastAsia="Arial" w:hAnsi="Arial"/>
                <w:sz w:val="18"/>
                <w:szCs w:val="18"/>
                <w:color w:val="auto"/>
              </w:rPr>
              <w:t>David C. Hodgson</w:t>
            </w:r>
          </w:p>
        </w:tc>
        <w:tc>
          <w:tcPr>
            <w:tcW w:w="4980" w:type="dxa"/>
            <w:vAlign w:val="bottom"/>
            <w:tcBorders>
              <w:right w:val="single" w:sz="8" w:color="auto"/>
            </w:tcBorders>
            <w:shd w:val="clear" w:color="auto" w:fill="C6F4F9"/>
          </w:tcPr>
          <w:p>
            <w:pPr>
              <w:ind w:left="20"/>
              <w:spacing w:after="0" w:line="183" w:lineRule="exact"/>
              <w:rPr>
                <w:sz w:val="20"/>
                <w:szCs w:val="20"/>
                <w:color w:val="auto"/>
              </w:rPr>
            </w:pPr>
            <w:r>
              <w:rPr>
                <w:rFonts w:ascii="Arial" w:cs="Arial" w:eastAsia="Arial" w:hAnsi="Arial"/>
                <w:sz w:val="18"/>
                <w:szCs w:val="18"/>
                <w:color w:val="auto"/>
              </w:rPr>
              <w:t>55 East 52nd Street</w:t>
            </w:r>
          </w:p>
        </w:tc>
        <w:tc>
          <w:tcPr>
            <w:tcW w:w="3400" w:type="dxa"/>
            <w:vAlign w:val="bottom"/>
            <w:tcBorders>
              <w:right w:val="single" w:sz="8" w:color="auto"/>
            </w:tcBorders>
            <w:shd w:val="clear" w:color="auto" w:fill="C6F4F9"/>
          </w:tcPr>
          <w:p>
            <w:pPr>
              <w:spacing w:after="0" w:line="183" w:lineRule="exact"/>
              <w:rPr>
                <w:sz w:val="20"/>
                <w:szCs w:val="20"/>
                <w:color w:val="auto"/>
              </w:rPr>
            </w:pPr>
            <w:r>
              <w:rPr>
                <w:rFonts w:ascii="Arial" w:cs="Arial" w:eastAsia="Arial" w:hAnsi="Arial"/>
                <w:sz w:val="18"/>
                <w:szCs w:val="18"/>
                <w:color w:val="auto"/>
              </w:rPr>
              <w:t>United States</w:t>
            </w:r>
          </w:p>
        </w:tc>
      </w:tr>
      <w:tr>
        <w:trPr>
          <w:trHeight w:val="203"/>
        </w:trPr>
        <w:tc>
          <w:tcPr>
            <w:tcW w:w="2860" w:type="dxa"/>
            <w:vAlign w:val="bottom"/>
            <w:tcBorders>
              <w:left w:val="single" w:sz="8" w:color="auto"/>
              <w:right w:val="single" w:sz="8" w:color="auto"/>
            </w:tcBorders>
            <w:shd w:val="clear" w:color="auto" w:fill="C6F4F9"/>
          </w:tcPr>
          <w:p>
            <w:pPr>
              <w:spacing w:after="0"/>
              <w:rPr>
                <w:sz w:val="17"/>
                <w:szCs w:val="17"/>
                <w:color w:val="auto"/>
              </w:rPr>
            </w:pPr>
          </w:p>
        </w:tc>
        <w:tc>
          <w:tcPr>
            <w:tcW w:w="4980" w:type="dxa"/>
            <w:vAlign w:val="bottom"/>
            <w:tcBorders>
              <w:right w:val="single" w:sz="8" w:color="auto"/>
            </w:tcBorders>
            <w:shd w:val="clear" w:color="auto" w:fill="C6F4F9"/>
          </w:tcPr>
          <w:p>
            <w:pPr>
              <w:ind w:left="20"/>
              <w:spacing w:after="0" w:line="202" w:lineRule="exact"/>
              <w:rPr>
                <w:sz w:val="20"/>
                <w:szCs w:val="20"/>
                <w:color w:val="auto"/>
              </w:rPr>
            </w:pPr>
            <w:r>
              <w:rPr>
                <w:rFonts w:ascii="Arial" w:cs="Arial" w:eastAsia="Arial" w:hAnsi="Arial"/>
                <w:sz w:val="18"/>
                <w:szCs w:val="18"/>
                <w:color w:val="auto"/>
              </w:rPr>
              <w:t>33rd Floor</w:t>
            </w:r>
          </w:p>
        </w:tc>
        <w:tc>
          <w:tcPr>
            <w:tcW w:w="3400" w:type="dxa"/>
            <w:vAlign w:val="bottom"/>
            <w:tcBorders>
              <w:right w:val="single" w:sz="8" w:color="auto"/>
            </w:tcBorders>
            <w:shd w:val="clear" w:color="auto" w:fill="C6F4F9"/>
          </w:tcPr>
          <w:p>
            <w:pPr>
              <w:spacing w:after="0"/>
              <w:rPr>
                <w:sz w:val="17"/>
                <w:szCs w:val="17"/>
                <w:color w:val="auto"/>
              </w:rPr>
            </w:pPr>
          </w:p>
        </w:tc>
      </w:tr>
      <w:tr>
        <w:trPr>
          <w:trHeight w:val="228"/>
        </w:trPr>
        <w:tc>
          <w:tcPr>
            <w:tcW w:w="2860" w:type="dxa"/>
            <w:vAlign w:val="bottom"/>
            <w:tcBorders>
              <w:left w:val="single" w:sz="8" w:color="auto"/>
              <w:bottom w:val="single" w:sz="8" w:color="auto"/>
              <w:right w:val="single" w:sz="8" w:color="auto"/>
            </w:tcBorders>
            <w:shd w:val="clear" w:color="auto" w:fill="C6F4F9"/>
          </w:tcPr>
          <w:p>
            <w:pPr>
              <w:spacing w:after="0"/>
              <w:rPr>
                <w:sz w:val="19"/>
                <w:szCs w:val="19"/>
                <w:color w:val="auto"/>
              </w:rPr>
            </w:pPr>
          </w:p>
        </w:tc>
        <w:tc>
          <w:tcPr>
            <w:tcW w:w="4980" w:type="dxa"/>
            <w:vAlign w:val="bottom"/>
            <w:tcBorders>
              <w:bottom w:val="single" w:sz="8" w:color="auto"/>
              <w:right w:val="single" w:sz="8" w:color="auto"/>
            </w:tcBorders>
            <w:shd w:val="clear" w:color="auto" w:fill="C6F4F9"/>
          </w:tcPr>
          <w:p>
            <w:pPr>
              <w:ind w:left="20"/>
              <w:spacing w:after="0"/>
              <w:rPr>
                <w:sz w:val="20"/>
                <w:szCs w:val="20"/>
                <w:color w:val="auto"/>
              </w:rPr>
            </w:pPr>
            <w:r>
              <w:rPr>
                <w:rFonts w:ascii="Arial" w:cs="Arial" w:eastAsia="Arial" w:hAnsi="Arial"/>
                <w:sz w:val="18"/>
                <w:szCs w:val="18"/>
                <w:color w:val="auto"/>
              </w:rPr>
              <w:t>New York, New York 10055</w:t>
            </w:r>
          </w:p>
        </w:tc>
        <w:tc>
          <w:tcPr>
            <w:tcW w:w="3400" w:type="dxa"/>
            <w:vAlign w:val="bottom"/>
            <w:tcBorders>
              <w:bottom w:val="single" w:sz="8" w:color="auto"/>
              <w:right w:val="single" w:sz="8" w:color="auto"/>
            </w:tcBorders>
            <w:shd w:val="clear" w:color="auto" w:fill="C6F4F9"/>
          </w:tcPr>
          <w:p>
            <w:pPr>
              <w:spacing w:after="0"/>
              <w:rPr>
                <w:sz w:val="19"/>
                <w:szCs w:val="19"/>
                <w:color w:val="auto"/>
              </w:rPr>
            </w:pPr>
          </w:p>
        </w:tc>
      </w:tr>
      <w:tr>
        <w:trPr>
          <w:trHeight w:val="184"/>
        </w:trPr>
        <w:tc>
          <w:tcPr>
            <w:tcW w:w="28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8"/>
                <w:szCs w:val="18"/>
                <w:color w:val="auto"/>
              </w:rPr>
              <w:t>Christopher G. Lanning</w:t>
            </w:r>
          </w:p>
        </w:tc>
        <w:tc>
          <w:tcPr>
            <w:tcW w:w="498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8"/>
                <w:szCs w:val="18"/>
                <w:color w:val="auto"/>
              </w:rPr>
              <w:t>55 East 52nd Street</w:t>
            </w:r>
          </w:p>
        </w:tc>
        <w:tc>
          <w:tcPr>
            <w:tcW w:w="340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United States</w:t>
            </w:r>
          </w:p>
        </w:tc>
      </w:tr>
      <w:tr>
        <w:trPr>
          <w:trHeight w:val="203"/>
        </w:trPr>
        <w:tc>
          <w:tcPr>
            <w:tcW w:w="2860" w:type="dxa"/>
            <w:vAlign w:val="bottom"/>
            <w:tcBorders>
              <w:left w:val="single" w:sz="8" w:color="auto"/>
              <w:right w:val="single" w:sz="8" w:color="auto"/>
            </w:tcBorders>
          </w:tcPr>
          <w:p>
            <w:pPr>
              <w:spacing w:after="0"/>
              <w:rPr>
                <w:sz w:val="17"/>
                <w:szCs w:val="17"/>
                <w:color w:val="auto"/>
              </w:rPr>
            </w:pPr>
          </w:p>
        </w:tc>
        <w:tc>
          <w:tcPr>
            <w:tcW w:w="49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33rd Floor</w:t>
            </w:r>
          </w:p>
        </w:tc>
        <w:tc>
          <w:tcPr>
            <w:tcW w:w="3400" w:type="dxa"/>
            <w:vAlign w:val="bottom"/>
            <w:tcBorders>
              <w:right w:val="single" w:sz="8" w:color="auto"/>
            </w:tcBorders>
          </w:tcPr>
          <w:p>
            <w:pPr>
              <w:spacing w:after="0"/>
              <w:rPr>
                <w:sz w:val="17"/>
                <w:szCs w:val="17"/>
                <w:color w:val="auto"/>
              </w:rPr>
            </w:pPr>
          </w:p>
        </w:tc>
      </w:tr>
      <w:tr>
        <w:trPr>
          <w:trHeight w:val="228"/>
        </w:trPr>
        <w:tc>
          <w:tcPr>
            <w:tcW w:w="2860" w:type="dxa"/>
            <w:vAlign w:val="bottom"/>
            <w:tcBorders>
              <w:left w:val="single" w:sz="8" w:color="auto"/>
              <w:bottom w:val="single" w:sz="8" w:color="auto"/>
              <w:right w:val="single" w:sz="8" w:color="auto"/>
            </w:tcBorders>
          </w:tcPr>
          <w:p>
            <w:pPr>
              <w:spacing w:after="0"/>
              <w:rPr>
                <w:sz w:val="19"/>
                <w:szCs w:val="19"/>
                <w:color w:val="auto"/>
              </w:rPr>
            </w:pPr>
          </w:p>
        </w:tc>
        <w:tc>
          <w:tcPr>
            <w:tcW w:w="4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New York 10055</w:t>
            </w:r>
          </w:p>
        </w:tc>
        <w:tc>
          <w:tcPr>
            <w:tcW w:w="3400" w:type="dxa"/>
            <w:vAlign w:val="bottom"/>
            <w:tcBorders>
              <w:bottom w:val="single" w:sz="8" w:color="auto"/>
              <w:right w:val="single" w:sz="8" w:color="auto"/>
            </w:tcBorders>
          </w:tcPr>
          <w:p>
            <w:pPr>
              <w:spacing w:after="0"/>
              <w:rPr>
                <w:sz w:val="19"/>
                <w:szCs w:val="19"/>
                <w:color w:val="auto"/>
              </w:rPr>
            </w:pPr>
          </w:p>
        </w:tc>
      </w:tr>
      <w:tr>
        <w:trPr>
          <w:trHeight w:val="1141"/>
        </w:trPr>
        <w:tc>
          <w:tcPr>
            <w:tcW w:w="28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5"/>
      <w:numFmt w:val="bullet"/>
      <w:start w:val="1"/>
    </w:lvl>
  </w:abstractNum>
  <w:abstractNum w:abstractNumId="3">
    <w:nsid w:val="4DB127F8"/>
    <w:multiLevelType w:val="hybridMultilevel"/>
    <w:lvl w:ilvl="0">
      <w:lvlJc w:val="left"/>
      <w:lvlText w:val="%1"/>
      <w:numFmt w:val="decimal"/>
      <w:start w:val="1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2"/>
      <w:numFmt w:val="bullet"/>
      <w:start w:val="1"/>
    </w:lvl>
  </w:abstractNum>
  <w:abstractNum w:abstractNumId="10">
    <w:nsid w:val="109CF92E"/>
    <w:multiLevelType w:val="hybridMultilevel"/>
    <w:lvl w:ilvl="0">
      <w:lvlJc w:val="left"/>
      <w:lvlText w:val="3"/>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2026-05-15T15:18:03Z</dcterms:created>
  <dcterms:modified xsi:type="dcterms:W3CDTF">2026-05-15T15:18:03Z</dcterms:modified>
</cp:coreProperties>
</file>