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ALIGNMENT HEALTHCARE,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001-40295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46-5596242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 W. Town and Country Road, Suite 1600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California 92868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310-2247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ALHC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29, 2026, Alignment Healthcare, Inc. issued a press release announcing its financial results for its third quarter ended September 30, 2026. A copy of the press release is furnished herewith as Exhibit 99.1 and incorporated herein by reference.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and in the accompanying exhibit are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regardless of any general incorporation language in such filing,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391"/>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October 29,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69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96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w w:val="98"/>
              </w:rPr>
              <w:t>Alignment Healthcare, Inc.</w:t>
            </w:r>
          </w:p>
        </w:tc>
      </w:tr>
      <w:tr>
        <w:trPr>
          <w:trHeight w:val="68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396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James M. Head</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M. Head</w:t>
            </w:r>
          </w:p>
        </w:tc>
        <w:tc>
          <w:tcPr>
            <w:tcW w:w="80" w:type="dxa"/>
            <w:vAlign w:val="bottom"/>
          </w:tcPr>
          <w:p>
            <w:pPr>
              <w:spacing w:after="0"/>
              <w:rPr>
                <w:sz w:val="20"/>
                <w:szCs w:val="20"/>
                <w:color w:val="auto"/>
              </w:rPr>
            </w:pPr>
          </w:p>
        </w:tc>
      </w:tr>
      <w:tr>
        <w:trPr>
          <w:trHeight w:val="243"/>
        </w:trPr>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5"/>
          <w:szCs w:val="25"/>
          <w:b w:val="1"/>
          <w:bCs w:val="1"/>
          <w:color w:val="auto"/>
        </w:rPr>
        <w:t>Alignment Healthcare Reports Third Quarter 2026 Results, Updates Full-Year Outlook</w:t>
      </w:r>
    </w:p>
    <w:p>
      <w:pPr>
        <w:spacing w:after="0" w:line="223" w:lineRule="exact"/>
        <w:rPr>
          <w:sz w:val="20"/>
          <w:szCs w:val="20"/>
          <w:color w:val="auto"/>
        </w:rPr>
      </w:pPr>
    </w:p>
    <w:p>
      <w:pPr>
        <w:ind w:left="540" w:right="2920"/>
        <w:spacing w:after="0" w:line="243" w:lineRule="auto"/>
        <w:rPr>
          <w:sz w:val="20"/>
          <w:szCs w:val="20"/>
          <w:color w:val="auto"/>
        </w:rPr>
      </w:pPr>
      <w:r>
        <w:rPr>
          <w:rFonts w:ascii="Times New Roman" w:cs="Times New Roman" w:eastAsia="Times New Roman" w:hAnsi="Times New Roman"/>
          <w:sz w:val="22"/>
          <w:szCs w:val="22"/>
          <w:i w:val="1"/>
          <w:iCs w:val="1"/>
          <w:color w:val="auto"/>
        </w:rPr>
        <w:t>Reports third-quarter revenue of $1.36 billion, representing 36.7% year-over-year growth Grows health plan membership 31.2% year-over-year to 301,200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ind w:right="560"/>
        <w:spacing w:after="0"/>
        <w:rPr>
          <w:sz w:val="20"/>
          <w:szCs w:val="20"/>
          <w:color w:val="auto"/>
        </w:rPr>
      </w:pPr>
      <w:r>
        <w:rPr>
          <w:rFonts w:ascii="Times New Roman" w:cs="Times New Roman" w:eastAsia="Times New Roman" w:hAnsi="Times New Roman"/>
          <w:sz w:val="22"/>
          <w:szCs w:val="22"/>
          <w:i w:val="1"/>
          <w:iCs w:val="1"/>
          <w:color w:val="auto"/>
        </w:rPr>
        <w:t>Issues fourth-quarter guidance and lowers full-year 2026 adjusted gross profit and adjusted EBITDA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ORANGE, Calif., Oct. 29, 2026 (GLOBE NEWSWIRE) -- Alignment Healthcare, Inc. (NASDAQ: ALHC), today reported financial results for its third quarter ended Sept. 30, 2026.</w:t>
      </w:r>
    </w:p>
    <w:p>
      <w:pPr>
        <w:spacing w:after="0" w:line="15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“Our third-quarter membership and revenue growth demonstrate continued demand for Alignment’s products and services, while medical trends ran higher than expected,” said John Kao, chairman and CEO. “We are taking a prudent approach to the fourth quarter and lowering our outlook based on current headwinds. Our revised guidance does not assume any benefit from the actions underway. We are confident we can deliver against these expectations. Our focus now is on execution and taking the steps necessary to drive more consistent performance as we scale and deliver profitable growth over the long term.”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Financial Highlights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All comparisons, unless otherwise noted, are to the three months ended September 30, 2025.</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Health plan membership at the end of the quarter was approximately 301,200, up 31.2%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Total revenue was $1,358.3 million, up 36.7%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Adjusted gross profit* was $142.2 million, up 11.6% year-over-year, and loss from operations was $3.8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1080" w:right="100"/>
        <w:spacing w:after="0" w:line="244" w:lineRule="auto"/>
        <w:rPr>
          <w:sz w:val="20"/>
          <w:szCs w:val="20"/>
          <w:color w:val="auto"/>
        </w:rPr>
      </w:pPr>
      <w:r>
        <w:rPr>
          <w:rFonts w:ascii="Times New Roman" w:cs="Times New Roman" w:eastAsia="Times New Roman" w:hAnsi="Times New Roman"/>
          <w:sz w:val="22"/>
          <w:szCs w:val="22"/>
          <w:color w:val="auto"/>
        </w:rPr>
        <w:t>Adjusted gross profit excludes depreciation and amortization of $8.1 million and selling, general, and administrative expenses of $136.4 million (which includes $16.0 million of equity-based compensation). Adjusted gross profit also excludes $1.5 million of equity-based compensation recorded within medical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-424815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right="80"/>
        <w:spacing w:after="0" w:line="239" w:lineRule="auto"/>
        <w:rPr>
          <w:sz w:val="20"/>
          <w:szCs w:val="20"/>
          <w:color w:val="auto"/>
        </w:rPr>
      </w:pPr>
      <w:r>
        <w:rPr>
          <w:rFonts w:ascii="Times New Roman" w:cs="Times New Roman" w:eastAsia="Times New Roman" w:hAnsi="Times New Roman"/>
          <w:sz w:val="22"/>
          <w:szCs w:val="22"/>
          <w:color w:val="auto"/>
        </w:rPr>
        <w:t>Medical benefits ratio based on adjusted gross profit was 89.5%, an increase of approximately 240 basis points year-over-year. The medical benefits ratio result reflects previously expected changes in Part D seasonality and timing of clinical investments, along with higher costs from elevated appeals and disputes and increased costs within catastrophic cases and skilled nursing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-574675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Adjusted EBITDA* of $21.8 million represented an adjusted EBITDA margin of 1.6% and declined 32.8% year-over-year, while net loss was $8.1 million, compared to net income of $3.7 million the year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right="360" w:firstLine="8"/>
        <w:spacing w:after="0" w:line="258"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“Third Quarter 2026 Non-GAAP Reconciliation Tables” below for more information on the non-GAAP financial measures reported here as supplemental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Fourth Quarter and Fiscal Year 2026</w:t>
      </w:r>
    </w:p>
    <w:p>
      <w:pPr>
        <w:spacing w:after="0" w:line="1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1"/>
          <w:szCs w:val="21"/>
          <w:color w:val="auto"/>
        </w:rPr>
        <w:t>Full-year health plan membership and revenue guidance was raised to reflect continued sales momentum, while adjusted gross profit and adjusted EBITDA guidance was lowered to reflect higher medical costs experienced during the third quarter.</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Three Months Ending</w:t>
            </w:r>
          </w:p>
        </w:tc>
        <w:tc>
          <w:tcPr>
            <w:tcW w:w="3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Twelve Months Ending</w:t>
            </w:r>
          </w:p>
        </w:tc>
        <w:tc>
          <w:tcPr>
            <w:tcW w:w="0" w:type="dxa"/>
            <w:vAlign w:val="bottom"/>
          </w:tcPr>
          <w:p>
            <w:pPr>
              <w:spacing w:after="0"/>
              <w:rPr>
                <w:sz w:val="1"/>
                <w:szCs w:val="1"/>
                <w:color w:val="auto"/>
              </w:rPr>
            </w:pPr>
          </w:p>
        </w:tc>
      </w:tr>
      <w:tr>
        <w:trPr>
          <w:trHeight w:val="27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i w:val="1"/>
                <w:iCs w:val="1"/>
                <w:color w:val="auto"/>
              </w:rPr>
              <w:t>$ Millions</w:t>
            </w:r>
          </w:p>
        </w:tc>
        <w:tc>
          <w:tcPr>
            <w:tcW w:w="3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December 31, 2026</w:t>
            </w:r>
          </w:p>
        </w:tc>
        <w:tc>
          <w:tcPr>
            <w:tcW w:w="3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December 31, 2026</w:t>
            </w:r>
          </w:p>
        </w:tc>
        <w:tc>
          <w:tcPr>
            <w:tcW w:w="0" w:type="dxa"/>
            <w:vAlign w:val="bottom"/>
          </w:tcPr>
          <w:p>
            <w:pPr>
              <w:spacing w:after="0"/>
              <w:rPr>
                <w:sz w:val="1"/>
                <w:szCs w:val="1"/>
                <w:color w:val="auto"/>
              </w:rPr>
            </w:pPr>
          </w:p>
        </w:tc>
      </w:tr>
      <w:tr>
        <w:trPr>
          <w:trHeight w:val="234"/>
        </w:trPr>
        <w:tc>
          <w:tcPr>
            <w:tcW w:w="4580" w:type="dxa"/>
            <w:vAlign w:val="bottom"/>
            <w:gridSpan w:val="2"/>
            <w:vMerge w:val="continue"/>
          </w:tcPr>
          <w:p>
            <w:pPr>
              <w:spacing w:after="0"/>
              <w:rPr>
                <w:sz w:val="20"/>
                <w:szCs w:val="20"/>
                <w:color w:val="auto"/>
              </w:rPr>
            </w:pPr>
          </w:p>
        </w:tc>
        <w:tc>
          <w:tcPr>
            <w:tcW w:w="3240" w:type="dxa"/>
            <w:vAlign w:val="bottom"/>
          </w:tcPr>
          <w:p>
            <w:pPr>
              <w:jc w:val="center"/>
              <w:spacing w:after="0" w:line="233" w:lineRule="exact"/>
              <w:rPr>
                <w:sz w:val="20"/>
                <w:szCs w:val="20"/>
                <w:color w:val="auto"/>
              </w:rPr>
            </w:pPr>
            <w:r>
              <w:rPr>
                <w:rFonts w:ascii="Times New Roman" w:cs="Times New Roman" w:eastAsia="Times New Roman" w:hAnsi="Times New Roman"/>
                <w:sz w:val="22"/>
                <w:szCs w:val="22"/>
                <w:b w:val="1"/>
                <w:bCs w:val="1"/>
                <w:color w:val="auto"/>
                <w:w w:val="98"/>
              </w:rPr>
              <w:t>No Less Than</w:t>
            </w:r>
          </w:p>
        </w:tc>
        <w:tc>
          <w:tcPr>
            <w:tcW w:w="3300" w:type="dxa"/>
            <w:vAlign w:val="bottom"/>
          </w:tcPr>
          <w:p>
            <w:pPr>
              <w:jc w:val="center"/>
              <w:spacing w:after="0" w:line="233" w:lineRule="exact"/>
              <w:rPr>
                <w:sz w:val="20"/>
                <w:szCs w:val="20"/>
                <w:color w:val="auto"/>
              </w:rPr>
            </w:pPr>
            <w:r>
              <w:rPr>
                <w:rFonts w:ascii="Times New Roman" w:cs="Times New Roman" w:eastAsia="Times New Roman" w:hAnsi="Times New Roman"/>
                <w:sz w:val="22"/>
                <w:szCs w:val="22"/>
                <w:b w:val="1"/>
                <w:bCs w:val="1"/>
                <w:color w:val="auto"/>
                <w:w w:val="98"/>
              </w:rPr>
              <w:t>No Less Than</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Health Plan Membership</w:t>
            </w:r>
          </w:p>
        </w:tc>
        <w:tc>
          <w:tcPr>
            <w:tcW w:w="32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gridSpan w:val="2"/>
            <w:vMerge w:val="continue"/>
          </w:tcPr>
          <w:p>
            <w:pPr>
              <w:spacing w:after="0"/>
              <w:rPr>
                <w:sz w:val="21"/>
                <w:szCs w:val="21"/>
                <w:color w:val="auto"/>
              </w:rPr>
            </w:pPr>
          </w:p>
        </w:tc>
        <w:tc>
          <w:tcPr>
            <w:tcW w:w="3240" w:type="dxa"/>
            <w:vAlign w:val="bottom"/>
          </w:tcPr>
          <w:p>
            <w:pPr>
              <w:jc w:val="center"/>
              <w:spacing w:after="0" w:line="249" w:lineRule="exact"/>
              <w:rPr>
                <w:sz w:val="20"/>
                <w:szCs w:val="20"/>
                <w:color w:val="auto"/>
              </w:rPr>
            </w:pPr>
            <w:r>
              <w:rPr>
                <w:rFonts w:ascii="Times New Roman" w:cs="Times New Roman" w:eastAsia="Times New Roman" w:hAnsi="Times New Roman"/>
                <w:sz w:val="22"/>
                <w:szCs w:val="22"/>
                <w:color w:val="auto"/>
                <w:w w:val="97"/>
              </w:rPr>
              <w:t>305,000</w:t>
            </w:r>
          </w:p>
        </w:tc>
        <w:tc>
          <w:tcPr>
            <w:tcW w:w="3300" w:type="dxa"/>
            <w:vAlign w:val="bottom"/>
          </w:tcPr>
          <w:p>
            <w:pPr>
              <w:jc w:val="center"/>
              <w:spacing w:after="0" w:line="249" w:lineRule="exact"/>
              <w:rPr>
                <w:sz w:val="20"/>
                <w:szCs w:val="20"/>
                <w:color w:val="auto"/>
              </w:rPr>
            </w:pPr>
            <w:r>
              <w:rPr>
                <w:rFonts w:ascii="Times New Roman" w:cs="Times New Roman" w:eastAsia="Times New Roman" w:hAnsi="Times New Roman"/>
                <w:sz w:val="22"/>
                <w:szCs w:val="22"/>
                <w:color w:val="auto"/>
                <w:w w:val="97"/>
              </w:rPr>
              <w:t>305,000</w:t>
            </w:r>
          </w:p>
        </w:tc>
        <w:tc>
          <w:tcPr>
            <w:tcW w:w="0" w:type="dxa"/>
            <w:vAlign w:val="bottom"/>
          </w:tcPr>
          <w:p>
            <w:pPr>
              <w:spacing w:after="0"/>
              <w:rPr>
                <w:sz w:val="1"/>
                <w:szCs w:val="1"/>
                <w:color w:val="auto"/>
              </w:rPr>
            </w:pPr>
          </w:p>
        </w:tc>
      </w:tr>
      <w:tr>
        <w:trPr>
          <w:trHeight w:val="279"/>
        </w:trPr>
        <w:tc>
          <w:tcPr>
            <w:tcW w:w="4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Revenue</w:t>
            </w:r>
          </w:p>
        </w:tc>
        <w:tc>
          <w:tcPr>
            <w:tcW w:w="3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$1,316</w:t>
            </w:r>
          </w:p>
        </w:tc>
        <w:tc>
          <w:tcPr>
            <w:tcW w:w="3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$5,245</w:t>
            </w:r>
          </w:p>
        </w:tc>
        <w:tc>
          <w:tcPr>
            <w:tcW w:w="0" w:type="dxa"/>
            <w:vAlign w:val="bottom"/>
          </w:tcPr>
          <w:p>
            <w:pPr>
              <w:spacing w:after="0"/>
              <w:rPr>
                <w:sz w:val="1"/>
                <w:szCs w:val="1"/>
                <w:color w:val="auto"/>
              </w:rPr>
            </w:pPr>
          </w:p>
        </w:tc>
      </w:tr>
      <w:tr>
        <w:trPr>
          <w:trHeight w:val="324"/>
        </w:trPr>
        <w:tc>
          <w:tcPr>
            <w:tcW w:w="4580" w:type="dxa"/>
            <w:vAlign w:val="bottom"/>
            <w:gridSpan w:val="2"/>
          </w:tcPr>
          <w:p>
            <w:pPr>
              <w:spacing w:after="0" w:line="324" w:lineRule="exact"/>
              <w:rPr>
                <w:sz w:val="20"/>
                <w:szCs w:val="20"/>
                <w:color w:val="auto"/>
              </w:rPr>
            </w:pPr>
            <w:r>
              <w:rPr>
                <w:rFonts w:ascii="Times New Roman" w:cs="Times New Roman" w:eastAsia="Times New Roman" w:hAnsi="Times New Roman"/>
                <w:sz w:val="22"/>
                <w:szCs w:val="22"/>
                <w:color w:val="auto"/>
              </w:rPr>
              <w:t>Adjusted Gross Profit</w:t>
            </w:r>
            <w:r>
              <w:rPr>
                <w:rFonts w:ascii="Times New Roman" w:cs="Times New Roman" w:eastAsia="Times New Roman" w:hAnsi="Times New Roman"/>
                <w:sz w:val="35"/>
                <w:szCs w:val="35"/>
                <w:color w:val="auto"/>
                <w:vertAlign w:val="superscript"/>
              </w:rPr>
              <w:t>(1)</w:t>
            </w:r>
          </w:p>
        </w:tc>
        <w:tc>
          <w:tcPr>
            <w:tcW w:w="3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$104</w:t>
            </w:r>
          </w:p>
        </w:tc>
        <w:tc>
          <w:tcPr>
            <w:tcW w:w="3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$575</w:t>
            </w:r>
          </w:p>
        </w:tc>
        <w:tc>
          <w:tcPr>
            <w:tcW w:w="0" w:type="dxa"/>
            <w:vAlign w:val="bottom"/>
          </w:tcPr>
          <w:p>
            <w:pPr>
              <w:spacing w:after="0"/>
              <w:rPr>
                <w:sz w:val="1"/>
                <w:szCs w:val="1"/>
                <w:color w:val="auto"/>
              </w:rPr>
            </w:pPr>
          </w:p>
        </w:tc>
      </w:tr>
      <w:tr>
        <w:trPr>
          <w:trHeight w:val="475"/>
        </w:trPr>
        <w:tc>
          <w:tcPr>
            <w:tcW w:w="4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35"/>
                <w:szCs w:val="35"/>
                <w:color w:val="auto"/>
                <w:vertAlign w:val="superscript"/>
              </w:rPr>
              <w:t>(1)</w:t>
            </w:r>
          </w:p>
        </w:tc>
        <w:tc>
          <w:tcPr>
            <w:tcW w:w="3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$(28)</w:t>
            </w:r>
          </w:p>
        </w:tc>
        <w:tc>
          <w:tcPr>
            <w:tcW w:w="3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2914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right="240" w:hanging="412"/>
        <w:spacing w:after="0" w:line="29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and adjusted EBITDA are non-GAAP financial measures presented as supplemental disclosure. We cannot provide estimated ranges for the most directly comparable GAAP measures without unreasonable efforts because of the uncertainty around certain items that may impact such GAAP measures, including equity-based compensation expense and depreciation and amortization, that are not within our control or cannot be reasonably predicted. See “</w:t>
      </w:r>
      <w:r>
        <w:rPr>
          <w:rFonts w:ascii="Times New Roman" w:cs="Times New Roman" w:eastAsia="Times New Roman" w:hAnsi="Times New Roman"/>
          <w:sz w:val="18"/>
          <w:szCs w:val="18"/>
          <w:i w:val="1"/>
          <w:iCs w:val="1"/>
          <w:color w:val="auto"/>
        </w:rPr>
        <w:t>Third Quarter 2026 Non-GAAP Reconciliation Tables” for additional information.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Non-GAAP Reconciliation Tables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Gross Profit</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is reconciled as follows:</w:t>
      </w:r>
    </w:p>
    <w:p>
      <w:pPr>
        <w:spacing w:after="0" w:line="101" w:lineRule="exact"/>
        <w:rPr>
          <w:sz w:val="20"/>
          <w:szCs w:val="20"/>
          <w:color w:val="auto"/>
        </w:rPr>
      </w:pPr>
    </w:p>
    <w:tbl>
      <w:tblPr>
        <w:tblLayout w:type="fixed"/>
        <w:tblInd w:w="5020" w:type="dxa"/>
        <w:tblCellMar>
          <w:top w:w="0" w:type="dxa"/>
          <w:left w:w="0" w:type="dxa"/>
          <w:bottom w:w="0" w:type="dxa"/>
          <w:right w:w="0" w:type="dxa"/>
        </w:tblCellMar>
      </w:tblPr>
      <w:tr>
        <w:trPr>
          <w:trHeight w:val="253"/>
        </w:trPr>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Nine Months Ended September</w:t>
            </w:r>
          </w:p>
        </w:tc>
      </w:tr>
      <w:tr>
        <w:trPr>
          <w:trHeight w:val="287"/>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120" w:type="dxa"/>
            <w:vAlign w:val="bottom"/>
          </w:tcPr>
          <w:p>
            <w:pPr>
              <w:spacing w:after="0"/>
              <w:rPr>
                <w:sz w:val="24"/>
                <w:szCs w:val="24"/>
                <w:color w:val="auto"/>
              </w:rPr>
            </w:pPr>
          </w:p>
        </w:tc>
        <w:tc>
          <w:tcPr>
            <w:tcW w:w="3000" w:type="dxa"/>
            <w:vAlign w:val="bottom"/>
            <w:tcBorders>
              <w:bottom w:val="single" w:sz="8" w:color="auto"/>
            </w:tcBorders>
          </w:tcPr>
          <w:p>
            <w:pPr>
              <w:jc w:val="right"/>
              <w:ind w:right="1272"/>
              <w:spacing w:after="0"/>
              <w:rPr>
                <w:sz w:val="20"/>
                <w:szCs w:val="20"/>
                <w:color w:val="auto"/>
              </w:rPr>
            </w:pPr>
            <w:r>
              <w:rPr>
                <w:rFonts w:ascii="Times New Roman" w:cs="Times New Roman" w:eastAsia="Times New Roman" w:hAnsi="Times New Roman"/>
                <w:sz w:val="22"/>
                <w:szCs w:val="22"/>
                <w:b w:val="1"/>
                <w:bCs w:val="1"/>
                <w:color w:val="auto"/>
              </w:rPr>
              <w:t>30,</w:t>
            </w:r>
          </w:p>
        </w:tc>
      </w:tr>
    </w:tbl>
    <w:p>
      <w:pPr>
        <w:sectPr>
          <w:pgSz w:w="11900" w:h="16838" w:orient="portrait"/>
          <w:cols w:equalWidth="0" w:num="1">
            <w:col w:w="11240"/>
          </w:cols>
          <w:pgMar w:left="320" w:top="108" w:right="339" w:bottom="0" w:gutter="0" w:footer="0" w:header="0"/>
        </w:sectPr>
      </w:pPr>
    </w:p>
    <w:bookmarkStart w:id="4" w:name="page5"/>
    <w:bookmarkEnd w:id="4"/>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0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50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Income (loss) from operations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(3,794)</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7,681</w:t>
            </w:r>
          </w:p>
        </w:tc>
        <w:tc>
          <w:tcPr>
            <w:tcW w:w="12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53,809</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25,036</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Add back:</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Equity-based compensation (medical expenses)</w:t>
            </w: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4,521</w:t>
            </w:r>
          </w:p>
        </w:tc>
        <w:tc>
          <w:tcPr>
            <w:tcW w:w="0" w:type="dxa"/>
            <w:vAlign w:val="bottom"/>
          </w:tcPr>
          <w:p>
            <w:pPr>
              <w:spacing w:after="0"/>
              <w:rPr>
                <w:sz w:val="1"/>
                <w:szCs w:val="1"/>
                <w:color w:val="auto"/>
              </w:rPr>
            </w:pPr>
          </w:p>
        </w:tc>
      </w:tr>
      <w:tr>
        <w:trPr>
          <w:trHeight w:val="279"/>
        </w:trPr>
        <w:tc>
          <w:tcPr>
            <w:tcW w:w="5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Depreciation (medical expenses)</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315"/>
        </w:trPr>
        <w:tc>
          <w:tcPr>
            <w:tcW w:w="5020" w:type="dxa"/>
            <w:vAlign w:val="bottom"/>
          </w:tcPr>
          <w:p>
            <w:pPr>
              <w:ind w:left="300"/>
              <w:spacing w:after="0" w:line="314" w:lineRule="exact"/>
              <w:rPr>
                <w:sz w:val="20"/>
                <w:szCs w:val="20"/>
                <w:color w:val="auto"/>
              </w:rPr>
            </w:pPr>
            <w:r>
              <w:rPr>
                <w:rFonts w:ascii="Times New Roman" w:cs="Times New Roman" w:eastAsia="Times New Roman" w:hAnsi="Times New Roman"/>
                <w:sz w:val="22"/>
                <w:szCs w:val="22"/>
                <w:color w:val="auto"/>
              </w:rPr>
              <w:t>Depreciation and amortization</w:t>
            </w:r>
            <w:r>
              <w:rPr>
                <w:rFonts w:ascii="Times New Roman" w:cs="Times New Roman" w:eastAsia="Times New Roman" w:hAnsi="Times New Roman"/>
                <w:sz w:val="35"/>
                <w:szCs w:val="35"/>
                <w:color w:val="auto"/>
                <w:vertAlign w:val="superscript"/>
              </w:rPr>
              <w:t>(2)</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8,108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22,574</w:t>
            </w:r>
          </w:p>
        </w:tc>
        <w:tc>
          <w:tcPr>
            <w:tcW w:w="0" w:type="dxa"/>
            <w:vAlign w:val="bottom"/>
          </w:tcPr>
          <w:p>
            <w:pPr>
              <w:spacing w:after="0"/>
              <w:rPr>
                <w:sz w:val="1"/>
                <w:szCs w:val="1"/>
                <w:color w:val="auto"/>
              </w:rPr>
            </w:pPr>
          </w:p>
        </w:tc>
      </w:tr>
      <w:tr>
        <w:trPr>
          <w:trHeight w:val="282"/>
        </w:trPr>
        <w:tc>
          <w:tcPr>
            <w:tcW w:w="5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136,373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110,015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388,514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317,643</w:t>
            </w:r>
          </w:p>
        </w:tc>
        <w:tc>
          <w:tcPr>
            <w:tcW w:w="0" w:type="dxa"/>
            <w:vAlign w:val="bottom"/>
          </w:tcPr>
          <w:p>
            <w:pPr>
              <w:spacing w:after="0"/>
              <w:rPr>
                <w:sz w:val="1"/>
                <w:szCs w:val="1"/>
                <w:color w:val="auto"/>
              </w:rPr>
            </w:pPr>
          </w:p>
        </w:tc>
      </w:tr>
      <w:tr>
        <w:trPr>
          <w:trHeight w:val="265"/>
        </w:trPr>
        <w:tc>
          <w:tcPr>
            <w:tcW w:w="5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Total add back</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145,999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119,775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417,163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344,812</w:t>
            </w:r>
          </w:p>
        </w:tc>
        <w:tc>
          <w:tcPr>
            <w:tcW w:w="0" w:type="dxa"/>
            <w:vAlign w:val="bottom"/>
          </w:tcPr>
          <w:p>
            <w:pPr>
              <w:spacing w:after="0"/>
              <w:rPr>
                <w:sz w:val="1"/>
                <w:szCs w:val="1"/>
                <w:color w:val="auto"/>
              </w:rPr>
            </w:pPr>
          </w:p>
        </w:tc>
      </w:tr>
      <w:tr>
        <w:trPr>
          <w:trHeight w:val="263"/>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profit</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142,205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127,456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470,972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369,848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20" w:right="40" w:hanging="412"/>
        <w:spacing w:after="0" w:line="313"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is a non-GAAP financial measure that is presented as supplemental disclosure, that we define as income (loss) from operations before depreciation and amortization, medical equity-based compensation expense, and selling, general, and administrative expenses.</w:t>
      </w:r>
    </w:p>
    <w:p>
      <w:pPr>
        <w:spacing w:after="0" w:line="297" w:lineRule="exact"/>
        <w:rPr>
          <w:rFonts w:ascii="Times New Roman" w:cs="Times New Roman" w:eastAsia="Times New Roman" w:hAnsi="Times New Roman"/>
          <w:sz w:val="18"/>
          <w:szCs w:val="18"/>
          <w:color w:val="auto"/>
        </w:rPr>
      </w:pPr>
    </w:p>
    <w:p>
      <w:pPr>
        <w:ind w:left="420" w:right="120" w:hanging="412"/>
        <w:spacing w:after="0" w:line="313"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for the nine months ended September 30, 2025, includes $0.6 million in impairment expense related to the remeasurement of goodwill associated with one of our subsidiaries. There was no impairment expense for the three months ended September 30, 2025.</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475"/>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is reconciled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020" w:type="dxa"/>
            <w:vAlign w:val="bottom"/>
            <w:gridSpan w:val="6"/>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Nine Months Ended September</w:t>
            </w:r>
          </w:p>
        </w:tc>
        <w:tc>
          <w:tcPr>
            <w:tcW w:w="0" w:type="dxa"/>
            <w:vAlign w:val="bottom"/>
          </w:tcPr>
          <w:p>
            <w:pPr>
              <w:spacing w:after="0"/>
              <w:rPr>
                <w:sz w:val="1"/>
                <w:szCs w:val="1"/>
                <w:color w:val="auto"/>
              </w:rPr>
            </w:pPr>
          </w:p>
        </w:tc>
      </w:tr>
      <w:tr>
        <w:trPr>
          <w:trHeight w:val="287"/>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gridSpan w:val="3"/>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4"/>
              </w:rPr>
              <w:t>30,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i w:val="1"/>
                <w:i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50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Net income (loss)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(8,052)</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3,729</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39,924</w:t>
            </w:r>
          </w:p>
        </w:tc>
        <w:tc>
          <w:tcPr>
            <w:tcW w:w="52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10,028</w:t>
            </w:r>
          </w:p>
        </w:tc>
        <w:tc>
          <w:tcPr>
            <w:tcW w:w="0" w:type="dxa"/>
            <w:vAlign w:val="bottom"/>
          </w:tcPr>
          <w:p>
            <w:pPr>
              <w:spacing w:after="0"/>
              <w:rPr>
                <w:sz w:val="1"/>
                <w:szCs w:val="1"/>
                <w:color w:val="auto"/>
              </w:rPr>
            </w:pPr>
          </w:p>
        </w:tc>
      </w:tr>
      <w:tr>
        <w:trPr>
          <w:trHeight w:val="243"/>
        </w:trPr>
        <w:tc>
          <w:tcPr>
            <w:tcW w:w="5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Net loss attributable to noncontrolling</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interest</w:t>
            </w:r>
          </w:p>
        </w:tc>
        <w:tc>
          <w:tcPr>
            <w:tcW w:w="3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Adjustments: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0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Interest expense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11,850</w:t>
            </w:r>
          </w:p>
        </w:tc>
        <w:tc>
          <w:tcPr>
            <w:tcW w:w="0" w:type="dxa"/>
            <w:vAlign w:val="bottom"/>
          </w:tcPr>
          <w:p>
            <w:pPr>
              <w:spacing w:after="0"/>
              <w:rPr>
                <w:sz w:val="1"/>
                <w:szCs w:val="1"/>
                <w:color w:val="auto"/>
              </w:rPr>
            </w:pPr>
          </w:p>
        </w:tc>
      </w:tr>
      <w:tr>
        <w:trPr>
          <w:trHeight w:val="315"/>
        </w:trPr>
        <w:tc>
          <w:tcPr>
            <w:tcW w:w="5020" w:type="dxa"/>
            <w:vAlign w:val="bottom"/>
          </w:tcPr>
          <w:p>
            <w:pPr>
              <w:ind w:left="420"/>
              <w:spacing w:after="0" w:line="314" w:lineRule="exact"/>
              <w:rPr>
                <w:sz w:val="20"/>
                <w:szCs w:val="20"/>
                <w:color w:val="auto"/>
              </w:rPr>
            </w:pPr>
            <w:r>
              <w:rPr>
                <w:rFonts w:ascii="Times New Roman" w:cs="Times New Roman" w:eastAsia="Times New Roman" w:hAnsi="Times New Roman"/>
                <w:sz w:val="22"/>
                <w:szCs w:val="22"/>
                <w:color w:val="auto"/>
              </w:rPr>
              <w:t>Depreciation and amortization</w:t>
            </w:r>
            <w:r>
              <w:rPr>
                <w:rFonts w:ascii="Times New Roman" w:cs="Times New Roman" w:eastAsia="Times New Roman" w:hAnsi="Times New Roman"/>
                <w:sz w:val="35"/>
                <w:szCs w:val="35"/>
                <w:color w:val="auto"/>
                <w:vertAlign w:val="superscript"/>
              </w:rPr>
              <w:t>(2)</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22,648</w:t>
            </w:r>
          </w:p>
        </w:tc>
        <w:tc>
          <w:tcPr>
            <w:tcW w:w="0" w:type="dxa"/>
            <w:vAlign w:val="bottom"/>
          </w:tcPr>
          <w:p>
            <w:pPr>
              <w:spacing w:after="0"/>
              <w:rPr>
                <w:sz w:val="1"/>
                <w:szCs w:val="1"/>
                <w:color w:val="auto"/>
              </w:rPr>
            </w:pPr>
          </w:p>
        </w:tc>
      </w:tr>
      <w:tr>
        <w:trPr>
          <w:trHeight w:val="279"/>
        </w:trPr>
        <w:tc>
          <w:tcPr>
            <w:tcW w:w="50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Income tax expense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3,247</w:t>
            </w:r>
          </w:p>
        </w:tc>
        <w:tc>
          <w:tcPr>
            <w:tcW w:w="0" w:type="dxa"/>
            <w:vAlign w:val="bottom"/>
          </w:tcPr>
          <w:p>
            <w:pPr>
              <w:spacing w:after="0"/>
              <w:rPr>
                <w:sz w:val="1"/>
                <w:szCs w:val="1"/>
                <w:color w:val="auto"/>
              </w:rPr>
            </w:pPr>
          </w:p>
        </w:tc>
      </w:tr>
      <w:tr>
        <w:trPr>
          <w:trHeight w:val="324"/>
        </w:trPr>
        <w:tc>
          <w:tcPr>
            <w:tcW w:w="5020" w:type="dxa"/>
            <w:vAlign w:val="bottom"/>
          </w:tcPr>
          <w:p>
            <w:pPr>
              <w:ind w:left="420"/>
              <w:spacing w:after="0" w:line="324" w:lineRule="exact"/>
              <w:rPr>
                <w:sz w:val="20"/>
                <w:szCs w:val="20"/>
                <w:color w:val="auto"/>
              </w:rPr>
            </w:pPr>
            <w:r>
              <w:rPr>
                <w:rFonts w:ascii="Times New Roman" w:cs="Times New Roman" w:eastAsia="Times New Roman" w:hAnsi="Times New Roman"/>
                <w:sz w:val="22"/>
                <w:szCs w:val="22"/>
                <w:color w:val="auto"/>
              </w:rPr>
              <w:t>Equity-based compensation</w:t>
            </w:r>
            <w:r>
              <w:rPr>
                <w:rFonts w:ascii="Times New Roman" w:cs="Times New Roman" w:eastAsia="Times New Roman" w:hAnsi="Times New Roman"/>
                <w:sz w:val="35"/>
                <w:szCs w:val="35"/>
                <w:color w:val="auto"/>
                <w:vertAlign w:val="superscript"/>
              </w:rPr>
              <w:t>(3)</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17,487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49,680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48,967</w:t>
            </w:r>
          </w:p>
        </w:tc>
        <w:tc>
          <w:tcPr>
            <w:tcW w:w="0" w:type="dxa"/>
            <w:vAlign w:val="bottom"/>
          </w:tcPr>
          <w:p>
            <w:pPr>
              <w:spacing w:after="0"/>
              <w:rPr>
                <w:sz w:val="1"/>
                <w:szCs w:val="1"/>
                <w:color w:val="auto"/>
              </w:rPr>
            </w:pPr>
          </w:p>
        </w:tc>
      </w:tr>
      <w:tr>
        <w:trPr>
          <w:trHeight w:val="315"/>
        </w:trPr>
        <w:tc>
          <w:tcPr>
            <w:tcW w:w="5020" w:type="dxa"/>
            <w:vAlign w:val="bottom"/>
          </w:tcPr>
          <w:p>
            <w:pPr>
              <w:ind w:left="420"/>
              <w:spacing w:after="0" w:line="314" w:lineRule="exact"/>
              <w:rPr>
                <w:sz w:val="20"/>
                <w:szCs w:val="20"/>
                <w:color w:val="auto"/>
              </w:rPr>
            </w:pPr>
            <w:r>
              <w:rPr>
                <w:rFonts w:ascii="Times New Roman" w:cs="Times New Roman" w:eastAsia="Times New Roman" w:hAnsi="Times New Roman"/>
                <w:sz w:val="22"/>
                <w:szCs w:val="22"/>
                <w:color w:val="auto"/>
              </w:rPr>
              <w:t>Litigation costs</w:t>
            </w:r>
            <w:r>
              <w:rPr>
                <w:rFonts w:ascii="Times New Roman" w:cs="Times New Roman" w:eastAsia="Times New Roman" w:hAnsi="Times New Roman"/>
                <w:sz w:val="35"/>
                <w:szCs w:val="35"/>
                <w:color w:val="auto"/>
                <w:vertAlign w:val="superscript"/>
              </w:rPr>
              <w:t>(4)</w:t>
            </w:r>
          </w:p>
        </w:tc>
        <w:tc>
          <w:tcPr>
            <w:tcW w:w="3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1,608</w:t>
            </w:r>
          </w:p>
        </w:tc>
        <w:tc>
          <w:tcPr>
            <w:tcW w:w="0" w:type="dxa"/>
            <w:vAlign w:val="bottom"/>
          </w:tcPr>
          <w:p>
            <w:pPr>
              <w:spacing w:after="0"/>
              <w:rPr>
                <w:sz w:val="1"/>
                <w:szCs w:val="1"/>
                <w:color w:val="auto"/>
              </w:rPr>
            </w:pPr>
          </w:p>
        </w:tc>
      </w:tr>
      <w:tr>
        <w:trPr>
          <w:trHeight w:val="282"/>
        </w:trPr>
        <w:tc>
          <w:tcPr>
            <w:tcW w:w="50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Gain on sale of property and equipment</w:t>
            </w:r>
          </w:p>
        </w:tc>
        <w:tc>
          <w:tcPr>
            <w:tcW w:w="3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21,808</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32,439</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127,804</w:t>
            </w: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98,530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420" w:right="20" w:hanging="412"/>
        <w:spacing w:after="0" w:line="297"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that is presented as supplemental disclosure, that we define as net income (loss) before interest expense, income taxes, depreciation and amortization expense, certain litigation costs, gains or losses on sale of property and equipment, and equity-based compensation expense.</w:t>
      </w:r>
    </w:p>
    <w:p>
      <w:pPr>
        <w:spacing w:after="0" w:line="311" w:lineRule="exact"/>
        <w:rPr>
          <w:rFonts w:ascii="Times New Roman" w:cs="Times New Roman" w:eastAsia="Times New Roman" w:hAnsi="Times New Roman"/>
          <w:sz w:val="18"/>
          <w:szCs w:val="18"/>
          <w:color w:val="auto"/>
        </w:rPr>
      </w:pPr>
    </w:p>
    <w:p>
      <w:pPr>
        <w:ind w:left="420" w:right="160" w:hanging="412"/>
        <w:spacing w:after="0" w:line="313"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for the nine months ended September 30, 2025 includes $0.6 million in impairment expense related to the remeasurement of goodwill associated with one of our subsidiaries. There was no impairment expense for the three months ended September 30, 2025.</w:t>
      </w:r>
    </w:p>
    <w:p>
      <w:pPr>
        <w:spacing w:after="0" w:line="29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equity-based compensation related to grants made in the applicable year.</w:t>
      </w:r>
    </w:p>
    <w:p>
      <w:pPr>
        <w:spacing w:after="0" w:line="387" w:lineRule="exact"/>
        <w:rPr>
          <w:rFonts w:ascii="Times New Roman" w:cs="Times New Roman" w:eastAsia="Times New Roman" w:hAnsi="Times New Roman"/>
          <w:sz w:val="18"/>
          <w:szCs w:val="18"/>
          <w:color w:val="auto"/>
        </w:rPr>
      </w:pPr>
    </w:p>
    <w:p>
      <w:pPr>
        <w:ind w:left="420" w:right="20" w:hanging="412"/>
        <w:spacing w:after="0" w:line="297"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Details</w:t>
      </w:r>
    </w:p>
    <w:p>
      <w:pPr>
        <w:spacing w:after="0" w:line="18"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 xml:space="preserve">The company will host a conference call at 5 p.m. EDT today to discuss these results and management’s outlook for future financial and operational performance. A live audio webcast will be available online at </w:t>
      </w:r>
      <w:r>
        <w:rPr>
          <w:rFonts w:ascii="Times New Roman" w:cs="Times New Roman" w:eastAsia="Times New Roman" w:hAnsi="Times New Roman"/>
          <w:sz w:val="22"/>
          <w:szCs w:val="22"/>
          <w:b w:val="1"/>
          <w:bCs w:val="1"/>
          <w:u w:val="single" w:color="auto"/>
          <w:color w:val="auto"/>
        </w:rPr>
        <w:t>https://ir.alignmenthealth.com/</w:t>
      </w:r>
      <w:r>
        <w:rPr>
          <w:rFonts w:ascii="Times New Roman" w:cs="Times New Roman" w:eastAsia="Times New Roman" w:hAnsi="Times New Roman"/>
          <w:sz w:val="22"/>
          <w:szCs w:val="22"/>
          <w:color w:val="auto"/>
        </w:rPr>
        <w:t xml:space="preserve">. At the start of the conference call, participants may access the webcast at the following link: </w:t>
      </w:r>
      <w:r>
        <w:rPr>
          <w:rFonts w:ascii="Times New Roman" w:cs="Times New Roman" w:eastAsia="Times New Roman" w:hAnsi="Times New Roman"/>
          <w:sz w:val="22"/>
          <w:szCs w:val="22"/>
          <w:u w:val="single" w:color="auto"/>
          <w:color w:val="auto"/>
        </w:rPr>
        <w:t>https://edge.media-server.com/mmc/p/o7dsxqqm</w:t>
      </w:r>
      <w:r>
        <w:rPr>
          <w:rFonts w:ascii="Times New Roman" w:cs="Times New Roman" w:eastAsia="Times New Roman" w:hAnsi="Times New Roman"/>
          <w:sz w:val="22"/>
          <w:szCs w:val="22"/>
          <w:color w:val="auto"/>
        </w:rPr>
        <w:t>. A replay of the call will be available via webcast for on-demand listening shortly after the completion of the call, at the same web links, and will remain available for approximately 12 months.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Alignment Health</w:t>
      </w:r>
    </w:p>
    <w:p>
      <w:pPr>
        <w:spacing w:after="0" w:line="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Alignment Health is championing a new path in senior care that empowers members to age well and live their most vibrant lives. A consumer brand name of Alignment Healthcare (NASDAQ: ALHC), Alignment Health’s mission-focused team makes high-quality, low-cost care a reality for its Medicare Advantage members every day. Based in California, the company partners with</w:t>
      </w:r>
    </w:p>
    <w:p>
      <w:pPr>
        <w:sectPr>
          <w:pgSz w:w="11900" w:h="16843" w:orient="portrait"/>
          <w:cols w:equalWidth="0" w:num="1">
            <w:col w:w="11160"/>
          </w:cols>
          <w:pgMar w:left="320" w:top="108" w:right="41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nationally recognized and trusted local providers to deliver coordinated care, powered by its customized care model, 24/7</w:t>
      </w:r>
    </w:p>
    <w:p>
      <w:pPr>
        <w:spacing w:after="0" w:line="20" w:lineRule="exact"/>
        <w:rPr>
          <w:sz w:val="20"/>
          <w:szCs w:val="20"/>
          <w:color w:val="auto"/>
        </w:rPr>
      </w:pPr>
    </w:p>
    <w:p>
      <w:pPr>
        <w:ind w:right="80"/>
        <w:spacing w:after="0" w:line="209" w:lineRule="auto"/>
        <w:rPr>
          <w:sz w:val="20"/>
          <w:szCs w:val="20"/>
          <w:color w:val="auto"/>
        </w:rPr>
      </w:pPr>
      <w:r>
        <w:rPr>
          <w:rFonts w:ascii="Times New Roman" w:cs="Times New Roman" w:eastAsia="Times New Roman" w:hAnsi="Times New Roman"/>
          <w:sz w:val="22"/>
          <w:szCs w:val="22"/>
          <w:color w:val="auto"/>
        </w:rPr>
        <w:t>concierge care team and purpose-built technology, AVA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As it expands its offerings and grows its national footprint, Alignment upholds its core values of leading with a serving heart and putting the senior first. For more information, visit </w:t>
      </w:r>
      <w:r>
        <w:rPr>
          <w:rFonts w:ascii="Times New Roman" w:cs="Times New Roman" w:eastAsia="Times New Roman" w:hAnsi="Times New Roman"/>
          <w:sz w:val="22"/>
          <w:szCs w:val="22"/>
          <w:u w:val="single" w:color="auto"/>
          <w:color w:val="auto"/>
        </w:rPr>
        <w:t>www.alignmenthealth.com</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This release contains forward-looking statements within the meaning of Section 27A of the Securities Act of 1933, as amended, and Section 21E of the Securities Exchange Act of 1934, as amended, and the Private Securities Litigation Reform Act of 1995, as amended. These forward-looking statements include statements regarding our future growth and our financial outlook for the quarter and year ending Dec. 31, 2026. Forward-looking statements are subject to risks and uncertainties and are based on assumptions that may prove to be inaccurate, which could cause actual results to differ materially from those expected or implied by the forward-looking statements. Actual results may differ materially from the results predicted, and reported results should not be considered as an indication of future performance. Important risks and uncertainties that could cause our actual results and financial condition to differ materially from those indicated in the forward-looking statements include, among others, the following: our ability to successfully execute our business plan and achieve anticipated operational improvements and financial results; our ability to manage changes in medical costs and healthcare utilization, and our ability to accurately estimate, price for and manage such costs and utilization; our ability to attract new members and enter new markets, including the need for certain governmental approvals; our ability to achieve and maintain a high rating for our plans on the Five Star Quality Rating System; our ability to develop and maintain satisfactory relationships with care providers that service our members; risks associated with being a government contractor, including potential federal reductions in MA funding; changes in laws and regulations applicable to our business model; risks related to our indebtedness; changes in market or industry conditions and receptivity to our technology and services; results of litigation or a security incident; and the impact of shortages of qualified personnel and related increases in our labor costs. For a detailed discussion of the risk factors that could affect our actual results, please refer to the risk factors identified in our Annual Report on Form 10-K for the year ended Dec. 31, 2025, our Quarterly Report on Form 10-Q for the quarter ended September 30, 2026 and the other periodic reports we file with the SEC. All information provided in this release and in the attachments is as of the date hereof, and we undertake no duty to update or revise this information unless required by law.</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(in thousands, except par value and share amounts)</w:t>
      </w: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(Unaudited)</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860" w:type="dxa"/>
            <w:vAlign w:val="bottom"/>
          </w:tcPr>
          <w:p>
            <w:pPr>
              <w:spacing w:after="0"/>
              <w:rPr>
                <w:sz w:val="21"/>
                <w:szCs w:val="21"/>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14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0" w:type="dxa"/>
            <w:vAlign w:val="bottom"/>
          </w:tcPr>
          <w:p>
            <w:pPr>
              <w:spacing w:after="0"/>
              <w:rPr>
                <w:sz w:val="1"/>
                <w:szCs w:val="1"/>
                <w:color w:val="auto"/>
              </w:rPr>
            </w:pPr>
          </w:p>
        </w:tc>
      </w:tr>
      <w:tr>
        <w:trPr>
          <w:trHeight w:val="287"/>
        </w:trPr>
        <w:tc>
          <w:tcPr>
            <w:tcW w:w="7860" w:type="dxa"/>
            <w:vAlign w:val="bottom"/>
            <w:vMerge w:val="restart"/>
          </w:tcPr>
          <w:p>
            <w:pPr>
              <w:ind w:left="364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78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727,694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575,817</w:t>
            </w:r>
          </w:p>
        </w:tc>
        <w:tc>
          <w:tcPr>
            <w:tcW w:w="0" w:type="dxa"/>
            <w:vAlign w:val="bottom"/>
          </w:tcPr>
          <w:p>
            <w:pPr>
              <w:spacing w:after="0"/>
              <w:rPr>
                <w:sz w:val="1"/>
                <w:szCs w:val="1"/>
                <w:color w:val="auto"/>
              </w:rPr>
            </w:pPr>
          </w:p>
        </w:tc>
      </w:tr>
      <w:tr>
        <w:trPr>
          <w:trHeight w:val="243"/>
        </w:trPr>
        <w:tc>
          <w:tcPr>
            <w:tcW w:w="78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Accounts receivable (less allowance for credit losses of $699 at September 30, 2026 and</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$833 at December 31, 2025)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242,545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253,207</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Investments - current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28,413</w:t>
            </w:r>
          </w:p>
        </w:tc>
        <w:tc>
          <w:tcPr>
            <w:tcW w:w="0" w:type="dxa"/>
            <w:vAlign w:val="bottom"/>
          </w:tcPr>
          <w:p>
            <w:pPr>
              <w:spacing w:after="0"/>
              <w:rPr>
                <w:sz w:val="1"/>
                <w:szCs w:val="1"/>
                <w:color w:val="auto"/>
              </w:rPr>
            </w:pPr>
          </w:p>
        </w:tc>
      </w:tr>
      <w:tr>
        <w:trPr>
          <w:trHeight w:val="282"/>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192,808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94,140</w:t>
            </w:r>
          </w:p>
        </w:tc>
        <w:tc>
          <w:tcPr>
            <w:tcW w:w="0" w:type="dxa"/>
            <w:vAlign w:val="bottom"/>
          </w:tcPr>
          <w:p>
            <w:pPr>
              <w:spacing w:after="0"/>
              <w:rPr>
                <w:sz w:val="1"/>
                <w:szCs w:val="1"/>
                <w:color w:val="auto"/>
              </w:rPr>
            </w:pPr>
          </w:p>
        </w:tc>
      </w:tr>
      <w:tr>
        <w:trPr>
          <w:trHeight w:val="251"/>
        </w:trPr>
        <w:tc>
          <w:tcPr>
            <w:tcW w:w="7860" w:type="dxa"/>
            <w:vAlign w:val="bottom"/>
          </w:tcPr>
          <w:p>
            <w:pPr>
              <w:ind w:left="320"/>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36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1,178,307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951,577</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64,251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Right of use asset,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7,019</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Goodwill</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32,060</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Intangible assets,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4,550</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assets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8,301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6,329</w:t>
            </w:r>
          </w:p>
        </w:tc>
        <w:tc>
          <w:tcPr>
            <w:tcW w:w="0" w:type="dxa"/>
            <w:vAlign w:val="bottom"/>
          </w:tcPr>
          <w:p>
            <w:pPr>
              <w:spacing w:after="0"/>
              <w:rPr>
                <w:sz w:val="1"/>
                <w:szCs w:val="1"/>
                <w:color w:val="auto"/>
              </w:rPr>
            </w:pPr>
          </w:p>
        </w:tc>
      </w:tr>
      <w:tr>
        <w:trPr>
          <w:trHeight w:val="264"/>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assets</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1,296,863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1,065,786</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260"/>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8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Medical expenses payable</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621,746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474,569</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33,284</w:t>
            </w:r>
          </w:p>
        </w:tc>
        <w:tc>
          <w:tcPr>
            <w:tcW w:w="0" w:type="dxa"/>
            <w:vAlign w:val="bottom"/>
          </w:tcPr>
          <w:p>
            <w:pPr>
              <w:spacing w:after="0"/>
              <w:rPr>
                <w:sz w:val="1"/>
                <w:szCs w:val="1"/>
                <w:color w:val="auto"/>
              </w:rPr>
            </w:pPr>
          </w:p>
        </w:tc>
      </w:tr>
      <w:tr>
        <w:trPr>
          <w:trHeight w:val="282"/>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Accrued compensation</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32,744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49,013</w:t>
            </w:r>
          </w:p>
        </w:tc>
        <w:tc>
          <w:tcPr>
            <w:tcW w:w="0" w:type="dxa"/>
            <w:vAlign w:val="bottom"/>
          </w:tcPr>
          <w:p>
            <w:pPr>
              <w:spacing w:after="0"/>
              <w:rPr>
                <w:sz w:val="1"/>
                <w:szCs w:val="1"/>
                <w:color w:val="auto"/>
              </w:rPr>
            </w:pPr>
          </w:p>
        </w:tc>
      </w:tr>
      <w:tr>
        <w:trPr>
          <w:trHeight w:val="251"/>
        </w:trPr>
        <w:tc>
          <w:tcPr>
            <w:tcW w:w="7860" w:type="dxa"/>
            <w:vAlign w:val="bottom"/>
          </w:tcPr>
          <w:p>
            <w:pPr>
              <w:ind w:left="320"/>
              <w:spacing w:after="0" w:line="251" w:lineRule="exact"/>
              <w:rPr>
                <w:sz w:val="20"/>
                <w:szCs w:val="20"/>
                <w:color w:val="auto"/>
              </w:rPr>
            </w:pPr>
            <w:r>
              <w:rPr>
                <w:rFonts w:ascii="Times New Roman" w:cs="Times New Roman" w:eastAsia="Times New Roman" w:hAnsi="Times New Roman"/>
                <w:sz w:val="22"/>
                <w:szCs w:val="22"/>
                <w:color w:val="auto"/>
              </w:rPr>
              <w:t>Total current liabilities</w:t>
            </w:r>
          </w:p>
        </w:tc>
        <w:tc>
          <w:tcPr>
            <w:tcW w:w="36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689,052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556,866</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Long-term debt, net of debt issuance costs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324,497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323,176</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Long-term portion of lease liabilities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6,202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6,467</w:t>
            </w:r>
          </w:p>
        </w:tc>
        <w:tc>
          <w:tcPr>
            <w:tcW w:w="0" w:type="dxa"/>
            <w:vAlign w:val="bottom"/>
          </w:tcPr>
          <w:p>
            <w:pPr>
              <w:spacing w:after="0"/>
              <w:rPr>
                <w:sz w:val="1"/>
                <w:szCs w:val="1"/>
                <w:color w:val="auto"/>
              </w:rPr>
            </w:pPr>
          </w:p>
        </w:tc>
      </w:tr>
      <w:tr>
        <w:trPr>
          <w:trHeight w:val="264"/>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liabilities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1,019,751</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886,509</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Stockholders' Equity:</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8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Preferred stock, $0.001 par value; 100,000,000 shares authorized as of</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September 30, 2026 and December 31, 2025, respectively; no shares issued and</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outstanding as of September 30, 2026 and December 31, 2025</w:t>
            </w: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7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$0.001 par value; 1,000,000,000 shares authorized as of</w:t>
            </w:r>
          </w:p>
        </w:tc>
        <w:tc>
          <w:tcPr>
            <w:tcW w:w="36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205</w:t>
            </w:r>
          </w:p>
        </w:tc>
        <w:tc>
          <w:tcPr>
            <w:tcW w:w="0" w:type="dxa"/>
            <w:vAlign w:val="bottom"/>
          </w:tcPr>
          <w:p>
            <w:pPr>
              <w:spacing w:after="0"/>
              <w:rPr>
                <w:sz w:val="1"/>
                <w:szCs w:val="1"/>
                <w:color w:val="auto"/>
              </w:rPr>
            </w:pPr>
          </w:p>
        </w:tc>
      </w:tr>
      <w:tr>
        <w:trPr>
          <w:trHeight w:val="282"/>
        </w:trPr>
        <w:tc>
          <w:tcPr>
            <w:tcW w:w="7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September 30, 2026 and December 31, 2025; 209,152,387 and 204,153,619 shares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11" w:right="379" w:bottom="0" w:gutter="0" w:footer="0" w:header="0"/>
        </w:sectPr>
      </w:pPr>
    </w:p>
    <w:bookmarkStart w:id="6" w:name="page7"/>
    <w:bookmarkEnd w:id="6"/>
    <w:p>
      <w:pPr>
        <w:ind w:left="160" w:right="4560"/>
        <w:spacing w:after="0" w:line="249" w:lineRule="auto"/>
        <w:rPr>
          <w:sz w:val="20"/>
          <w:szCs w:val="20"/>
          <w:color w:val="auto"/>
        </w:rPr>
      </w:pPr>
      <w:r>
        <w:rPr>
          <w:rFonts w:ascii="Times New Roman" w:cs="Times New Roman" w:eastAsia="Times New Roman" w:hAnsi="Times New Roman"/>
          <w:sz w:val="22"/>
          <w:szCs w:val="22"/>
          <w:color w:val="auto"/>
        </w:rPr>
        <w:t>issued and outstanding as of September 30, 2026 and December 31, 2025, respectively</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Additional paid-in capital</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1,245,996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1,188,089</w:t>
            </w:r>
          </w:p>
        </w:tc>
      </w:t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(969,093)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(1,009,017)</w:t>
            </w:r>
          </w:p>
        </w:tc>
      </w:tr>
      <w:tr>
        <w:trPr>
          <w:trHeight w:val="265"/>
        </w:trPr>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stockholders' equity</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277,112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179,277</w:t>
            </w:r>
          </w:p>
        </w:tc>
      </w:tr>
      <w:tr>
        <w:trPr>
          <w:trHeight w:val="263"/>
        </w:trPr>
        <w:tc>
          <w:tcPr>
            <w:tcW w:w="77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1,296,863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1,065,786</w:t>
            </w:r>
          </w:p>
        </w:tc>
      </w:tr>
      <w:tr>
        <w:trPr>
          <w:trHeight w:val="21"/>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(in thousands, except per share amounts)</w:t>
      </w:r>
    </w:p>
    <w:p>
      <w:pPr>
        <w:jc w:val="center"/>
        <w:ind w:right="-79"/>
        <w:spacing w:after="0"/>
        <w:rPr>
          <w:sz w:val="20"/>
          <w:szCs w:val="20"/>
          <w:color w:val="auto"/>
        </w:rPr>
      </w:pPr>
      <w:r>
        <w:rPr>
          <w:rFonts w:ascii="Times New Roman" w:cs="Times New Roman" w:eastAsia="Times New Roman" w:hAnsi="Times New Roman"/>
          <w:sz w:val="22"/>
          <w:szCs w:val="22"/>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40" w:type="dxa"/>
            <w:vAlign w:val="bottom"/>
          </w:tcPr>
          <w:p>
            <w:pPr>
              <w:spacing w:after="0"/>
              <w:rPr>
                <w:sz w:val="22"/>
                <w:szCs w:val="22"/>
                <w:color w:val="auto"/>
              </w:rPr>
            </w:pPr>
          </w:p>
        </w:tc>
        <w:tc>
          <w:tcPr>
            <w:tcW w:w="314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Three Months Ended September</w:t>
            </w:r>
          </w:p>
        </w:tc>
        <w:tc>
          <w:tcPr>
            <w:tcW w:w="3040" w:type="dxa"/>
            <w:vAlign w:val="bottom"/>
            <w:gridSpan w:val="6"/>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Nine Months Ended September</w:t>
            </w:r>
          </w:p>
        </w:tc>
      </w:tr>
      <w:tr>
        <w:trPr>
          <w:trHeight w:val="287"/>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4"/>
              </w:rPr>
              <w:t>30,</w:t>
            </w:r>
          </w:p>
        </w:tc>
        <w:tc>
          <w:tcPr>
            <w:tcW w:w="1280" w:type="dxa"/>
            <w:vAlign w:val="bottom"/>
            <w:tcBorders>
              <w:bottom w:val="single" w:sz="8" w:color="auto"/>
            </w:tcBorders>
          </w:tcPr>
          <w:p>
            <w:pPr>
              <w:spacing w:after="0"/>
              <w:rPr>
                <w:sz w:val="24"/>
                <w:szCs w:val="24"/>
                <w:color w:val="auto"/>
              </w:rPr>
            </w:pPr>
          </w:p>
        </w:tc>
      </w:tr>
      <w:tr>
        <w:trPr>
          <w:trHeight w:val="264"/>
        </w:trPr>
        <w:tc>
          <w:tcPr>
            <w:tcW w:w="4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0"/>
        </w:trPr>
        <w:tc>
          <w:tcPr>
            <w:tcW w:w="4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Earned premiums</w:t>
            </w:r>
          </w:p>
        </w:tc>
        <w:tc>
          <w:tcPr>
            <w:tcW w:w="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1,348,256</w:t>
            </w:r>
          </w:p>
        </w:tc>
        <w:tc>
          <w:tcPr>
            <w:tcW w:w="10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983,681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3,901,447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2,907,927</w:t>
            </w:r>
          </w:p>
        </w:tc>
      </w:tr>
      <w:tr>
        <w:trPr>
          <w:trHeight w:val="282"/>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10,034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10,014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27,673</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27,988</w:t>
            </w:r>
          </w:p>
        </w:tc>
      </w:tr>
      <w:tr>
        <w:trPr>
          <w:trHeight w:val="265"/>
        </w:trPr>
        <w:tc>
          <w:tcPr>
            <w:tcW w:w="49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1,358,290</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993,695</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3,929,120</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2,935,915</w:t>
            </w:r>
          </w:p>
        </w:tc>
      </w:tr>
      <w:tr>
        <w:trPr>
          <w:trHeight w:val="250"/>
        </w:trPr>
        <w:tc>
          <w:tcPr>
            <w:tcW w:w="4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Expenses: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Medical expenses</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1,217,603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868,022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3,462,996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2,570,662</w:t>
            </w:r>
          </w:p>
        </w:tc>
      </w:tr>
      <w:tr>
        <w:trPr>
          <w:trHeight w:val="270"/>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136,373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317,643</w:t>
            </w:r>
          </w:p>
        </w:tc>
      </w:tr>
      <w:tr>
        <w:trPr>
          <w:trHeight w:val="282"/>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8,108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7,977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23,801</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22,574</w:t>
            </w:r>
          </w:p>
        </w:tc>
      </w:tr>
      <w:tr>
        <w:trPr>
          <w:trHeight w:val="265"/>
        </w:trPr>
        <w:tc>
          <w:tcPr>
            <w:tcW w:w="49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expenses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1,362,084</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986,014</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3,875,311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2,910,879</w:t>
            </w:r>
          </w:p>
        </w:tc>
      </w:tr>
      <w:tr>
        <w:trPr>
          <w:trHeight w:val="263"/>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Income (loss) from operations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(3,794)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7,681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53,809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25,036</w:t>
            </w:r>
          </w:p>
        </w:tc>
      </w:tr>
      <w:tr>
        <w:trPr>
          <w:trHeight w:val="250"/>
        </w:trPr>
        <w:tc>
          <w:tcPr>
            <w:tcW w:w="4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Other expenses: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expense</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11,850</w:t>
            </w:r>
          </w:p>
        </w:tc>
      </w:tr>
      <w:tr>
        <w:trPr>
          <w:trHeight w:val="282"/>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 net</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65"/>
        </w:trPr>
        <w:tc>
          <w:tcPr>
            <w:tcW w:w="49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other expense</w:t>
            </w:r>
          </w:p>
        </w:tc>
        <w:tc>
          <w:tcPr>
            <w:tcW w:w="2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4,280</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3,950</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12,616</w:t>
            </w:r>
          </w:p>
        </w:tc>
        <w:tc>
          <w:tcPr>
            <w:tcW w:w="10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11,761</w:t>
            </w:r>
          </w:p>
        </w:tc>
      </w:tr>
      <w:tr>
        <w:trPr>
          <w:trHeight w:val="250"/>
        </w:trPr>
        <w:tc>
          <w:tcPr>
            <w:tcW w:w="4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Income (loss) before income taxes</w:t>
            </w:r>
          </w:p>
        </w:tc>
        <w:tc>
          <w:tcPr>
            <w:tcW w:w="220" w:type="dxa"/>
            <w:vAlign w:val="bottom"/>
          </w:tcPr>
          <w:p>
            <w:pPr>
              <w:spacing w:after="0"/>
              <w:rPr>
                <w:sz w:val="21"/>
                <w:szCs w:val="21"/>
                <w:color w:val="auto"/>
              </w:rPr>
            </w:pPr>
          </w:p>
        </w:tc>
        <w:tc>
          <w:tcPr>
            <w:tcW w:w="12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41,193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13,275</w:t>
            </w:r>
          </w:p>
        </w:tc>
      </w:tr>
      <w:tr>
        <w:trPr>
          <w:trHeight w:val="282"/>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Provision (benefit) for income taxes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1,269</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3,247</w:t>
            </w:r>
          </w:p>
        </w:tc>
      </w:tr>
      <w:tr>
        <w:trPr>
          <w:trHeight w:val="251"/>
        </w:trPr>
        <w:tc>
          <w:tcPr>
            <w:tcW w:w="4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income (loss)</w:t>
            </w:r>
          </w:p>
        </w:tc>
        <w:tc>
          <w:tcPr>
            <w:tcW w:w="22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(8,052)</w:t>
            </w:r>
          </w:p>
        </w:tc>
        <w:tc>
          <w:tcPr>
            <w:tcW w:w="100" w:type="dxa"/>
            <w:vAlign w:val="bottom"/>
          </w:tcPr>
          <w:p>
            <w:pPr>
              <w:spacing w:after="0"/>
              <w:rPr>
                <w:sz w:val="21"/>
                <w:szCs w:val="21"/>
                <w:color w:val="auto"/>
              </w:rPr>
            </w:pPr>
          </w:p>
        </w:tc>
        <w:tc>
          <w:tcPr>
            <w:tcW w:w="2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3,729</w:t>
            </w:r>
          </w:p>
        </w:tc>
        <w:tc>
          <w:tcPr>
            <w:tcW w:w="100" w:type="dxa"/>
            <w:vAlign w:val="bottom"/>
          </w:tcPr>
          <w:p>
            <w:pPr>
              <w:spacing w:after="0"/>
              <w:rPr>
                <w:sz w:val="21"/>
                <w:szCs w:val="21"/>
                <w:color w:val="auto"/>
              </w:rPr>
            </w:pPr>
          </w:p>
        </w:tc>
        <w:tc>
          <w:tcPr>
            <w:tcW w:w="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39,924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10,028</w:t>
            </w:r>
          </w:p>
        </w:tc>
      </w:tr>
      <w:tr>
        <w:trPr>
          <w:trHeight w:val="282"/>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Less: Net loss attributable to noncontrolling interest</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w:t>
            </w:r>
          </w:p>
        </w:tc>
      </w:tr>
      <w:tr>
        <w:trPr>
          <w:trHeight w:val="211"/>
        </w:trPr>
        <w:tc>
          <w:tcPr>
            <w:tcW w:w="494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Net income (loss) attributable to Alignment Healthcare,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82"/>
        </w:trPr>
        <w:tc>
          <w:tcPr>
            <w:tcW w:w="4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(8,052)</w:t>
            </w:r>
          </w:p>
        </w:tc>
        <w:tc>
          <w:tcPr>
            <w:tcW w:w="10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3,729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39,924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10,282</w:t>
            </w:r>
          </w:p>
        </w:tc>
      </w:tr>
      <w:tr>
        <w:trPr>
          <w:trHeight w:val="501"/>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Net income (loss) per share attributable to Alignment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4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Healthcare, Inc.:</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Basic</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0.05</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Diluted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0.05</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Weighted-average common shares outstanding:</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Basic</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208,556,942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199,026,808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207,132,468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197,007,141</w:t>
            </w:r>
          </w:p>
        </w:tc>
      </w:tr>
      <w:tr>
        <w:trPr>
          <w:trHeight w:val="282"/>
        </w:trPr>
        <w:tc>
          <w:tcPr>
            <w:tcW w:w="4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Diluted</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208,556,942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208,927,980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214,815,296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208,439,200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(in thousands)</w:t>
      </w: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860" w:type="dxa"/>
            <w:vAlign w:val="bottom"/>
          </w:tcPr>
          <w:p>
            <w:pPr>
              <w:spacing w:after="0"/>
              <w:rPr>
                <w:sz w:val="24"/>
                <w:szCs w:val="24"/>
                <w:color w:val="auto"/>
              </w:rPr>
            </w:pPr>
          </w:p>
        </w:tc>
        <w:tc>
          <w:tcPr>
            <w:tcW w:w="3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7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Activities: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78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w:t>
            </w:r>
          </w:p>
        </w:tc>
        <w:tc>
          <w:tcPr>
            <w:tcW w:w="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39,924</w:t>
            </w:r>
          </w:p>
        </w:tc>
        <w:tc>
          <w:tcPr>
            <w:tcW w:w="10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10,028</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Provision for credit loss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548</w:t>
            </w:r>
          </w:p>
        </w:tc>
        <w:tc>
          <w:tcPr>
            <w:tcW w:w="0" w:type="dxa"/>
            <w:vAlign w:val="bottom"/>
          </w:tcPr>
          <w:p>
            <w:pPr>
              <w:spacing w:after="0"/>
              <w:rPr>
                <w:sz w:val="1"/>
                <w:szCs w:val="1"/>
                <w:color w:val="auto"/>
              </w:rPr>
            </w:pPr>
          </w:p>
        </w:tc>
      </w:tr>
      <w:tr>
        <w:trPr>
          <w:trHeight w:val="270"/>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Gain on sale of property and equipment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70"/>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22,648</w:t>
            </w:r>
          </w:p>
        </w:tc>
        <w:tc>
          <w:tcPr>
            <w:tcW w:w="0" w:type="dxa"/>
            <w:vAlign w:val="bottom"/>
          </w:tcPr>
          <w:p>
            <w:pPr>
              <w:spacing w:after="0"/>
              <w:rPr>
                <w:sz w:val="1"/>
                <w:szCs w:val="1"/>
                <w:color w:val="auto"/>
              </w:rPr>
            </w:pPr>
          </w:p>
        </w:tc>
      </w:tr>
      <w:tr>
        <w:trPr>
          <w:trHeight w:val="282"/>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Amortization-investment discount</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(1,041)</w:t>
            </w:r>
          </w:p>
        </w:tc>
        <w:tc>
          <w:tcPr>
            <w:tcW w:w="0" w:type="dxa"/>
            <w:vAlign w:val="bottom"/>
          </w:tcPr>
          <w:p>
            <w:pPr>
              <w:spacing w:after="0"/>
              <w:rPr>
                <w:sz w:val="1"/>
                <w:szCs w:val="1"/>
                <w:color w:val="auto"/>
              </w:rPr>
            </w:pPr>
          </w:p>
        </w:tc>
      </w:tr>
    </w:tbl>
    <w:p>
      <w:pPr>
        <w:sectPr>
          <w:pgSz w:w="11900" w:h="16838" w:orient="portrait"/>
          <w:cols w:equalWidth="0" w:num="1">
            <w:col w:w="11120"/>
          </w:cols>
          <w:pgMar w:left="340" w:top="111" w:right="4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Amortization-debt issuance costs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1,321</w:t>
            </w:r>
          </w:p>
        </w:tc>
        <w:tc>
          <w:tcPr>
            <w:tcW w:w="0" w:type="dxa"/>
            <w:vAlign w:val="bottom"/>
          </w:tcPr>
          <w:p>
            <w:pPr>
              <w:spacing w:after="0"/>
              <w:rPr>
                <w:sz w:val="1"/>
                <w:szCs w:val="1"/>
                <w:color w:val="auto"/>
              </w:rPr>
            </w:pPr>
          </w:p>
        </w:tc>
      </w:tr>
      <w:tr>
        <w:trPr>
          <w:trHeight w:val="270"/>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Equity-based compensation</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49,680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48,967</w:t>
            </w:r>
          </w:p>
        </w:tc>
        <w:tc>
          <w:tcPr>
            <w:tcW w:w="0" w:type="dxa"/>
            <w:vAlign w:val="bottom"/>
          </w:tcPr>
          <w:p>
            <w:pPr>
              <w:spacing w:after="0"/>
              <w:rPr>
                <w:sz w:val="1"/>
                <w:szCs w:val="1"/>
                <w:color w:val="auto"/>
              </w:rPr>
            </w:pPr>
          </w:p>
        </w:tc>
      </w:tr>
      <w:tr>
        <w:trPr>
          <w:trHeight w:val="270"/>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Non-cash lease expense</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1,178</w:t>
            </w:r>
          </w:p>
        </w:tc>
        <w:tc>
          <w:tcPr>
            <w:tcW w:w="0" w:type="dxa"/>
            <w:vAlign w:val="bottom"/>
          </w:tcPr>
          <w:p>
            <w:pPr>
              <w:spacing w:after="0"/>
              <w:rPr>
                <w:sz w:val="1"/>
                <w:szCs w:val="1"/>
                <w:color w:val="auto"/>
              </w:rPr>
            </w:pPr>
          </w:p>
        </w:tc>
      </w:tr>
      <w:tr>
        <w:trPr>
          <w:trHeight w:val="270"/>
        </w:trPr>
        <w:tc>
          <w:tcPr>
            <w:tcW w:w="7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Changes in operating assets and liabilities:</w:t>
            </w: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Accounts receivable</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9,963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(66,451)</w:t>
            </w:r>
          </w:p>
        </w:tc>
        <w:tc>
          <w:tcPr>
            <w:tcW w:w="0" w:type="dxa"/>
            <w:vAlign w:val="bottom"/>
          </w:tcPr>
          <w:p>
            <w:pPr>
              <w:spacing w:after="0"/>
              <w:rPr>
                <w:sz w:val="1"/>
                <w:szCs w:val="1"/>
                <w:color w:val="auto"/>
              </w:rPr>
            </w:pPr>
          </w:p>
        </w:tc>
      </w:tr>
      <w:tr>
        <w:trPr>
          <w:trHeight w:val="270"/>
        </w:trPr>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(98,668)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(84,326)</w:t>
            </w:r>
          </w:p>
        </w:tc>
        <w:tc>
          <w:tcPr>
            <w:tcW w:w="0" w:type="dxa"/>
            <w:vAlign w:val="bottom"/>
          </w:tcPr>
          <w:p>
            <w:pPr>
              <w:spacing w:after="0"/>
              <w:rPr>
                <w:sz w:val="1"/>
                <w:szCs w:val="1"/>
                <w:color w:val="auto"/>
              </w:rPr>
            </w:pPr>
          </w:p>
        </w:tc>
      </w:tr>
      <w:tr>
        <w:trPr>
          <w:trHeight w:val="270"/>
        </w:trPr>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Other assets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70"/>
        </w:trPr>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Medical expenses payable</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147,177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239,008</w:t>
            </w:r>
          </w:p>
        </w:tc>
        <w:tc>
          <w:tcPr>
            <w:tcW w:w="0" w:type="dxa"/>
            <w:vAlign w:val="bottom"/>
          </w:tcPr>
          <w:p>
            <w:pPr>
              <w:spacing w:after="0"/>
              <w:rPr>
                <w:sz w:val="1"/>
                <w:szCs w:val="1"/>
                <w:color w:val="auto"/>
              </w:rPr>
            </w:pPr>
          </w:p>
        </w:tc>
      </w:tr>
      <w:tr>
        <w:trPr>
          <w:trHeight w:val="270"/>
        </w:trPr>
        <w:tc>
          <w:tcPr>
            <w:tcW w:w="78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11,185</w:t>
            </w:r>
          </w:p>
        </w:tc>
        <w:tc>
          <w:tcPr>
            <w:tcW w:w="0" w:type="dxa"/>
            <w:vAlign w:val="bottom"/>
          </w:tcPr>
          <w:p>
            <w:pPr>
              <w:spacing w:after="0"/>
              <w:rPr>
                <w:sz w:val="1"/>
                <w:szCs w:val="1"/>
                <w:color w:val="auto"/>
              </w:rPr>
            </w:pPr>
          </w:p>
        </w:tc>
      </w:tr>
      <w:tr>
        <w:trPr>
          <w:trHeight w:val="270"/>
        </w:trPr>
        <w:tc>
          <w:tcPr>
            <w:tcW w:w="78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Accrued compensation</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(16,269)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8,349</w:t>
            </w:r>
          </w:p>
        </w:tc>
        <w:tc>
          <w:tcPr>
            <w:tcW w:w="0" w:type="dxa"/>
            <w:vAlign w:val="bottom"/>
          </w:tcPr>
          <w:p>
            <w:pPr>
              <w:spacing w:after="0"/>
              <w:rPr>
                <w:sz w:val="1"/>
                <w:szCs w:val="1"/>
                <w:color w:val="auto"/>
              </w:rPr>
            </w:pPr>
          </w:p>
        </w:tc>
      </w:tr>
      <w:tr>
        <w:trPr>
          <w:trHeight w:val="282"/>
        </w:trPr>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Lease liabilities</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(1,690)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(993)</w:t>
            </w:r>
          </w:p>
        </w:tc>
        <w:tc>
          <w:tcPr>
            <w:tcW w:w="0" w:type="dxa"/>
            <w:vAlign w:val="bottom"/>
          </w:tcPr>
          <w:p>
            <w:pPr>
              <w:spacing w:after="0"/>
              <w:rPr>
                <w:sz w:val="1"/>
                <w:szCs w:val="1"/>
                <w:color w:val="auto"/>
              </w:rPr>
            </w:pPr>
          </w:p>
        </w:tc>
      </w:tr>
      <w:tr>
        <w:trPr>
          <w:trHeight w:val="265"/>
        </w:trPr>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158,395</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190,302</w:t>
            </w:r>
          </w:p>
        </w:tc>
        <w:tc>
          <w:tcPr>
            <w:tcW w:w="0" w:type="dxa"/>
            <w:vAlign w:val="bottom"/>
          </w:tcPr>
          <w:p>
            <w:pPr>
              <w:spacing w:after="0"/>
              <w:rPr>
                <w:sz w:val="1"/>
                <w:szCs w:val="1"/>
                <w:color w:val="auto"/>
              </w:rPr>
            </w:pPr>
          </w:p>
        </w:tc>
      </w:tr>
      <w:tr>
        <w:trPr>
          <w:trHeight w:val="250"/>
        </w:trPr>
        <w:tc>
          <w:tcPr>
            <w:tcW w:w="78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Investing Activities:</w:t>
            </w: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 of investments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(45,194)</w:t>
            </w:r>
          </w:p>
        </w:tc>
        <w:tc>
          <w:tcPr>
            <w:tcW w:w="0" w:type="dxa"/>
            <w:vAlign w:val="bottom"/>
          </w:tcPr>
          <w:p>
            <w:pPr>
              <w:spacing w:after="0"/>
              <w:rPr>
                <w:sz w:val="1"/>
                <w:szCs w:val="1"/>
                <w:color w:val="auto"/>
              </w:rPr>
            </w:pPr>
          </w:p>
        </w:tc>
      </w:tr>
      <w:tr>
        <w:trPr>
          <w:trHeight w:val="270"/>
        </w:trPr>
        <w:tc>
          <w:tcPr>
            <w:tcW w:w="7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 of property and equipment</w:t>
            </w:r>
          </w:p>
        </w:tc>
        <w:tc>
          <w:tcPr>
            <w:tcW w:w="4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7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Maturities of investments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46,135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57,995</w:t>
            </w:r>
          </w:p>
        </w:tc>
        <w:tc>
          <w:tcPr>
            <w:tcW w:w="0" w:type="dxa"/>
            <w:vAlign w:val="bottom"/>
          </w:tcPr>
          <w:p>
            <w:pPr>
              <w:spacing w:after="0"/>
              <w:rPr>
                <w:sz w:val="1"/>
                <w:szCs w:val="1"/>
                <w:color w:val="auto"/>
              </w:rPr>
            </w:pPr>
          </w:p>
        </w:tc>
      </w:tr>
      <w:tr>
        <w:trPr>
          <w:trHeight w:val="270"/>
        </w:trPr>
        <w:tc>
          <w:tcPr>
            <w:tcW w:w="7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 of business</w:t>
            </w:r>
          </w:p>
        </w:tc>
        <w:tc>
          <w:tcPr>
            <w:tcW w:w="4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1,065</w:t>
            </w:r>
          </w:p>
        </w:tc>
        <w:tc>
          <w:tcPr>
            <w:tcW w:w="0" w:type="dxa"/>
            <w:vAlign w:val="bottom"/>
          </w:tcPr>
          <w:p>
            <w:pPr>
              <w:spacing w:after="0"/>
              <w:rPr>
                <w:sz w:val="1"/>
                <w:szCs w:val="1"/>
                <w:color w:val="auto"/>
              </w:rPr>
            </w:pPr>
          </w:p>
        </w:tc>
      </w:tr>
      <w:tr>
        <w:trPr>
          <w:trHeight w:val="282"/>
        </w:trPr>
        <w:tc>
          <w:tcPr>
            <w:tcW w:w="7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Acquisition of property and equipment</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(25,952)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(21,752)</w:t>
            </w:r>
          </w:p>
        </w:tc>
        <w:tc>
          <w:tcPr>
            <w:tcW w:w="0" w:type="dxa"/>
            <w:vAlign w:val="bottom"/>
          </w:tcPr>
          <w:p>
            <w:pPr>
              <w:spacing w:after="0"/>
              <w:rPr>
                <w:sz w:val="1"/>
                <w:szCs w:val="1"/>
                <w:color w:val="auto"/>
              </w:rPr>
            </w:pPr>
          </w:p>
        </w:tc>
      </w:tr>
      <w:tr>
        <w:trPr>
          <w:trHeight w:val="265"/>
        </w:trPr>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(12,327)</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(7,811)</w:t>
            </w:r>
          </w:p>
        </w:tc>
        <w:tc>
          <w:tcPr>
            <w:tcW w:w="0" w:type="dxa"/>
            <w:vAlign w:val="bottom"/>
          </w:tcPr>
          <w:p>
            <w:pPr>
              <w:spacing w:after="0"/>
              <w:rPr>
                <w:sz w:val="1"/>
                <w:szCs w:val="1"/>
                <w:color w:val="auto"/>
              </w:rPr>
            </w:pPr>
          </w:p>
        </w:tc>
      </w:tr>
      <w:tr>
        <w:trPr>
          <w:trHeight w:val="250"/>
        </w:trPr>
        <w:tc>
          <w:tcPr>
            <w:tcW w:w="78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Financing Activities:</w:t>
            </w: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issuance costs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82"/>
        </w:trPr>
        <w:tc>
          <w:tcPr>
            <w:tcW w:w="7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Proceeds from stock option exercises</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8,231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2,771</w:t>
            </w:r>
          </w:p>
        </w:tc>
        <w:tc>
          <w:tcPr>
            <w:tcW w:w="0" w:type="dxa"/>
            <w:vAlign w:val="bottom"/>
          </w:tcPr>
          <w:p>
            <w:pPr>
              <w:spacing w:after="0"/>
              <w:rPr>
                <w:sz w:val="1"/>
                <w:szCs w:val="1"/>
                <w:color w:val="auto"/>
              </w:rPr>
            </w:pPr>
          </w:p>
        </w:tc>
      </w:tr>
      <w:tr>
        <w:trPr>
          <w:trHeight w:val="265"/>
        </w:trPr>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5,834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2,745</w:t>
            </w:r>
          </w:p>
        </w:tc>
        <w:tc>
          <w:tcPr>
            <w:tcW w:w="0" w:type="dxa"/>
            <w:vAlign w:val="bottom"/>
          </w:tcPr>
          <w:p>
            <w:pPr>
              <w:spacing w:after="0"/>
              <w:rPr>
                <w:sz w:val="1"/>
                <w:szCs w:val="1"/>
                <w:color w:val="auto"/>
              </w:rPr>
            </w:pPr>
          </w:p>
        </w:tc>
      </w:tr>
      <w:tr>
        <w:trPr>
          <w:trHeight w:val="250"/>
        </w:trPr>
        <w:tc>
          <w:tcPr>
            <w:tcW w:w="78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increase in cash</w:t>
            </w:r>
          </w:p>
        </w:tc>
        <w:tc>
          <w:tcPr>
            <w:tcW w:w="460" w:type="dxa"/>
            <w:vAlign w:val="bottom"/>
          </w:tcPr>
          <w:p>
            <w:pPr>
              <w:spacing w:after="0"/>
              <w:rPr>
                <w:sz w:val="21"/>
                <w:szCs w:val="21"/>
                <w:color w:val="auto"/>
              </w:rPr>
            </w:pPr>
          </w:p>
        </w:tc>
        <w:tc>
          <w:tcPr>
            <w:tcW w:w="11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151,902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185,236</w:t>
            </w:r>
          </w:p>
        </w:tc>
        <w:tc>
          <w:tcPr>
            <w:tcW w:w="0" w:type="dxa"/>
            <w:vAlign w:val="bottom"/>
          </w:tcPr>
          <w:p>
            <w:pPr>
              <w:spacing w:after="0"/>
              <w:rPr>
                <w:sz w:val="1"/>
                <w:szCs w:val="1"/>
                <w:color w:val="auto"/>
              </w:rPr>
            </w:pPr>
          </w:p>
        </w:tc>
      </w:tr>
      <w:tr>
        <w:trPr>
          <w:trHeight w:val="283"/>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restricted cash at beginning of period</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577,937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434,942</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restricted cash at end of period</w:t>
            </w:r>
          </w:p>
        </w:tc>
        <w:tc>
          <w:tcPr>
            <w:tcW w:w="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729,839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620,178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Supplemental disclosure of cash flow information:</w:t>
            </w: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86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8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Cash paid for interest</w:t>
            </w:r>
          </w:p>
        </w:tc>
        <w:tc>
          <w:tcPr>
            <w:tcW w:w="4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7,013</w:t>
            </w:r>
          </w:p>
        </w:tc>
        <w:tc>
          <w:tcPr>
            <w:tcW w:w="100" w:type="dxa"/>
            <w:vAlign w:val="bottom"/>
          </w:tcPr>
          <w:p>
            <w:pPr>
              <w:spacing w:after="0"/>
              <w:rPr>
                <w:sz w:val="23"/>
                <w:szCs w:val="23"/>
                <w:color w:val="auto"/>
              </w:rPr>
            </w:pP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6,740</w:t>
            </w:r>
          </w:p>
        </w:tc>
        <w:tc>
          <w:tcPr>
            <w:tcW w:w="0" w:type="dxa"/>
            <w:vAlign w:val="bottom"/>
          </w:tcPr>
          <w:p>
            <w:pPr>
              <w:spacing w:after="0"/>
              <w:rPr>
                <w:sz w:val="1"/>
                <w:szCs w:val="1"/>
                <w:color w:val="auto"/>
              </w:rPr>
            </w:pPr>
          </w:p>
        </w:tc>
      </w:tr>
      <w:tr>
        <w:trPr>
          <w:trHeight w:val="274"/>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Supplemental non-cash investing and financing activities:</w:t>
            </w: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Acquisition of property in accounts payable</w:t>
            </w:r>
          </w:p>
        </w:tc>
        <w:tc>
          <w:tcPr>
            <w:tcW w:w="4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4"/>
                <w:szCs w:val="24"/>
                <w:color w:val="auto"/>
              </w:rPr>
            </w:pP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The following table provides a reconciliation of cash, cash equivalents and restricted cash reported within the consolidated balance sheets to the total above: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6"/>
              </w:rPr>
              <w:t>September 30,</w:t>
            </w:r>
          </w:p>
        </w:tc>
      </w:tr>
      <w:tr>
        <w:trPr>
          <w:trHeight w:val="286"/>
        </w:trPr>
        <w:tc>
          <w:tcPr>
            <w:tcW w:w="7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1"/>
        </w:trPr>
        <w:tc>
          <w:tcPr>
            <w:tcW w:w="78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Cash and cash equivalents</w:t>
            </w:r>
          </w:p>
        </w:tc>
        <w:tc>
          <w:tcPr>
            <w:tcW w:w="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727,694</w:t>
            </w:r>
          </w:p>
        </w:tc>
        <w:tc>
          <w:tcPr>
            <w:tcW w:w="120" w:type="dxa"/>
            <w:vAlign w:val="bottom"/>
          </w:tcPr>
          <w:p>
            <w:pPr>
              <w:spacing w:after="0"/>
              <w:rPr>
                <w:sz w:val="21"/>
                <w:szCs w:val="21"/>
                <w:color w:val="auto"/>
              </w:rPr>
            </w:pPr>
          </w:p>
        </w:tc>
        <w:tc>
          <w:tcPr>
            <w:tcW w:w="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618,067</w:t>
            </w:r>
          </w:p>
        </w:tc>
      </w:tr>
      <w:tr>
        <w:trPr>
          <w:trHeight w:val="283"/>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Restricted cash in other assets</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2,145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2,111</w:t>
            </w:r>
          </w:p>
        </w:tc>
      </w:tr>
      <w:tr>
        <w:trPr>
          <w:trHeight w:val="264"/>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729,839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620,178</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Certain of these financial measures are considered “non-GAAP” financial measures within the meaning of Item 10 of Regulation S-K promulgated by the SEC. We believe that non-GAAP financial measures provide an additional way of viewing aspects of our operations that, when viewed with the GAAP results, provide a more complete understanding of our results of operations and the factors and trends affecting our business. These non-GAAP financial measures are also used by our management to evaluate financial results and to plan and forecast future periods. However, non-GAAP financial measures should be considered as a supplement to, and not as a substitute for, or superior to, the corresponding measures calculated in accordance with GAAP. Non-GAAP financial measures used by us may differ from the non-GAAP measures used by other companies, including our competitors. To supplement our consolidated financial statements presented on a GAAP basis, we disclose the following non-GAAP measures: Medical Benefits Ratio, Adjusted EBITDA and Adjusted Gross Profit as these are performance measures that our management uses to assess our operating performance. Because these measures facilitate internal comparisons of our historical operating performance on a more consistent basis, we use these measures for business planning purposes and in evaluating acquisition opportunities.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EBITDA</w:t>
      </w:r>
    </w:p>
    <w:p>
      <w:pPr>
        <w:spacing w:after="0" w:line="21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Adjusted EBITDA is a non-GAAP financial measure that we define as net income (loss) before interest expense, income taxes, depreciation and amortization expense, certain litigation costs, gains or losses on sale of property and equipment, and equity-based compensation expense.</w:t>
      </w:r>
    </w:p>
    <w:p>
      <w:pPr>
        <w:sectPr>
          <w:pgSz w:w="11900" w:h="16838" w:orient="portrait"/>
          <w:cols w:equalWidth="0" w:num="1">
            <w:col w:w="11240"/>
          </w:cols>
          <w:pgMar w:left="320" w:top="111" w:right="339" w:bottom="54" w:gutter="0" w:footer="0" w:header="0"/>
        </w:sectPr>
      </w:pPr>
    </w:p>
    <w:bookmarkStart w:id="8" w:name="page9"/>
    <w:bookmarkEnd w:id="8"/>
    <w:p>
      <w:pPr>
        <w:jc w:val="both"/>
        <w:spacing w:after="0" w:line="244" w:lineRule="auto"/>
        <w:rPr>
          <w:sz w:val="20"/>
          <w:szCs w:val="20"/>
          <w:color w:val="auto"/>
        </w:rPr>
      </w:pPr>
      <w:r>
        <w:rPr>
          <w:rFonts w:ascii="Times New Roman" w:cs="Times New Roman" w:eastAsia="Times New Roman" w:hAnsi="Times New Roman"/>
          <w:sz w:val="22"/>
          <w:szCs w:val="22"/>
          <w:color w:val="auto"/>
        </w:rPr>
        <w:t>Adjusted EBITDA should not be considered in isolation of, or as an alternative to, measures prepared in accordance with GAAP. There are a number of limitations related to the use of Adjusted EBITDA in lieu of net income (loss), which is the most directly comparable financial measure calculated in accordance with GAAP.</w:t>
      </w:r>
    </w:p>
    <w:p>
      <w:pPr>
        <w:spacing w:after="0" w:line="174" w:lineRule="exact"/>
        <w:rPr>
          <w:sz w:val="20"/>
          <w:szCs w:val="20"/>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Our use of the term Adjusted EBITDA may vary from the use of similar terms by other companies in our industry and accordingly may not be comparable to similarly titled measures used by other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Medical Benefits Ratio (MBR)</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We calculate our MBR by dividing total medical expenses, excluding depreciation, and medical equity-based compensation, by total revenues in a given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Gross Profit</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Adjusted gross profit is a non-GAAP financial measure that we define as income (loss) from operations before depreciation and amortization, medical equity-based compensation expense, and selling, general, and administrative expenses.</w:t>
      </w:r>
    </w:p>
    <w:p>
      <w:pPr>
        <w:spacing w:after="0" w:line="158"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spacing w:after="0" w:line="17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Our use of the term adjusted gross profit may vary from the use of similar terms by other companies in our industry and accordingly may not be comparable to similarly titled measures used by other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Harrison Zhuo</w:t>
      </w:r>
    </w:p>
    <w:p>
      <w:pPr>
        <w:spacing w:after="0"/>
        <w:rPr>
          <w:sz w:val="20"/>
          <w:szCs w:val="20"/>
          <w:color w:val="auto"/>
        </w:rPr>
      </w:pPr>
      <w:r>
        <w:rPr>
          <w:rFonts w:ascii="Times New Roman" w:cs="Times New Roman" w:eastAsia="Times New Roman" w:hAnsi="Times New Roman"/>
          <w:sz w:val="22"/>
          <w:szCs w:val="22"/>
          <w:u w:val="single" w:color="auto"/>
          <w:color w:val="auto"/>
        </w:rPr>
        <w:t>hzhuo@ahcusa.com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Jerry Slowey</w:t>
      </w:r>
    </w:p>
    <w:p>
      <w:pPr>
        <w:spacing w:after="0"/>
        <w:rPr>
          <w:sz w:val="20"/>
          <w:szCs w:val="20"/>
          <w:color w:val="auto"/>
        </w:rPr>
      </w:pPr>
      <w:r>
        <w:rPr>
          <w:rFonts w:ascii="Times New Roman" w:cs="Times New Roman" w:eastAsia="Times New Roman" w:hAnsi="Times New Roman"/>
          <w:sz w:val="22"/>
          <w:szCs w:val="22"/>
          <w:color w:val="auto"/>
        </w:rPr>
        <w:t>publicrelations@ahcusa.com</w:t>
      </w:r>
    </w:p>
    <w:sectPr>
      <w:pgSz w:w="11900" w:h="16838" w:orient="portrait"/>
      <w:cols w:equalWidth="0" w:num="1">
        <w:col w:w="11140"/>
      </w:cols>
      <w:pgMar w:left="32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2026-10-29T15:13:21Z</dcterms:created>
  <dcterms:modified xsi:type="dcterms:W3CDTF">2026-10-29T15:13:21Z</dcterms:modified>
</cp:coreProperties>
</file>