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001-40295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bl>
      <w:tblPr>
        <w:tblW w:w="5174" w:type="dxa"/>
        <w:jc w:val="left"/>
        <w:tblInd w:w="0" w:type="dxa"/>
        <w:tblLayout w:type="fixed"/>
        <w:tblCellMar>
          <w:top w:w="28" w:type="dxa"/>
          <w:left w:w="28" w:type="dxa"/>
          <w:bottom w:w="28" w:type="dxa"/>
          <w:right w:w="28" w:type="dxa"/>
        </w:tblCellMar>
      </w:tblPr>
      <w:tblGrid>
        <w:gridCol w:w="1420"/>
        <w:gridCol w:w="1247"/>
        <w:gridCol w:w="1263"/>
        <w:gridCol w:w="363"/>
        <w:gridCol w:w="363"/>
        <w:gridCol w:w="518"/>
      </w:tblGrid>
      <w:tr>
        <w:trPr/>
        <w:tc>
          <w:tcPr>
            <w:tcW w:w="14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46-5596242</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76"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1100 W. Town and Country Road, Suite 1600</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Orange,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92868</w:t>
            </w:r>
          </w:p>
        </w:tc>
      </w:tr>
      <w:tr>
        <w:trPr/>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(844) 310-2247</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87" w:type="dxa"/>
        <w:jc w:val="left"/>
        <w:tblInd w:w="0" w:type="dxa"/>
        <w:tblLayout w:type="fixed"/>
        <w:tblCellMar>
          <w:top w:w="28" w:type="dxa"/>
          <w:left w:w="28" w:type="dxa"/>
          <w:bottom w:w="28" w:type="dxa"/>
          <w:right w:w="28" w:type="dxa"/>
        </w:tblCellMar>
      </w:tblPr>
      <w:tblGrid>
        <w:gridCol w:w="1155"/>
        <w:gridCol w:w="1013"/>
        <w:gridCol w:w="1027"/>
        <w:gridCol w:w="109"/>
        <w:gridCol w:w="109"/>
        <w:gridCol w:w="109"/>
        <w:gridCol w:w="274"/>
        <w:gridCol w:w="274"/>
        <w:gridCol w:w="276"/>
        <w:gridCol w:w="109"/>
        <w:gridCol w:w="109"/>
        <w:gridCol w:w="109"/>
        <w:gridCol w:w="970"/>
        <w:gridCol w:w="970"/>
        <w:gridCol w:w="1374"/>
      </w:tblGrid>
      <w:tr>
        <w:trPr/>
        <w:tc>
          <w:tcPr>
            <w:tcW w:w="115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op w:val="single" w:sz="4" w:space="0" w:color="FFFFFF"/>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ALHC</w:t>
            </w:r>
          </w:p>
        </w:tc>
        <w:tc>
          <w:tcPr>
            <w:tcW w:w="327" w:type="dxa"/>
            <w:gridSpan w:val="3"/>
            <w:tcBorders>
              <w:top w:val="single" w:sz="4" w:space="0" w:color="FFFFFF"/>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ind w:left="0" w:right="0" w:firstLine="720"/>
        <w:jc w:val="left"/>
        <w:rPr/>
      </w:pPr>
      <w:r>
        <w:rPr>
          <w:rFonts w:ascii="Times New Roman;serif" w:hAnsi="Times New Roman;serif"/>
          <w:b w:val="false"/>
          <w:color w:val="000000"/>
          <w:sz w:val="18"/>
        </w:rPr>
        <w:t>As of July 27, 2026, the registrant had 207,435,149</w:t>
      </w:r>
      <w:r>
        <w:rPr>
          <w:color w:val="000000"/>
        </w:rPr>
        <w:t xml:space="preserve"> </w:t>
      </w:r>
      <w:r>
        <w:rPr>
          <w:rFonts w:ascii="Times New Roman;serif" w:hAnsi="Times New Roman;serif"/>
          <w:b w:val="false"/>
          <w:color w:val="000000"/>
          <w:sz w:val="18"/>
        </w:rPr>
        <w:t>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51" w:type="dxa"/>
        <w:jc w:val="left"/>
        <w:tblInd w:w="0" w:type="dxa"/>
        <w:tblLayout w:type="fixed"/>
        <w:tblCellMar>
          <w:top w:w="28" w:type="dxa"/>
          <w:left w:w="28" w:type="dxa"/>
          <w:bottom w:w="28" w:type="dxa"/>
          <w:right w:w="28" w:type="dxa"/>
        </w:tblCellMar>
      </w:tblPr>
      <w:tblGrid>
        <w:gridCol w:w="353"/>
        <w:gridCol w:w="309"/>
        <w:gridCol w:w="314"/>
        <w:gridCol w:w="2453"/>
        <w:gridCol w:w="2453"/>
        <w:gridCol w:w="2458"/>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3">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3">
              <w:r>
                <w:rPr>
                  <w:rStyle w:val="InternetLink"/>
                  <w:rFonts w:ascii="Times New Roman;serif" w:hAnsi="Times New Roman;serif"/>
                  <w:b w:val="false"/>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3">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6">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9">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9">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22">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22">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Statements of Stockholders' Equity</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25">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31">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34">
              <w:r>
                <w:rPr>
                  <w:rStyle w:val="InternetLink"/>
                  <w:rFonts w:ascii="Times New Roman;serif" w:hAnsi="Times New Roman;serif"/>
                  <w:b w:val="false"/>
                  <w:color w:val="0000FF"/>
                  <w:sz w:val="20"/>
                  <w:u w:val="singl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34">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03">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03">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39">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39">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39">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2">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2">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42">
              <w:r>
                <w:rPr>
                  <w:rStyle w:val="InternetLink"/>
                  <w:rFonts w:ascii="Times New Roman;serif" w:hAnsi="Times New Roman;serif"/>
                  <w:b w:val="false"/>
                  <w:strike w:val="false"/>
                  <w:dstrike w:val="false"/>
                  <w:color w:val="000000"/>
                  <w:sz w:val="20"/>
                  <w:u w:val="none"/>
                  <w:effect w:val="non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5">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5">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45">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8">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4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48">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1">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1">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51">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4">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4">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54">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7">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57">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57">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0">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0">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60">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3">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6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63">
              <w:r>
                <w:rPr>
                  <w:rStyle w:val="InternetLink"/>
                  <w:rFonts w:ascii="Times New Roman;serif" w:hAnsi="Times New Roman;serif"/>
                  <w:b w:val="false"/>
                  <w:strike w:val="false"/>
                  <w:dstrike w:val="false"/>
                  <w:color w:val="000000"/>
                  <w:sz w:val="20"/>
                  <w:u w:val="none"/>
                  <w:effect w:val="non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72">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72">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72">
              <w:r>
                <w:rPr>
                  <w:rStyle w:val="InternetLink"/>
                  <w:rFonts w:ascii="Times New Roman;serif" w:hAnsi="Times New Roman;serif"/>
                  <w:b w:val="false"/>
                  <w:strike w:val="false"/>
                  <w:dstrike w:val="false"/>
                  <w:color w:val="000000"/>
                  <w:sz w:val="20"/>
                  <w:u w:val="none"/>
                  <w:effect w:val="non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79634a1fb94af2822e9eb9a643dcbf_175">
              <w:r>
                <w:rPr>
                  <w:rStyle w:val="InternetLink"/>
                  <w:rFonts w:ascii="Times New Roman;serif" w:hAnsi="Times New Roman;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b79634a1fb94af2822e9eb9a643dcbf_175">
              <w:r>
                <w:rPr>
                  <w:rStyle w:val="InternetLink"/>
                  <w:rFonts w:ascii="Times New Roman;serif" w:hAnsi="Times New Roman;serif"/>
                  <w:b w:val="false"/>
                  <w:strike w:val="false"/>
                  <w:dstrike w:val="false"/>
                  <w:color w:val="000000"/>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pPr>
      <w:r>
        <w:rPr>
          <w:rFonts w:ascii="Times New Roman;serif" w:hAnsi="Times New Roman;serif"/>
          <w:b w:val="false"/>
          <w:color w:val="000000"/>
          <w:sz w:val="20"/>
        </w:rPr>
        <w:t xml:space="preserve">Throughout this quarterly report on Form 10-Q (this “Quarterly Report”), we make “forward-looking statements” within the meaning of the U.S. Private Securities Litigation Reform Act of 1995. All statements other than statements of historical fact included in this Quarterly Report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The forward-looking statements contained in this Quarterly Report are generally located in the material set forth under the heading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but may be found in other locations as well. These statements are based upon management’s current expectations, assumptions and estimates and are not guarantees of timing, future results or performance. All forward-looking statements are subject to risks and uncertainties that may cause actual results to differ materially from those that we expected, including:</w:t>
      </w:r>
    </w:p>
    <w:p>
      <w:pPr>
        <w:pStyle w:val="TextBody"/>
        <w:bidi w:val="0"/>
        <w:spacing w:lineRule="auto" w:line="288" w:before="120" w:after="283"/>
        <w:ind w:left="0" w:right="0" w:hanging="1260"/>
        <w:jc w:val="both"/>
        <w:rPr/>
      </w:pPr>
      <w:r>
        <w:rPr>
          <w:color w:val="000000"/>
        </w:rPr>
        <w:t>•</w:t>
      </w:r>
      <w:r>
        <w:rPr>
          <w:rFonts w:ascii="Times New Roman;serif" w:hAnsi="Times New Roman;serif"/>
          <w:b w:val="false"/>
          <w:color w:val="000000"/>
          <w:sz w:val="20"/>
        </w:rPr>
        <w:t>our history of net losses and our ability to achieve or maintain profitability in an environment of increasing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viability of our growth strategy and our ability to realize expected results;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attract new members and to successfully enter into new markets;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quality and pricing of our products and services;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maintain a high rating for our plans on the Five Star Quality Rating System;</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develop and maintain satisfactory relationships with care providers that service our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manage our growth effectively, execute our business plan, maintain high levels of service and member satisfaction or adequately address competitive challenges;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compete in the healthcare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cybersecurity breaches, loss of data or other disruptions causing the compromise of sensitive information or preventing us from accessing critical information;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disruptions in our disaster recovery systems or management continuity planning;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dependence on reimbursements by the Centers for Medicare and Medicaid Services ("CMS") and premium payments by individuals;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risks associated with being a government contractor;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the healthcare services industry becoming more cyclical;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manage acquisitions, divestitures and other significant transactions successfully;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maintain, enhance and protect our reputation and brand recognition;</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effectively invest in, implement improvements to and properly maintain the uninterrupted operation and data integrity of our information technology and other business systems;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obtain, maintain, protect and enforce intellectual property protection for our technology;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any restrictions on our use of or ability to license data or our failure to license data and integrate third-party technologies;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cost and other potential adverse impacts of legal proceedings and litigation, including intellectual property and privacy disputes;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dependence on our senior management team and other key employees;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concentration of our health plans in a limited number of U.S. states;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generate sufficient cash flow to service all of our indebtedness and the potential impact of certain affirmative and negative covenants in our credit agreement on our business;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shortages of qualified personnel and related increases in our labor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risk that our records may contain inaccurate or unsupportable information regarding risk adjustment scores of members;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accurately estimate incurred but not reported medical expenses;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negative publicity regarding the managed healthcare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weather and other factors beyond our control on our clinics, the centers out of which our external providers operate, and the facilities that host our AVA platform (as defined below);</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on our business of renegotiation, non-renewal or termination of risk agreements with hospitals, physicians, nurses, pharmacists and medical support staff;</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risks associated with estimating the amount of liabilities that we recognize under our risk agreements with providers;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 xml:space="preserve">our ability to respond to general economic conditions, including but not limited to, increased inflation and higher interest rates; </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risks associated with an economic downturn, including pressure on governmental budgets and reduced spending for health and human service programs;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develop and maintain proper and effective internal control over financial reporting;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impact of state and federal efforts to reduce Medicare spending;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ability to comply with applicable federal, state and local rules and regulations, including those relating to data privacy and security;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factors disclosed in the section entitled “Risk Factors” and elsewhere in this Quarterly Report.</w:t>
      </w:r>
    </w:p>
    <w:p>
      <w:pPr>
        <w:pStyle w:val="TextBody"/>
        <w:bidi w:val="0"/>
        <w:spacing w:lineRule="auto" w:line="288" w:before="240" w:after="283"/>
        <w:jc w:val="both"/>
        <w:rPr/>
      </w:pPr>
      <w:r>
        <w:rPr>
          <w:rFonts w:ascii="Times New Roman;serif" w:hAnsi="Times New Roman;serif"/>
          <w:b w:val="false"/>
          <w:color w:val="000000"/>
          <w:sz w:val="20"/>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Quarterly Report in the context of these risks and uncertainties.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74"/>
        <w:gridCol w:w="2254"/>
        <w:gridCol w:w="2212"/>
        <w:gridCol w:w="211"/>
        <w:gridCol w:w="976"/>
        <w:gridCol w:w="109"/>
        <w:gridCol w:w="109"/>
        <w:gridCol w:w="109"/>
        <w:gridCol w:w="109"/>
        <w:gridCol w:w="211"/>
        <w:gridCol w:w="976"/>
        <w:gridCol w:w="155"/>
      </w:tblGrid>
      <w:tr>
        <w:trPr/>
        <w:tc>
          <w:tcPr>
            <w:tcW w:w="277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credit losses of $265 at June 30, 2026 and $833 at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951,577 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1,065,786 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556,866 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886,509 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100,000,000 shares authorized as of June 30, 2026 and December 31, 2025, respectively; no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1,000,000,000 shares authorized as of June 30, 2026 and December 31, 2025; 207,178,193 and 204,153,619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1,188,089 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(1,009,017)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1,279,038 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1,065,786 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5"/>
        <w:gridCol w:w="1239"/>
        <w:gridCol w:w="1200"/>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5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2,570,830 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1,942,220 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1,924,865 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Alignment Healthcare,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Alignment Healthcare, Inc.: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Times New Roman;serif" w:hAnsi="Times New Roman;serif"/>
                <w:b w:val="false"/>
                <w:color w:val="000000"/>
                <w:sz w:val="20"/>
              </w:rPr>
              <w:t xml:space="preserve">Basic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207,448,894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198,328,613 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206,408,426 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195,980,569 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 xml:space="preserve">Diluted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215,024,483 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209,519,629 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214,369,175 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201,576,078 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6"/>
        <w:gridCol w:w="418"/>
        <w:gridCol w:w="420"/>
        <w:gridCol w:w="379"/>
        <w:gridCol w:w="379"/>
        <w:gridCol w:w="383"/>
        <w:gridCol w:w="109"/>
        <w:gridCol w:w="109"/>
        <w:gridCol w:w="109"/>
        <w:gridCol w:w="211"/>
        <w:gridCol w:w="466"/>
        <w:gridCol w:w="109"/>
        <w:gridCol w:w="109"/>
        <w:gridCol w:w="109"/>
        <w:gridCol w:w="109"/>
        <w:gridCol w:w="211"/>
        <w:gridCol w:w="976"/>
        <w:gridCol w:w="109"/>
        <w:gridCol w:w="109"/>
        <w:gridCol w:w="109"/>
        <w:gridCol w:w="109"/>
        <w:gridCol w:w="211"/>
        <w:gridCol w:w="847"/>
        <w:gridCol w:w="109"/>
        <w:gridCol w:w="109"/>
        <w:gridCol w:w="109"/>
        <w:gridCol w:w="109"/>
        <w:gridCol w:w="370"/>
        <w:gridCol w:w="711"/>
        <w:gridCol w:w="191"/>
        <w:gridCol w:w="109"/>
        <w:gridCol w:w="109"/>
        <w:gridCol w:w="109"/>
        <w:gridCol w:w="211"/>
        <w:gridCol w:w="826"/>
        <w:gridCol w:w="157"/>
      </w:tblGrid>
      <w:tr>
        <w:trPr/>
        <w:tc>
          <w:tcPr>
            <w:tcW w:w="8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206,671,068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(997,601)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206,885 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207,178,193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(961,041)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265,131 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0"/>
        <w:gridCol w:w="374"/>
        <w:gridCol w:w="376"/>
        <w:gridCol w:w="379"/>
        <w:gridCol w:w="379"/>
        <w:gridCol w:w="383"/>
        <w:gridCol w:w="109"/>
        <w:gridCol w:w="109"/>
        <w:gridCol w:w="109"/>
        <w:gridCol w:w="211"/>
        <w:gridCol w:w="466"/>
        <w:gridCol w:w="109"/>
        <w:gridCol w:w="109"/>
        <w:gridCol w:w="109"/>
        <w:gridCol w:w="109"/>
        <w:gridCol w:w="211"/>
        <w:gridCol w:w="976"/>
        <w:gridCol w:w="109"/>
        <w:gridCol w:w="109"/>
        <w:gridCol w:w="109"/>
        <w:gridCol w:w="109"/>
        <w:gridCol w:w="211"/>
        <w:gridCol w:w="995"/>
        <w:gridCol w:w="109"/>
        <w:gridCol w:w="109"/>
        <w:gridCol w:w="109"/>
        <w:gridCol w:w="109"/>
        <w:gridCol w:w="334"/>
        <w:gridCol w:w="740"/>
        <w:gridCol w:w="173"/>
        <w:gridCol w:w="109"/>
        <w:gridCol w:w="109"/>
        <w:gridCol w:w="109"/>
        <w:gridCol w:w="211"/>
        <w:gridCol w:w="826"/>
        <w:gridCol w:w="158"/>
      </w:tblGrid>
      <w:tr>
        <w:trPr/>
        <w:tc>
          <w:tcPr>
            <w:tcW w:w="84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197,667,653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(1,017,407)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108,995 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consolidated subsidiary</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197,958,237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1,142,509 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(1,001,740)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140,967 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par value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50" w:type="dxa"/>
        <w:jc w:val="left"/>
        <w:tblInd w:w="0" w:type="dxa"/>
        <w:tblLayout w:type="fixed"/>
        <w:tblCellMar>
          <w:top w:w="28" w:type="dxa"/>
          <w:left w:w="28" w:type="dxa"/>
          <w:bottom w:w="28" w:type="dxa"/>
          <w:right w:w="28" w:type="dxa"/>
        </w:tblCellMar>
      </w:tblPr>
      <w:tblGrid>
        <w:gridCol w:w="638"/>
        <w:gridCol w:w="311"/>
        <w:gridCol w:w="312"/>
        <w:gridCol w:w="593"/>
        <w:gridCol w:w="593"/>
        <w:gridCol w:w="383"/>
        <w:gridCol w:w="109"/>
        <w:gridCol w:w="109"/>
        <w:gridCol w:w="109"/>
        <w:gridCol w:w="211"/>
        <w:gridCol w:w="466"/>
        <w:gridCol w:w="109"/>
        <w:gridCol w:w="109"/>
        <w:gridCol w:w="109"/>
        <w:gridCol w:w="109"/>
        <w:gridCol w:w="211"/>
        <w:gridCol w:w="976"/>
        <w:gridCol w:w="109"/>
        <w:gridCol w:w="109"/>
        <w:gridCol w:w="109"/>
        <w:gridCol w:w="109"/>
        <w:gridCol w:w="211"/>
        <w:gridCol w:w="991"/>
        <w:gridCol w:w="109"/>
        <w:gridCol w:w="109"/>
        <w:gridCol w:w="109"/>
        <w:gridCol w:w="109"/>
        <w:gridCol w:w="349"/>
        <w:gridCol w:w="671"/>
        <w:gridCol w:w="181"/>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204,153,619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(1,009,017)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2,655,815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207,178,193 </w:t>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1,225,965 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(961,041)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42"/>
        <w:gridCol w:w="423"/>
        <w:gridCol w:w="425"/>
        <w:gridCol w:w="379"/>
        <w:gridCol w:w="379"/>
        <w:gridCol w:w="383"/>
        <w:gridCol w:w="109"/>
        <w:gridCol w:w="109"/>
        <w:gridCol w:w="109"/>
        <w:gridCol w:w="211"/>
        <w:gridCol w:w="466"/>
        <w:gridCol w:w="109"/>
        <w:gridCol w:w="109"/>
        <w:gridCol w:w="109"/>
        <w:gridCol w:w="109"/>
        <w:gridCol w:w="211"/>
        <w:gridCol w:w="976"/>
        <w:gridCol w:w="109"/>
        <w:gridCol w:w="109"/>
        <w:gridCol w:w="109"/>
        <w:gridCol w:w="109"/>
        <w:gridCol w:w="211"/>
        <w:gridCol w:w="995"/>
        <w:gridCol w:w="109"/>
        <w:gridCol w:w="109"/>
        <w:gridCol w:w="109"/>
        <w:gridCol w:w="109"/>
        <w:gridCol w:w="280"/>
        <w:gridCol w:w="821"/>
        <w:gridCol w:w="146"/>
        <w:gridCol w:w="109"/>
        <w:gridCol w:w="109"/>
        <w:gridCol w:w="109"/>
        <w:gridCol w:w="211"/>
        <w:gridCol w:w="826"/>
        <w:gridCol w:w="158"/>
      </w:tblGrid>
      <w:tr>
        <w:trPr/>
        <w:tc>
          <w:tcPr>
            <w:tcW w:w="7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191,778,639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(1,008,293)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100,955 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 of consolidated subsidiary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197,958,237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1,142,509 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(1,001,740)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140,967 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83" w:type="dxa"/>
        <w:jc w:val="left"/>
        <w:tblInd w:w="0" w:type="dxa"/>
        <w:tblLayout w:type="fixed"/>
        <w:tblCellMar>
          <w:top w:w="28" w:type="dxa"/>
          <w:left w:w="28" w:type="dxa"/>
          <w:bottom w:w="28" w:type="dxa"/>
          <w:right w:w="28" w:type="dxa"/>
        </w:tblCellMar>
      </w:tblPr>
      <w:tblGrid>
        <w:gridCol w:w="2435"/>
        <w:gridCol w:w="2137"/>
        <w:gridCol w:w="2147"/>
        <w:gridCol w:w="211"/>
        <w:gridCol w:w="826"/>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property and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Amortization-investment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472,359 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condensed consolidated balance sheets to the total above:</w:t>
      </w:r>
    </w:p>
    <w:tbl>
      <w:tblPr>
        <w:tblW w:w="5198" w:type="dxa"/>
        <w:jc w:val="left"/>
        <w:tblInd w:w="0" w:type="dxa"/>
        <w:tblLayout w:type="fixed"/>
        <w:tblCellMar>
          <w:top w:w="28" w:type="dxa"/>
          <w:left w:w="28" w:type="dxa"/>
          <w:bottom w:w="28" w:type="dxa"/>
          <w:right w:w="28" w:type="dxa"/>
        </w:tblCellMar>
      </w:tblPr>
      <w:tblGrid>
        <w:gridCol w:w="918"/>
        <w:gridCol w:w="806"/>
        <w:gridCol w:w="810"/>
        <w:gridCol w:w="211"/>
        <w:gridCol w:w="826"/>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472,359 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Alignment Healthcare,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Alignment Healthcare, Inc. (collectively, “we” or “us” or “our” or the “Company”),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The Company’s operations primarily consist of Medicare Advantage Plans in the states of California, North Carolina, Nevada, Arizona and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and accompanying notes have been prepared in accordance with accounting principles generally accepted in the United States of America (“GAAP”). The balance sheet as of December 31, 2025, included herein, was derived from audited financial statements, but does not include all disclosures required by GAAP. In accordance with the rules and regulations of the U.S. Securities and Exchange Commission ("SEC"), the Company has omitted certain footnote disclosures that would substantially duplicate the disclosures contained in its annual audited consolidated financial statements. Therefore, these condensed consolidated financial statements should be read in conjunction with the Company's Annual Report on Form 10-K for the year-ended December 31, 2025 as filed with the SEC. Management believes that the accompanying condensed consolidated financial statements include all normal and recurring adjustments necessary to present the interim financial statements fairly. Furthermore, the condensed consolidated financial statements include the accounts of the Company, our subsidiaries, and three immaterial variable interest entities in which we are the primary beneficiary. All intercompany transactions have been eliminated in consolidation.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no components of other comprehensive income, and accordingly, comprehensive income is the same as the net income for all periods presented.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requires management to make estimates and judgments that affect the amounts reported in the condensed consolidated financial statements. Our significant estimates include, but are not limited to, the determination of medical expenses payable; the impact of risk adjustment provisions related to our Medicare contracts; collectability of receivables; valuation of related impairment recognition of long-lived assets, including goodwill and intangible assets; equity-based compensation expense; and contingent liabilities. Estimates and judgments are based upon historical information and on various other assumptions that are believed to be reasonable under the circumstances. Actual results could differ materially from those estimates and the impact of any change in estimates is included in earnings in the period in which the estimate is adjusted.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determined that our chief executive officer is the chief operating decision maker (“CODM”) who regularly reviews financial operating results on a consolidated basis for purposes of allocating resources and evaluating financial performance. We operate and manage the business as one reportable segment and one operating segment, which is to provide healthcare services to our seniors. Factors used in determining the reportable segment include the nature of operating activities, our organizational and reporting structure, and the type of information reviewed by the CODM to allocate resources and evaluate financial performance. All of our assets are located in the United States.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assesses the Company's performance by using consolidated net income which is reported on the condensed consolidated statements of operations as net income. This measure is used predominantly by the CODM in the annual budget and forecasting process. The CODM considers budget-to-actual variances on a quarterly basis when making decisions about the allocation of operating and capital resources for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addition to net income, the CODM is also provided information on certain significant segment expenses which are presented below:</w:t>
      </w:r>
    </w:p>
    <w:tbl>
      <w:tblPr>
        <w:tblW w:w="10205" w:type="dxa"/>
        <w:jc w:val="left"/>
        <w:tblInd w:w="0" w:type="dxa"/>
        <w:tblLayout w:type="fixed"/>
        <w:tblCellMar>
          <w:top w:w="28" w:type="dxa"/>
          <w:left w:w="28" w:type="dxa"/>
          <w:bottom w:w="28" w:type="dxa"/>
          <w:right w:w="28" w:type="dxa"/>
        </w:tblCellMar>
      </w:tblPr>
      <w:tblGrid>
        <w:gridCol w:w="1456"/>
        <w:gridCol w:w="1262"/>
        <w:gridCol w:w="127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1,942,220 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(less depreciation and equity-based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(less equity-based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4"/>
        </w:rPr>
        <w:t xml:space="preserve">Other segment items included in segment net income include equity-based compensation, depreciation and amortization, other income, and provision for income taxes.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Our current assets and current liabilities approximate fair value because of the short-term nature of these financial instruments. Financial instruments measured at fair value on a recurring basis were based upon a three-tier hierarchy as follows:</w:t>
      </w:r>
    </w:p>
    <w:p>
      <w:pPr>
        <w:pStyle w:val="TextBody"/>
        <w:bidi w:val="0"/>
        <w:spacing w:lineRule="auto" w:line="288" w:before="240" w:after="283"/>
        <w:jc w:val="both"/>
        <w:rPr/>
      </w:pPr>
      <w:r>
        <w:rPr>
          <w:rFonts w:ascii="Times New Roman;serif" w:hAnsi="Times New Roman;serif"/>
          <w:b/>
          <w:i/>
          <w:color w:val="000000"/>
          <w:sz w:val="20"/>
        </w:rPr>
        <w:t>Level 1</w:t>
      </w:r>
      <w:r>
        <w:rPr>
          <w:color w:val="000000"/>
        </w:rPr>
        <w:t xml:space="preserve"> </w:t>
      </w:r>
      <w:r>
        <w:rPr>
          <w:rFonts w:ascii="Times New Roman;serif" w:hAnsi="Times New Roman;serif"/>
          <w:b w:val="false"/>
          <w:color w:val="000000"/>
          <w:sz w:val="20"/>
        </w:rPr>
        <w:t>- Quoted prices in active markets for identical assets or liabilities</w:t>
      </w:r>
    </w:p>
    <w:p>
      <w:pPr>
        <w:pStyle w:val="TextBody"/>
        <w:bidi w:val="0"/>
        <w:spacing w:lineRule="auto" w:line="288" w:before="240" w:after="283"/>
        <w:jc w:val="both"/>
        <w:rPr/>
      </w:pPr>
      <w:r>
        <w:rPr>
          <w:rFonts w:ascii="Times New Roman;serif" w:hAnsi="Times New Roman;serif"/>
          <w:b/>
          <w:i/>
          <w:color w:val="000000"/>
          <w:sz w:val="20"/>
        </w:rPr>
        <w:t>Level 2</w:t>
      </w:r>
      <w:r>
        <w:rPr>
          <w:color w:val="000000"/>
        </w:rPr>
        <w:t xml:space="preserve"> </w:t>
      </w:r>
      <w:r>
        <w:rPr>
          <w:rFonts w:ascii="Times New Roman;serif" w:hAnsi="Times New Roman;serif"/>
          <w:b w:val="false"/>
          <w:color w:val="000000"/>
          <w:sz w:val="20"/>
        </w:rPr>
        <w:t>- Other inputs that are observable for the asset or liability, either directly or indirectly, for substantially the full term of the asset or liability</w:t>
      </w:r>
    </w:p>
    <w:p>
      <w:pPr>
        <w:pStyle w:val="TextBody"/>
        <w:bidi w:val="0"/>
        <w:spacing w:lineRule="auto" w:line="288" w:before="240" w:after="283"/>
        <w:jc w:val="both"/>
        <w:rPr/>
      </w:pPr>
      <w:r>
        <w:rPr>
          <w:rFonts w:ascii="Times New Roman;serif" w:hAnsi="Times New Roman;serif"/>
          <w:b/>
          <w:i/>
          <w:color w:val="000000"/>
          <w:sz w:val="20"/>
        </w:rPr>
        <w:t>Level 3</w:t>
      </w:r>
      <w:r>
        <w:rPr>
          <w:color w:val="000000"/>
        </w:rPr>
        <w:t xml:space="preserve"> </w:t>
      </w:r>
      <w:r>
        <w:rPr>
          <w:rFonts w:ascii="Times New Roman;serif" w:hAnsi="Times New Roman;serif"/>
          <w:b w:val="false"/>
          <w:color w:val="000000"/>
          <w:sz w:val="20"/>
        </w:rPr>
        <w:t>- Unobservable inputs that reflect management’s best estimate of what market participants would use in pricing the asset or liability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cash, cash equivalents, restricted cash and U.S. Treasury bills was determined based on Level 1 inputs. The fair value of certificate of deposits, which are recorded in other assets in the condensed consolidated balance sheets, and long-term debt was determined based on Level 2 inputs. There were no assets or liabilities measured at fair value using Level 3 inputs as of June 30, 2026 and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and Accounts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Earned premium revenue consisted of premium revenue and capitation revenue for the three and six months ended June 30, 2026 and 2025 were as follows: </w:t>
      </w:r>
    </w:p>
    <w:tbl>
      <w:tblPr>
        <w:tblW w:w="7201" w:type="dxa"/>
        <w:jc w:val="left"/>
        <w:tblInd w:w="0" w:type="dxa"/>
        <w:tblLayout w:type="fixed"/>
        <w:tblCellMar>
          <w:top w:w="28" w:type="dxa"/>
          <w:left w:w="28" w:type="dxa"/>
          <w:bottom w:w="28" w:type="dxa"/>
          <w:right w:w="28" w:type="dxa"/>
        </w:tblCellMar>
      </w:tblPr>
      <w:tblGrid>
        <w:gridCol w:w="358"/>
        <w:gridCol w:w="315"/>
        <w:gridCol w:w="31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Premium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2,552,652 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1,006,203 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2,553,191 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1,924,246 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Premium revenue is derived monthly from the federal government based on our contracts with the Centers for Medicare and Medicaid Services (“CMS”). In accordance with these arrangements, we assume the responsibility for the outcomes and the economic risk of funding our members’ health care, supplemental benefits and related administration costs. We recognize premium revenue in the month that members are entitled to receive health care services, and premiums collected in advance are deferred. The monthly reimbursement includes a fixed payment per member per month (“PMPM”), which is adjusted based on certain risk factors derived from medical diagnoses and conditions of our members. The adjustments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estimated by projecting the ultimate annual premium and are recognized ratably during the year, with adjustments each period to reflect changes in the estimated ultimate premium. Premiums are also recorded net of estimated uncollectible amounts and retroactive membership adjustments.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2025, capitation revenue consisted primarily of capitated fees for medical care services provided by us under arrangements with third-party payors.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those arrangements with third-party payors, we received a PMPM payment for a defined member population, and we were responsible for providing health care services to the member population over the contract period. We were solely responsible for the cost of health care services related to the member population and in some cases, we were financially responsible for the supplemental benefits provided by us to the members. We acted as a principal in arranging for and controlling the services provided by our provider network and we were at risk for arranging and providing health care services.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1, 2026, we no longer have these capitation arrangements with third-party payors.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premium and capitation payments we receive monthly from CMS for our members are determined from our annual bid or similarly from third-party payors under our capitation arrangement. These payments represent revenues for providing health 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w:t>
      </w:r>
    </w:p>
    <w:p>
      <w:pPr>
        <w:pStyle w:val="TextBody"/>
        <w:bidi w:val="0"/>
        <w:spacing w:lineRule="auto" w:line="288" w:before="240" w:after="283"/>
        <w:jc w:val="left"/>
        <w:rPr/>
      </w:pPr>
      <w:r>
        <w:rPr>
          <w:rFonts w:ascii="Times New Roman;serif" w:hAnsi="Times New Roman;serif"/>
          <w:b w:val="false"/>
          <w:color w:val="000000"/>
          <w:sz w:val="20"/>
        </w:rPr>
        <w:t>In 2025, we also participated in the CMS “ACO Realizing Equity, Access, and Community Health Model” or “ACO REACH” model, formerly the Direct Contracting Model ("DCE"). CMS served as the claim adjudicator for institutional and specialists care, and directly paid for such fee for service claims. The ACO REACH entity ("ACO") was responsible for the cost of health care services related to the patient population attributed to the ACO by participating in 100% savings/losses via the risk share model and in some cases, were financially responsible for the supplemental benefits provided to the patients. The Company acted as an agent in an arrangement where it was not responsible for arranging and controlling the health care services provided to the ACO members, and for providing certain management and support services with respect to ACO operations</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0"/>
        </w:rPr>
        <w:t xml:space="preserve">The principal assumed the specified upside and downside financial risks relative to the ACO’s performance. As a result of this arrangement, ACO revenue was recorded on a net basis within other revenue on the condensed consolidated statement of operations. We discontinued our participation in the ACO REACH model as of December 31, 2025. This did not have a material impact to our financial results.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earned on our cash deposits and short-term investments is included within other revenue on the condensed consolidated statements of operations. Interest income for the three and six months ended June 30, 2026 was $8,096 and $16,099, respectively. Interest income for the three and six months ended June 30, 2025 was $6,731 and $13,230,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Adjustments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Payments by CMS to health plans are determined via a competitive bidding process with CMS and are based upon the cost of care in a local market and the average utilization of services by the member enrolled. These payments are subject to periodic adjustments under CMS’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The Company and health care providers collect, capture, and submit the necessary and available diagnosis data to CMS within prescribed deadlines. Premium revenues are subject to adjustments under the risk adjustment model.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Throughout the year, we estimate risk adjustment payments based upon the diagnosis data submitted and expected to be submitted to CMS. Those estimated risk adjustment payments are recorded as an adjustment to premium and capitation revenue. Our risk adjustment data is also subject to review by the government, including audit by regulators.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recognized premium revenue for our Medicare Advantage Plans are each subject to a minimum annual medical loss ratio (“MLR”) of 85%. The MLR represents medical costs as a percentage of premium revenue. The Code of Federal Regulations defines what constitutes medical costs and premium revenue, including certain additional expenses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improving the quality of care provided, and the exclusion of certain taxes and fees, in each case as permitted or required by CMS and applicable regulatory requirements. If the minimum MLR is not met, we are required to remit a portion of the premiums back to the federal government. The amount remitted, if any, is recognized as an adjustment to premium revenues in the condensed consolidated statements of operations. The amounts payable under this provision were immaterial at June 30, 2026 and December 31,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Medicare Part D payments are also subject to a federal risk corridor program, which limits a health plan’s overall losses or profit if actual spending for basic Medicare Part D benefits is much higher or lower than what was anticipated. Risk corridor adjustments are recorded within premium revenue. The risk corridor provisions compare costs targeted in our bids to actual prescription drug costs, limited to actual costs that would have been incurred under the standard coverage as defined by CMS. Variances exceeding certain thresholds may result in CMS making additional payments to us or require us to refund a portion of the premiums we received. We estimate and recognize an adjustment to premium revenue related to these provisions based upon pharmacy claims experience. We record a receivable or payable at the contract level and classify the amount as current or long-term in our condensed consolidated balance sheets based on the timing of expected settlement.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Receivables, including risk adjusted premium due from the government, pharmacy rebates, and other receivables, are shown net of allowances for credit losses and retroactive membership adjustments.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and Equipment—Net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is computed using the straight-line method generally based on the following estimated useful lives:</w:t>
      </w:r>
    </w:p>
    <w:tbl>
      <w:tblPr>
        <w:tblW w:w="5039" w:type="dxa"/>
        <w:jc w:val="left"/>
        <w:tblInd w:w="0" w:type="dxa"/>
        <w:tblLayout w:type="fixed"/>
        <w:tblCellMar>
          <w:top w:w="28" w:type="dxa"/>
          <w:left w:w="28" w:type="dxa"/>
          <w:bottom w:w="28" w:type="dxa"/>
          <w:right w:w="28" w:type="dxa"/>
        </w:tblCellMar>
      </w:tblPr>
      <w:tblGrid>
        <w:gridCol w:w="948"/>
        <w:gridCol w:w="834"/>
        <w:gridCol w:w="842"/>
        <w:gridCol w:w="707"/>
        <w:gridCol w:w="707"/>
        <w:gridCol w:w="1001"/>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Service Lives (years)</w:t>
            </w:r>
          </w:p>
        </w:tc>
      </w:tr>
      <w:tr>
        <w:trPr/>
        <w:tc>
          <w:tcPr>
            <w:tcW w:w="26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equipment</w:t>
            </w:r>
          </w:p>
        </w:tc>
        <w:tc>
          <w:tcPr>
            <w:tcW w:w="24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26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41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15 (or lease term, if shorter)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used to service our members or at our clinics are included within medical expenses in the condensed consolidated statements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Medical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include claim payments, capitation payments, pharmacy costs net of rebates, allocations of certain centralized expenses, internal care delivery expenses and various other costs incurred to provide health insurance coverage and care to members, as well as estimates of future payments to hospitals and others for medical care and other supplemental benefits provided.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 in which the provider is paid negotiated rates for specific services provided or a capitation payment, which represent monthly contractual fees disbursed for each member regardless of medical services provided to the member. We are responsible for the entirety of the cost of health care services related to the member population, in addition to supplemental benefits provided by us to our seniors.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Capitation-related expenses are recorded on an accrual basis during the coverage period. Expenses related to fee-for-service contracts are recorded in the period in which the related services are dispensed.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Pharmacy costs represent payments for members’ prescription drug benefits, net of rebates from drug manufacturers. Receivables for such pharmacy rebates are included in accounts receivable in the condensed consolidated balance sheet.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August 2022, the Inflation Reduction Act ("IRA") was signed into law. The law intends to increase tax revenue and reduce Medicare costs through lower prescription drug prices, inflation-based rebates, and increased financial responsibility for certain drug manufacturers. The provisions of the law are set to take effect over seven years from 2023 to 2029. For the three and six months ended June 30, 2026 and June 30, 2025, we experienced an increase in both Part D premium revenues and medical expenses as a result of the IRA. Our 2026 bid pricing (submitted to CMS in June 2025) and budget reflect the expected impact the IRA will have on our business for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Medical Expenses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Medical expenses payable includes estimates of our obligations for medical care services that have been rendered on behalf of our members, but for which claims have either not yet been received or processed, loss adjustment expense reserve for the expected costs of settling these claims, and for liabilities related to physician, hospital, and other medical cost disputes.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develop estimates for medical expenses incurred but not yet paid (“IBNP”), which includes an estimate for claims incurred but not reported (“IBNR”) and a payable for adjudicated claims. IBNR is estimated using an actuarial process that is consistently applied and centrally controlled. Medical expenses payable also includes an estimate for the costs necessary to process unpaid claims at the end of each period. We estimate the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 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our actuarial method of reserving. We believe that medical expenses payable is adequate to cover future claims payments required. However, such estimates are based on knowledge of current events and anticipated future events. Therefore, the actual liability could differ materially from the amounts provided.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reassess the profitability of contracts for providing coverage to members when current operating results or forecasts indicate probable future losses. A premium deficiency reserve is established in current operations to the extent that the sum of expected future costs, claim adjustment expenses, and maintenance costs exceed related future premiums under contract and investment income. For purposes of determining premium deficiencies, contracts are grouped in a manner consistent with the method of acquiring, servicing, and measuring the profitability of such contracts. Losses recognized as a premium deficiency result in a beneficial effect in subsequent periods as operating losses under these contracts are charged to the liability previously established.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Part D Subsidies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receive advance payments each month from CMS related to Catastrophic Reinsurance, Manufacturer Discount Program, the Low-Income Member Cost Sharing Subsidy (“Part D Subsidies”), and Select Drug Prepayments related to the Maximum Fair Price Program. Reinsurance subsidies represent funding from CMS for our portion of prescription drug costs that exceed the member’s out-of-pocket threshold or the catastrophic coverage level. Low-income cost sharing subsidies represent funding from CMS for all or a portion of the deductible, the coinsurance and co-payment for low-income beneficiaries. Additionally, the Inflation Reduction Act mandates consumer discounts on most brand-name prescription drugs for Part D plan participants in the initial coverage and catastrophic phases. These discounts are ultimately funded by the pharmaceutical manufacturers. In 2025, the IRA retired the Coverage Gap Discount Program, introduced the Manufacturer Discount Program, and change the members cost thresholds for the catastrophic phase. New in 2026, CMS is providing prepayment to cover liabilities associated with the Maximum Fair Price Program. These program changes and the corresponding changes in prepayments are reflected in our 2026 experience.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Part D Subsidies represent cost reimbursements under the Medicare Part D program and are recorded as deposits or payables. These Subsidies received in excess of, or less than, actual subsidized benefits paid are refundable to or recoverable from CMS through an annual reconciliation process following the end of the contract year.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Shared Risk Reserve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a fund (also referred to as “a pool”) for risk and profit-sharing with various independent physician associations (“IPAs”). The pool enables us and our IPAs to share in the financial responsibility and/or upside associated with providing covered medical expenses to our members. The risk pool is based on a contractually agreed upon medical budget, typically based upon a percentage of revenue. If actual medical expenses are less than the budgeted amount,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results in a surplus. Conversely, if actual medical expenses are greater than the budgeted amount, this results in a deficit. We will distribute the surplus, or a portion thereof, to each IPA based upon contractual terms. Deficits are charged to shared risk providers’ risk pool as per the contractual term and evaluated for collectability at each reporting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 risk-sharing receivables and payables on a gross basis on the condensed consolidated balance sheets. Throughout the year, we evaluate expected losses on risk-sharing receivables and record the resulting expected losses to the reserve. We systematically build and release reserves based on adequacy and its assessment of expected losses on a monthly basis. Credit loss associated with risk share deficit receivables are recorded within medical expense in the condensed consolidated statements of operations. As of June 30, 2026 and December 31, 2025, we recorded an allowance for credit losses for substantially all of the risk-sharing receivable balance due to collection risk related to the balance. The risk-sharing payable is included within medical expenses payable on the condensed consolidated balance sheets.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primarily of cash deposits and current and restricted investments with financial institutions. Accounts at each financial institution are insured by the Federal Deposit Insurance Corporation (“FDIC”) up to certain limits.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Equity-based compensation expense is measured and recognized based on the grant date fair value of the awards. The grant date fair value of stock options is estimated using the Black-Scholes option pricing model. The grant date fair value of restricted stock units (“RSUs”) and performance stock units ("PSUs") is generally estimated based on the fair value of our underlying common stock on the date of grant. For PSUs with market-based performance conditions, the fair value is determined using a Monte Carlo simulation.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Black-Scholes option pricing model requires the use of highly subjective assumptions, including the award’s expected term, the fair value of the underlying common stock, the expected volatility of the price of the common stock, risk-free interest rates, and the expected dividend yield of the common stock. The assumptions used to determine the fair value of the stock-based awards are management’s best estimates and involve inherent uncertainties and the application of judgment. The expected term represents the period the stock-based awards are expected to be outstanding. As we did not have sufficient historical experience for determining the expected term of the stock option awards granted, we utilized the simplified method available under GAAP. As we did not have a substantial trading history, volatility assumptions were developed using a combination of the Company's historical volatility and the historical volatilities of a set of peer companies, adjusted for debt-equity leverage. Equity-based compensation expense for awards with service-based vesting only is recognized on a graded vesting schedule over the requisite service period of the awards, which is generally three or four years.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Equity-based compensation expense for PSU awards with Company performance-based vesting is recognized over the requisite service period on a graded vesting schedule and is only recognized when the Company concludes that it is probable that the performance condition(s) will be achieved. At each reporting period, the Company reassesses the probability of achieving the performance criteria. Determining whether the performance criteria will be achieved involves judgment, and the estimate of share-based compensation expense may be revised periodically based on changes in the probability of achieving the performance criteria. Revisions are reflected in the period in which the estimate is changed. We account for forfeitures as they occur. For PSU awards with market-based performance conditions, equity-based compensation expense for each performance tranche is recognized on a straight-line basis over the requisite service period. As the grant date fair value is derived using a Monte Carlo simulation, the probability of meeting the market-based performance conditions is factored into the fair value and no reassessment is required.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Equity-based compensation is recorded within selling, general and administrative expenses, and medical expenses based on the function of the applicable employee and non-employee.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Income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per share is calculated based on net income attributable to Alignment Healthcare, Inc.'s stockholders. Potentially dilutive common stock equivalents for the Company include stock options, unvested RSUs, unvested PSUs, and convertible senior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includes the components of basic net income per share and also gives effect to dilutive common stock equivalents. Diluted net income per share reflects the potential dilution that could occur if securities or other instruments that are convertible into common stock were exercised or could result in the issuance of common stock. For the purposes of computing diluted net income per share, weighted average shares outstanding do not include potentially dilutive securities that are anti-dilutive under the treasury stock method or if-converted method, and performance-based equity awards are included based on the attainment of the applicable performance metrics as of the end of the reporting period.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net income per share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510"/>
        <w:gridCol w:w="1205"/>
        <w:gridCol w:w="1216"/>
        <w:gridCol w:w="268"/>
        <w:gridCol w:w="918"/>
        <w:gridCol w:w="120"/>
        <w:gridCol w:w="109"/>
        <w:gridCol w:w="109"/>
        <w:gridCol w:w="109"/>
        <w:gridCol w:w="268"/>
        <w:gridCol w:w="918"/>
        <w:gridCol w:w="120"/>
        <w:gridCol w:w="109"/>
        <w:gridCol w:w="109"/>
        <w:gridCol w:w="109"/>
        <w:gridCol w:w="268"/>
        <w:gridCol w:w="918"/>
        <w:gridCol w:w="120"/>
        <w:gridCol w:w="109"/>
        <w:gridCol w:w="109"/>
        <w:gridCol w:w="109"/>
        <w:gridCol w:w="302"/>
        <w:gridCol w:w="884"/>
        <w:gridCol w:w="189"/>
      </w:tblGrid>
      <w:tr>
        <w:trPr/>
        <w:tc>
          <w:tcPr>
            <w:tcW w:w="15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Alignment Healthcare, Inc.</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weighted-average common shares outstanding</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207,448,894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198,328,613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206,408,426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196,003,736</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shares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(23,167)</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weighted-average common shares outstanding, net of restricted shares of common stock - basic </w:t>
            </w:r>
          </w:p>
        </w:tc>
        <w:tc>
          <w:tcPr>
            <w:tcW w:w="13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207,448,894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198,328,613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206,408,426 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195,980,569</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Dilutive effect of:</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405,903 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937,237 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5,892,107 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8,111,256 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6,576,859 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4,055,628 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893,306 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2,673,857 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446,653 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diluted income per common share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215,024,483 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209,519,629 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214,369,175 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201,576,078 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Options outstanding that are antidilutive and therefore not factored into the weighted average common shares above were 17,965 for the three and six months ended June 30, 2026. RSUs outstanding that are antidilutive and therefore not factored into the weighted average common shares above were 0 and 568 for the three and six months ended June 30, 2026, respectively. Shares used to compute diluted income per common shares for the three and six months ended June 30, 2026 also excludes 24,636,896 and 23,768,341, respectively, of potentially outstanding shares related to our convertible senior notes, as these had an antidilutive effect on diluted income per share. Additionally, for the three and six months ended June 30, 2026, we excluded 2,795,152 PSUs as the performance targets have not yet been achieved as of June 30, 2026. See Note 10, Equity-Based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Issued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clarifies and reorganizes existing U.S. GAAP guidance for interim financial reporting without changing the underlying disclosure requirements. The update refines the scope of Topic 270 to apply to entities that present a complete set of interim financial statements (or condensed financial statements with accompanying notes) and introduces a more principles-based disclosure objective focused on reporting material changes since the most recent annual reporting period. It also consolidates and streamlines interim disclosure guidance—previously dispersed across various topics—into a more accessible framework within Topic 270, with the goal of improving consistency and usability in practice while avoiding unnecessary repetition of annual disclosures. ASU 2025-11 is effective for public business entities for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beginning after December 15, 2027, with early adoption permitted. The Company is currently evaluating the impact of this ASU on its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removes the multi-stage model when determining internal-use software development cost capitalization. Under the new ASU, such software costs are capitalized when management has authorized and committed to funding the software project, and if it is probable that the project will be completed and the software will be used to perform the function intended. If a project is still subject to major uncertainty, capitalization is prohibited. ASU 2025-06 is effective for annual periods beginning after December 15, 2027 (and interim reporting periods within those annual reporting periods). The Company is currently evaluating the impact of this ASU on its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which improves income statement presentation and disclosures related to expenses. It requires a public entity to disaggregate key expense categories such as employee compensation, depreciation and intangible asset amortization within its financial statements. ASU 2024-03 is effective for annual periods beginning after December 15, 2026, and interim periods within the Company's fiscal year 2027, with early adoption permitted. The Company is currently evaluating the impact of this ASU on its disclosures of income statement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Fair Value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value and fair value of these financial instruments as of June 30, 2026 and December 31, 2025:</w:t>
      </w:r>
    </w:p>
    <w:tbl>
      <w:tblPr>
        <w:tblW w:w="6674" w:type="dxa"/>
        <w:jc w:val="left"/>
        <w:tblInd w:w="0" w:type="dxa"/>
        <w:tblLayout w:type="fixed"/>
        <w:tblCellMar>
          <w:top w:w="28" w:type="dxa"/>
          <w:left w:w="28" w:type="dxa"/>
          <w:bottom w:w="28" w:type="dxa"/>
          <w:right w:w="28" w:type="dxa"/>
        </w:tblCellMar>
      </w:tblPr>
      <w:tblGrid>
        <w:gridCol w:w="689"/>
        <w:gridCol w:w="606"/>
        <w:gridCol w:w="6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0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74" w:type="dxa"/>
        <w:jc w:val="left"/>
        <w:tblInd w:w="0" w:type="dxa"/>
        <w:tblLayout w:type="fixed"/>
        <w:tblCellMar>
          <w:top w:w="28" w:type="dxa"/>
          <w:left w:w="28" w:type="dxa"/>
          <w:bottom w:w="28" w:type="dxa"/>
          <w:right w:w="28" w:type="dxa"/>
        </w:tblCellMar>
      </w:tblPr>
      <w:tblGrid>
        <w:gridCol w:w="689"/>
        <w:gridCol w:w="606"/>
        <w:gridCol w:w="6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40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convertible senior notes based on valuations provided by third-party pricing services. Fair value of the long-term debt as of June 30, 2026 was approximately $562,494. The Company's fair value of long-term debt disclosure is classified within Level 2 of the valuation hierarchy. As of December 31, 2025, the fair value of our long-term debt was approximately $514,164.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long-term debt represents the outstanding balance, net of unamortized debt issuance costs which was $324,056 and $323,176 as of June 30, 2026 and December 31, 2025,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nonfinancial assets and liabilities, which include goodwill, intangible assets, property, and equipment, are not required to be measured at fair value on a recurring basis. However, on a periodic basis, or whenever events or changes in circumstances indicate that their carrying value may not be recoverable, we assess these assets for impairment. No such impairment resulted during the six months ended June 30, 2026. We recorded an impairment charge related to goodwill as of December 31, 2025. See Note 6, Goodwill and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00"/>
        <w:jc w:val="both"/>
        <w:rPr>
          <w:rFonts w:ascii="Times New Roman;serif" w:hAnsi="Times New Roman;serif"/>
          <w:b/>
          <w:color w:val="000000"/>
          <w:sz w:val="20"/>
        </w:rPr>
      </w:pPr>
      <w:r>
        <w:rPr>
          <w:rFonts w:ascii="Times New Roman;serif" w:hAnsi="Times New Roman;serif"/>
          <w:b/>
          <w:color w:val="000000"/>
          <w:sz w:val="20"/>
        </w:rPr>
        <w:t xml:space="preserve">U.S. Treasury Securities Investments </w:t>
      </w:r>
    </w:p>
    <w:p>
      <w:pPr>
        <w:pStyle w:val="TextBody"/>
        <w:bidi w:val="0"/>
        <w:spacing w:lineRule="auto" w:line="288" w:before="24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$15,137 and $28,413, respectively, of investments in U.S. Treasury bills, which were classified as held to maturity and carried at amortized cost. As of June 30, 2026, $8,259 of the investments are included in short-term investments in the condensed consolidated balance sheets as the original maturities are greater than three months and less than twelve months. As of June 30, 2026, $6,878 of the investments had an original maturity of less than three months. These investments are considered cash equivalents and are included in cash and cash equivalents in the condensed consolidated balances sheets. As of December 31, 2025, the entire balance was included in short-term investments as the original maturities were greater than three months and less than twelve months. The Company has the intent and ability to hold these securities to maturity and gross unrecognized gains and losses were immaterial. </w:t>
      </w:r>
    </w:p>
    <w:p>
      <w:pPr>
        <w:pStyle w:val="TextBody"/>
        <w:bidi w:val="0"/>
        <w:spacing w:lineRule="auto" w:line="288" w:before="240" w:after="200"/>
        <w:jc w:val="both"/>
        <w:rPr>
          <w:rFonts w:ascii="Times New Roman;serif" w:hAnsi="Times New Roman;serif"/>
          <w:b/>
          <w:color w:val="000000"/>
          <w:sz w:val="20"/>
        </w:rPr>
      </w:pPr>
      <w:r>
        <w:rPr>
          <w:rFonts w:ascii="Times New Roman;serif" w:hAnsi="Times New Roman;serif"/>
          <w:b/>
          <w:color w:val="000000"/>
          <w:sz w:val="20"/>
        </w:rPr>
        <w:t>Restricted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investments are composed of investments in U.S. Treasury bills and certificates of deposits and are included within other assets in the condensed consolidated balance sheets. As of June 30, 2026 and December 31, 2025, the Company had $1,023 and $1,043 of restricted investments in U.S. Treasury bills and $2,353 and $2,345 of restricted investments in certificates of deposits, respectively. The Company has the intent and ability to hold these investments until maturity; therefore, these investments are stated at amortized cost. Restricted investments are required to be maintained at a financial institution within certain states. As of June 30, 2026 and December 31, 2025, these investments had maturities with less than 12 months. Due to the nature of the state's requirements, these assets are classified as noncurrent assets regardless of the contractual maturity date.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Money Market Funds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$235,210 and $216,155, respectively, in money market funds, which are recorded at fair value and included in cash and cash equivalents in the consolidated condensed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Accounts Receivable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 as of June 30, 2026 and December 31, 2025:</w:t>
      </w:r>
    </w:p>
    <w:tbl>
      <w:tblPr>
        <w:tblW w:w="5079" w:type="dxa"/>
        <w:jc w:val="left"/>
        <w:tblInd w:w="0" w:type="dxa"/>
        <w:tblLayout w:type="fixed"/>
        <w:tblCellMar>
          <w:top w:w="28" w:type="dxa"/>
          <w:left w:w="28" w:type="dxa"/>
          <w:bottom w:w="28" w:type="dxa"/>
          <w:right w:w="28" w:type="dxa"/>
        </w:tblCellMar>
      </w:tblPr>
      <w:tblGrid>
        <w:gridCol w:w="875"/>
        <w:gridCol w:w="768"/>
        <w:gridCol w:w="772"/>
        <w:gridCol w:w="211"/>
        <w:gridCol w:w="826"/>
        <w:gridCol w:w="109"/>
        <w:gridCol w:w="109"/>
        <w:gridCol w:w="109"/>
        <w:gridCol w:w="109"/>
        <w:gridCol w:w="211"/>
        <w:gridCol w:w="82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receivables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rebate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253,207 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allowance for expected credit losses for accounts receivable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We record pharmacy rebates and other receivables based on contractual terms and expected collections and our estimation process for contractual allowances for such balances generally results in an allowance for balances outstanding greater than 90 days or if expected credit risks are known.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Receivables and any associated allowance are written off only when all collection attempts have failed and such amounts are determined unrecoverable. We regularly review the adequacy of these allowances based on a variety of factors, including age of the outstanding receivable and collection history. When circumstances related to specific collection patterns change, estimates of the recoverability of receivables are adjusted. Because substantially all of our receivable amounts are readily determinable and a large portion of our creditors are governmental authorities, our allowance for credit losses is insignificant.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recorded credit loss related to accounts receivable of $265 and $262 during the three months ended June 30, 2026 and 2025, respectively, and $265 and $262 during the six months ended June 30, 2026 and 2025, respectively. The amounts were recorded in selling general, and administrative expenses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 June 30, 2026 and December 31, 2025:</w:t>
      </w:r>
    </w:p>
    <w:tbl>
      <w:tblPr>
        <w:tblW w:w="5131" w:type="dxa"/>
        <w:jc w:val="left"/>
        <w:tblInd w:w="0" w:type="dxa"/>
        <w:tblLayout w:type="fixed"/>
        <w:tblCellMar>
          <w:top w:w="28" w:type="dxa"/>
          <w:left w:w="28" w:type="dxa"/>
          <w:bottom w:w="28" w:type="dxa"/>
          <w:right w:w="28" w:type="dxa"/>
        </w:tblCellMar>
      </w:tblPr>
      <w:tblGrid>
        <w:gridCol w:w="949"/>
        <w:gridCol w:w="835"/>
        <w:gridCol w:w="840"/>
        <w:gridCol w:w="211"/>
        <w:gridCol w:w="721"/>
        <w:gridCol w:w="109"/>
        <w:gridCol w:w="109"/>
        <w:gridCol w:w="109"/>
        <w:gridCol w:w="109"/>
        <w:gridCol w:w="221"/>
        <w:gridCol w:w="757"/>
        <w:gridCol w:w="16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243,383 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(179,132)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64,251 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June 30, 2026 and 2025 was $7,857 and $7,036, respectively, of which $3 and $33, respectively, were included in medical expenses. Depreciation expense for the six months ended June 30, 2026 and 2025 was $15,719 and $14,029, respectively, of which $26 and $66, respectively, were included in medical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consisted of the following as of June 30, 2026 and December 31, 2025: </w:t>
      </w:r>
    </w:p>
    <w:tbl>
      <w:tblPr>
        <w:tblW w:w="10205" w:type="dxa"/>
        <w:jc w:val="left"/>
        <w:tblInd w:w="0" w:type="dxa"/>
        <w:tblLayout w:type="fixed"/>
        <w:tblCellMar>
          <w:top w:w="28" w:type="dxa"/>
          <w:left w:w="28" w:type="dxa"/>
          <w:bottom w:w="28" w:type="dxa"/>
          <w:right w:w="28" w:type="dxa"/>
        </w:tblCellMar>
      </w:tblPr>
      <w:tblGrid>
        <w:gridCol w:w="804"/>
        <w:gridCol w:w="696"/>
        <w:gridCol w:w="703"/>
        <w:gridCol w:w="338"/>
        <w:gridCol w:w="1159"/>
        <w:gridCol w:w="175"/>
        <w:gridCol w:w="109"/>
        <w:gridCol w:w="109"/>
        <w:gridCol w:w="109"/>
        <w:gridCol w:w="454"/>
        <w:gridCol w:w="1365"/>
        <w:gridCol w:w="237"/>
        <w:gridCol w:w="109"/>
        <w:gridCol w:w="109"/>
        <w:gridCol w:w="109"/>
        <w:gridCol w:w="307"/>
        <w:gridCol w:w="1050"/>
        <w:gridCol w:w="158"/>
        <w:gridCol w:w="109"/>
        <w:gridCol w:w="109"/>
        <w:gridCol w:w="109"/>
        <w:gridCol w:w="519"/>
        <w:gridCol w:w="519"/>
        <w:gridCol w:w="740"/>
      </w:tblGrid>
      <w:tr>
        <w:trPr/>
        <w:tc>
          <w:tcPr>
            <w:tcW w:w="8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(indefinite lived)</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member relationships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2 - 10 years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39,943 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bl>
    <w:tbl>
      <w:tblPr>
        <w:tblW w:w="10205" w:type="dxa"/>
        <w:jc w:val="left"/>
        <w:tblInd w:w="0" w:type="dxa"/>
        <w:tblLayout w:type="fixed"/>
        <w:tblCellMar>
          <w:top w:w="28" w:type="dxa"/>
          <w:left w:w="28" w:type="dxa"/>
          <w:bottom w:w="28" w:type="dxa"/>
          <w:right w:w="28" w:type="dxa"/>
        </w:tblCellMar>
      </w:tblPr>
      <w:tblGrid>
        <w:gridCol w:w="804"/>
        <w:gridCol w:w="696"/>
        <w:gridCol w:w="703"/>
        <w:gridCol w:w="338"/>
        <w:gridCol w:w="1159"/>
        <w:gridCol w:w="175"/>
        <w:gridCol w:w="109"/>
        <w:gridCol w:w="109"/>
        <w:gridCol w:w="109"/>
        <w:gridCol w:w="454"/>
        <w:gridCol w:w="1365"/>
        <w:gridCol w:w="237"/>
        <w:gridCol w:w="109"/>
        <w:gridCol w:w="109"/>
        <w:gridCol w:w="109"/>
        <w:gridCol w:w="307"/>
        <w:gridCol w:w="1050"/>
        <w:gridCol w:w="158"/>
        <w:gridCol w:w="109"/>
        <w:gridCol w:w="109"/>
        <w:gridCol w:w="109"/>
        <w:gridCol w:w="519"/>
        <w:gridCol w:w="519"/>
        <w:gridCol w:w="740"/>
      </w:tblGrid>
      <w:tr>
        <w:trPr/>
        <w:tc>
          <w:tcPr>
            <w:tcW w:w="80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Life</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(indefinite lived)</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member relationships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2 - 10 years</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39,943 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36,610 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relating to intangible assets for the three months ended June 30, 2026 and 2025 was $0. Amortization expense relating to intangible assets for the six months ended June 30, 2026 and 2025, was $0 and $634, respectively. Included within the amortization balance for the six months ended June 30, 2025 was $634 in impairment charges related to the remeasurement of goodwill associated with one of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Medical Expenses Payable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detail of medical expenses payable as of June 30, 2026 and December 31, 2025:</w:t>
      </w:r>
    </w:p>
    <w:tbl>
      <w:tblPr>
        <w:tblW w:w="5694" w:type="dxa"/>
        <w:jc w:val="left"/>
        <w:tblInd w:w="0" w:type="dxa"/>
        <w:tblLayout w:type="fixed"/>
        <w:tblCellMar>
          <w:top w:w="28" w:type="dxa"/>
          <w:left w:w="28" w:type="dxa"/>
          <w:bottom w:w="28" w:type="dxa"/>
          <w:right w:w="28" w:type="dxa"/>
        </w:tblCellMar>
      </w:tblPr>
      <w:tblGrid>
        <w:gridCol w:w="1096"/>
        <w:gridCol w:w="963"/>
        <w:gridCol w:w="971"/>
        <w:gridCol w:w="211"/>
        <w:gridCol w:w="826"/>
        <w:gridCol w:w="109"/>
        <w:gridCol w:w="109"/>
        <w:gridCol w:w="109"/>
        <w:gridCol w:w="109"/>
        <w:gridCol w:w="211"/>
        <w:gridCol w:w="82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and risk-sharing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 payable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period, we re-examine previously established outstanding claims reserve estimates based on actual claims submissions and other changes in facts and circumstances. As more complete claim information becomes available, we adjust the amount of the estimates and include the changes in estimates in claim costs in the period in which the change is identified. Substantially, all of the total claims paid by us are known and settled within the first year from the date of service, and substantially, all remaining claim amounts are paid within a three-year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change in medical expenses payable as of June 30, 2026 and 2025:</w:t>
      </w:r>
    </w:p>
    <w:tbl>
      <w:tblPr>
        <w:tblW w:w="6939" w:type="dxa"/>
        <w:jc w:val="left"/>
        <w:tblInd w:w="0" w:type="dxa"/>
        <w:tblLayout w:type="fixed"/>
        <w:tblCellMar>
          <w:top w:w="28" w:type="dxa"/>
          <w:left w:w="28" w:type="dxa"/>
          <w:bottom w:w="28" w:type="dxa"/>
          <w:right w:w="28" w:type="dxa"/>
        </w:tblCellMar>
      </w:tblPr>
      <w:tblGrid>
        <w:gridCol w:w="1548"/>
        <w:gridCol w:w="1359"/>
        <w:gridCol w:w="1368"/>
        <w:gridCol w:w="211"/>
        <w:gridCol w:w="826"/>
        <w:gridCol w:w="109"/>
        <w:gridCol w:w="109"/>
        <w:gridCol w:w="109"/>
        <w:gridCol w:w="109"/>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 - beginning balance</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297,368 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168,357 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related to:</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559,320 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net of reinsurance</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778,298 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538,254 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368,014 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net of reinsurance</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805,876 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495,148 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Claims incurred but not paid - ending balance</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269,790 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211,463 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payable, risk-sharing payable, and 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342,958 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medical expenses payable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612,748 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455,154 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re-examine previously established outstanding claims reserve estimates based on actual claims submissions and other changes in facts and circumstances. We recognized an unfavorable prior year development, excluding provision for adverse deviation of $6,532 for the three months ended June 30, 2026. The unfavorable prior year development was primarily due to worse-than-expected claims recoveries and actual claims expense being more than expected. We recognized a favorable prior year development, excluding provision for adverse deviation, of $1,847 for the six months ended June 30, 2026. The favorable prior year development was primarily due to better-than-expected claims recoveries and actual claims expense being less than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Long-Term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Long-term debt is recorded at carrying value in the condensed consolidated balance sheets. The carrying value of long-term debt outstanding, net of unamortized debt issuance costs, consisted of the following as of June 30, 2026 and December 31, 2025:</w:t>
      </w:r>
    </w:p>
    <w:tbl>
      <w:tblPr>
        <w:tblW w:w="6068" w:type="dxa"/>
        <w:jc w:val="left"/>
        <w:tblInd w:w="0" w:type="dxa"/>
        <w:tblLayout w:type="fixed"/>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debt-net of amortization</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324,056 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 of current portion</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324,056 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323,176 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22, 2024 the Company completed the sale of $330,000 of our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$321,100, after subtracting fees, discounts and estimated expenses in connection with the transaction.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$215,000 aggregate principal amount, accrued interest and fees related to the Company's previous term loans with a separate financing company,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Future maturities under the Notes for each of the next five years ending June 30, are as follows: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$200,000 senior secured revolving credit facility (the “Credit Facility”), with sublimits of up to $20,000 for the issuance of letters of credit and $5,000 for swingline loans. Subject to meeting certain customary conditions, the Borrower may request an increase to the commitments under the Credit Facility or to establish one or more new term loan facilities by up to an amount equal to the greater of $50,000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June 30,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Loans under the Credit Facility will bear interest at a floating rate, which can be either, at the Borrower’s option, (a) Term SOFR (as defined in the Credit Agreement) plus an applicable margin that ranges from 2.0%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$60,000 as of June 30, 2026, increasing to $70,000 as of June 30, 2027, and $80,000 as of June 30, 2028 and each fiscal quarter thereafter.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 As of June 30, 2026, there was no outstanding debt under the credit facility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240" w:after="283"/>
        <w:jc w:val="both"/>
        <w:rPr/>
      </w:pPr>
      <w:r>
        <w:rPr>
          <w:rFonts w:ascii="Times New Roman;serif" w:hAnsi="Times New Roman;serif"/>
          <w:b w:val="false"/>
          <w:color w:val="000000"/>
          <w:sz w:val="20"/>
        </w:rPr>
        <w:t>For the three and six months ended June 30, 2026, we recorded income tax expense of $1,266 and $1,291. For the three and six months ended June 30, 2025 we recorded income tax expense of $3,224 and $3,245. The change in tax for the three months ended June 30, 2026 when compared to the three months ended June 30, 2025 is</w:t>
      </w:r>
      <w:r>
        <w:rPr>
          <w:color w:val="EE2724"/>
        </w:rPr>
        <w:t xml:space="preserve"> </w:t>
      </w:r>
      <w:r>
        <w:rPr>
          <w:rFonts w:ascii="Times New Roman;serif" w:hAnsi="Times New Roman;serif"/>
          <w:b w:val="false"/>
          <w:color w:val="000000"/>
          <w:sz w:val="20"/>
        </w:rPr>
        <w:t>primarily attributable to a change in state taxes. Our future effective tax rate may vary from the statutory tax rate primarily due to changes in our valuation allowance, state taxes, and excess executive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federal and state cumulative net operating losses ("NOLs") as of June 30, 2026 and December 31, 2025. Given the history of losses, and after consideration for the risk associated with estimates of future taxable income, we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full valuation allowance against net deferred tax assets at June 30, 2026 and 2025. Under the Tax Cuts and Jobs Act (“TCJA”), federal NOLs generated after 2017 will be carried forward indefinitely but are limited to an 80% deduction of taxable income. NOLs generated prior to 2018 have a 20-year carryforward period and can be used to offset 100% of taxable income. An exception to the TCJA federal NOL rule applies to certain of our subsidiaries and requires all NOLs generated from those entities to have a 20-year carryforward period and offset 100% of taxable income. For the year ended December 31, 2025 federal and state NOL carryforwards were $617,001 and $531,012, respectively. $95,332 of the total federal net operating loss carryforwards have an indefinite life while the remaining federal and state net operating loss carryforwards begin to expire in 2033 if not utilized. On June 27, 2024, California Senate Bill 167 (“SB 167”) was enacted into law, suspending California NOL utilization for taxpayers with more than $1 million of taxable income, effective for tax years 2024, 2025, and 2026. SB 167 includes an extended carryover period for the suspended NOLs with an additional year carryforward for each year of suspension. The Company will continue to monitor this legislation and its impact on our deferred tax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 “ownership change” as defined under Section 382 of the Internal Revenue Code ("IRC"), could potentially limit the ability to utilize certain tax attributes including the Company’s substantial NOLs. Ownership change is generally defined as any significant change in ownership of more than 50% of its stock over a three-year testing period. If, as a result of current or future transactions involving our common stock, we undergo cumulative ownership changes which exceed 50% over a testing period, our ability to utilize our NOL carryforwards would be subject to additional limitations under IRC Section 382. We continue to monitor changes in ownership with respect to these income tax provisions.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 Act”) was enacted on July 4, 2025 in the United States. The OBBB Act includes several significant provisions, including re-establishing a 100% bonus depreciation deduction, re-establishing rules in calculating business interest expense limitations pursuant to §163(j), and removing the capitalization requirements for domestic research or experimental (“R&amp;E”) expenditures paid or incurred in tax years beginning after December 31, 2024. We have considered applicable tax impact of the OBBB Act within the 2026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Equity-Based Compensation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Awards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outstanding stock options generally vest 25% annually over four years and generally expire 10 years from the date of the grant. The 2021 Equity Incentive Plan (“Plan”) provides that stock option grants will be made with an exercise price at no less than the estimated fair value of common stock at the date of the grant.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stock option transactions as of and for the three and six months ended June 30, 2026: </w:t>
      </w:r>
    </w:p>
    <w:tbl>
      <w:tblPr>
        <w:tblW w:w="10205" w:type="dxa"/>
        <w:jc w:val="left"/>
        <w:tblInd w:w="0" w:type="dxa"/>
        <w:tblLayout w:type="fixed"/>
        <w:tblCellMar>
          <w:top w:w="28" w:type="dxa"/>
          <w:left w:w="28" w:type="dxa"/>
          <w:bottom w:w="28" w:type="dxa"/>
          <w:right w:w="28" w:type="dxa"/>
        </w:tblCellMar>
      </w:tblPr>
      <w:tblGrid>
        <w:gridCol w:w="878"/>
        <w:gridCol w:w="666"/>
        <w:gridCol w:w="668"/>
        <w:gridCol w:w="556"/>
        <w:gridCol w:w="556"/>
        <w:gridCol w:w="557"/>
        <w:gridCol w:w="109"/>
        <w:gridCol w:w="109"/>
        <w:gridCol w:w="109"/>
        <w:gridCol w:w="399"/>
        <w:gridCol w:w="1164"/>
        <w:gridCol w:w="206"/>
        <w:gridCol w:w="109"/>
        <w:gridCol w:w="109"/>
        <w:gridCol w:w="109"/>
        <w:gridCol w:w="722"/>
        <w:gridCol w:w="722"/>
        <w:gridCol w:w="724"/>
        <w:gridCol w:w="109"/>
        <w:gridCol w:w="109"/>
        <w:gridCol w:w="109"/>
        <w:gridCol w:w="272"/>
        <w:gridCol w:w="930"/>
        <w:gridCol w:w="204"/>
      </w:tblGrid>
      <w:tr>
        <w:trPr/>
        <w:tc>
          <w:tcPr>
            <w:tcW w:w="87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99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 Outstanding</w:t>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(amounts in thousands, except shares and per share amount)</w:t>
            </w:r>
          </w:p>
        </w:tc>
        <w:tc>
          <w:tcPr>
            <w:tcW w:w="1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Shares Subject to Options Outstanding</w:t>
            </w:r>
            <w:r>
              <w:rPr>
                <w:color w:val="000000"/>
                <w:shd w:fill="FFFFFF" w:val="clear"/>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Terms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7,408,212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20,001 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 expired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7,054,588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 expired</w:t>
            </w:r>
          </w:p>
        </w:tc>
        <w:tc>
          <w:tcPr>
            <w:tcW w:w="1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2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June 30, 2026</w:t>
            </w:r>
          </w:p>
        </w:tc>
        <w:tc>
          <w:tcPr>
            <w:tcW w:w="1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6,819,516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22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as of June 30, 2026</w:t>
            </w:r>
          </w:p>
        </w:tc>
        <w:tc>
          <w:tcPr>
            <w:tcW w:w="16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6,810,562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46,002 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pPr>
      <w:r>
        <w:rPr>
          <w:rFonts w:ascii="Times New Roman;serif" w:hAnsi="Times New Roman;serif"/>
          <w:b w:val="false"/>
          <w:color w:val="000000"/>
          <w:sz w:val="20"/>
        </w:rPr>
        <w:t>Aggregate intrinsic value represents the difference between the exercise price of the option and the closing price of our common stock. The aggregate intrinsic value of options exercised for the three and six months ended June 30, 2026 was $1,588 and $2,679, respectively.</w:t>
      </w:r>
      <w:r>
        <w:rPr>
          <w:color w:val="EE2724"/>
        </w:rPr>
        <w:t xml:space="preserve"> </w:t>
      </w:r>
      <w:r>
        <w:rPr>
          <w:rFonts w:ascii="Times New Roman;serif" w:hAnsi="Times New Roman;serif"/>
          <w:b w:val="false"/>
          <w:color w:val="000000"/>
          <w:sz w:val="20"/>
        </w:rPr>
        <w:t xml:space="preserve">No options were granted during the three and six months ended June 30, 2026.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Restricted Stock Units ("RSU") generally vest 33% annually over three years or 25% annually over four years.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RSU transactions as of and for the three and six months ended June 30, 2026:</w:t>
      </w:r>
    </w:p>
    <w:tbl>
      <w:tblPr>
        <w:tblW w:w="9699" w:type="dxa"/>
        <w:jc w:val="left"/>
        <w:tblInd w:w="0" w:type="dxa"/>
        <w:tblLayout w:type="fixed"/>
        <w:tblCellMar>
          <w:top w:w="28" w:type="dxa"/>
          <w:left w:w="28" w:type="dxa"/>
          <w:bottom w:w="28" w:type="dxa"/>
          <w:right w:w="28" w:type="dxa"/>
        </w:tblCellMar>
      </w:tblPr>
      <w:tblGrid>
        <w:gridCol w:w="1585"/>
        <w:gridCol w:w="1395"/>
        <w:gridCol w:w="1399"/>
        <w:gridCol w:w="589"/>
        <w:gridCol w:w="589"/>
        <w:gridCol w:w="591"/>
        <w:gridCol w:w="109"/>
        <w:gridCol w:w="109"/>
        <w:gridCol w:w="109"/>
        <w:gridCol w:w="693"/>
        <w:gridCol w:w="2023"/>
        <w:gridCol w:w="508"/>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Restricted Stock Units</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December 31, 2025</w:t>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9,356,689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2,613,707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(2,699,553)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June 30, 2026</w:t>
            </w:r>
          </w:p>
        </w:tc>
        <w:tc>
          <w:tcPr>
            <w:tcW w:w="176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8,881,326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5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Performance-based Restricted Stock Units ("PSUs")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for our outstanding PSUs, each grantee is eligible to vest in a number of PSUs ranging from 0% to 200% of the target number of PSUs granted, based on the aggregated achievement by the Company of certain performance metrics during the applicable performance period.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1st following the end of the applicable performance period, subject to continued service to the Company through such date.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 xml:space="preserve">Market-based PSUs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2026 (the “Grant Date”), the Board of Directors of the Company approved the grant of certain PSUs to John Kao, the Company’s Chief Executive Officer (the “PSU Award”), under the Company’s 2021 Equity Incentive Plan.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to (the “Service Requirement”).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PSUs will become earned (“Earned PSUs”) in three tranches based on the achievement of the following volume-weighted average price per share goals during the Measurement Period (the “Stock Price Hurdles”):</w:t>
      </w:r>
    </w:p>
    <w:tbl>
      <w:tblPr>
        <w:tblW w:w="6465" w:type="dxa"/>
        <w:jc w:val="center"/>
        <w:tblInd w:w="0" w:type="dxa"/>
        <w:tblLayout w:type="fixed"/>
        <w:tblCellMar>
          <w:top w:w="28" w:type="dxa"/>
          <w:left w:w="28" w:type="dxa"/>
          <w:bottom w:w="28" w:type="dxa"/>
          <w:right w:w="28" w:type="dxa"/>
        </w:tblCellMar>
      </w:tblPr>
      <w:tblGrid>
        <w:gridCol w:w="826"/>
        <w:gridCol w:w="725"/>
        <w:gridCol w:w="729"/>
        <w:gridCol w:w="659"/>
        <w:gridCol w:w="659"/>
        <w:gridCol w:w="662"/>
        <w:gridCol w:w="645"/>
        <w:gridCol w:w="645"/>
        <w:gridCol w:w="915"/>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Price Per Share Goals</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Earned PSUs</w:t>
            </w:r>
          </w:p>
        </w:tc>
      </w:tr>
      <w:tr>
        <w:trPr/>
        <w:tc>
          <w:tcPr>
            <w:tcW w:w="2280" w:type="dxa"/>
            <w:gridSpan w:val="3"/>
            <w:tcBorders>
              <w:top w:val="single" w:sz="8" w:space="0" w:color="45B0E1"/>
              <w:left w:val="single" w:sz="8" w:space="0" w:color="45B0E1"/>
            </w:tcBorders>
            <w:shd w:fill="C1E4F5"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First Stock Price Hurdle</w:t>
            </w:r>
          </w:p>
        </w:tc>
        <w:tc>
          <w:tcPr>
            <w:tcW w:w="1980" w:type="dxa"/>
            <w:gridSpan w:val="3"/>
            <w:tcBorders>
              <w:top w:val="single" w:sz="8" w:space="0" w:color="45B0E1"/>
              <w:left w:val="single" w:sz="8" w:space="0" w:color="45B0E1"/>
            </w:tcBorders>
            <w:shd w:fill="C1E4F5" w:val="clear"/>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$33.75</w:t>
            </w:r>
          </w:p>
        </w:tc>
        <w:tc>
          <w:tcPr>
            <w:tcW w:w="2205" w:type="dxa"/>
            <w:gridSpan w:val="3"/>
            <w:tcBorders>
              <w:top w:val="single" w:sz="8" w:space="0" w:color="45B0E1"/>
              <w:left w:val="single" w:sz="8" w:space="0" w:color="45B0E1"/>
              <w:right w:val="single" w:sz="8" w:space="0" w:color="45B0E1"/>
            </w:tcBorders>
            <w:shd w:fill="C1E4F5" w:val="clear"/>
            <w:tcMar>
              <w:top w:w="52"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333,333</w:t>
            </w:r>
          </w:p>
        </w:tc>
      </w:tr>
      <w:tr>
        <w:trPr/>
        <w:tc>
          <w:tcPr>
            <w:tcW w:w="2280" w:type="dxa"/>
            <w:gridSpan w:val="3"/>
            <w:tcBorders>
              <w:top w:val="single" w:sz="8" w:space="0" w:color="45B0E1"/>
              <w:left w:val="single" w:sz="8" w:space="0" w:color="45B0E1"/>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Second Stock Price Hurdle</w:t>
            </w:r>
          </w:p>
        </w:tc>
        <w:tc>
          <w:tcPr>
            <w:tcW w:w="1980" w:type="dxa"/>
            <w:gridSpan w:val="3"/>
            <w:tcBorders>
              <w:top w:val="single" w:sz="8" w:space="0" w:color="45B0E1"/>
              <w:left w:val="single" w:sz="8" w:space="0" w:color="45B0E1"/>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$44.00</w:t>
            </w:r>
          </w:p>
        </w:tc>
        <w:tc>
          <w:tcPr>
            <w:tcW w:w="2205" w:type="dxa"/>
            <w:gridSpan w:val="3"/>
            <w:tcBorders>
              <w:top w:val="single" w:sz="8" w:space="0" w:color="45B0E1"/>
              <w:left w:val="single" w:sz="8" w:space="0" w:color="45B0E1"/>
              <w:right w:val="single" w:sz="8" w:space="0" w:color="45B0E1"/>
            </w:tcBorders>
            <w:tcMar>
              <w:top w:w="52"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333,333</w:t>
            </w:r>
          </w:p>
        </w:tc>
      </w:tr>
      <w:tr>
        <w:trPr/>
        <w:tc>
          <w:tcPr>
            <w:tcW w:w="2280" w:type="dxa"/>
            <w:gridSpan w:val="3"/>
            <w:tcBorders>
              <w:top w:val="single" w:sz="8" w:space="0" w:color="45B0E1"/>
              <w:left w:val="single" w:sz="8" w:space="0" w:color="45B0E1"/>
              <w:bottom w:val="single" w:sz="8" w:space="0" w:color="45B0E1"/>
            </w:tcBorders>
            <w:shd w:fill="C1E4F5" w:val="clear"/>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Third Stock Price Hurdle</w:t>
            </w:r>
          </w:p>
        </w:tc>
        <w:tc>
          <w:tcPr>
            <w:tcW w:w="1980" w:type="dxa"/>
            <w:gridSpan w:val="3"/>
            <w:tcBorders>
              <w:top w:val="single" w:sz="8" w:space="0" w:color="45B0E1"/>
              <w:left w:val="single" w:sz="8" w:space="0" w:color="45B0E1"/>
              <w:bottom w:val="single" w:sz="8" w:space="0" w:color="45B0E1"/>
            </w:tcBorders>
            <w:shd w:fill="C1E4F5" w:val="clear"/>
            <w:tcMar>
              <w:top w:w="52"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$55.25</w:t>
            </w:r>
          </w:p>
        </w:tc>
        <w:tc>
          <w:tcPr>
            <w:tcW w:w="2205" w:type="dxa"/>
            <w:gridSpan w:val="3"/>
            <w:tcBorders>
              <w:top w:val="single" w:sz="8" w:space="0" w:color="45B0E1"/>
              <w:left w:val="single" w:sz="8" w:space="0" w:color="45B0E1"/>
              <w:bottom w:val="single" w:sz="8" w:space="0" w:color="45B0E1"/>
              <w:right w:val="single" w:sz="8" w:space="0" w:color="45B0E1"/>
            </w:tcBorders>
            <w:shd w:fill="C1E4F5" w:val="clear"/>
            <w:tcMar>
              <w:top w:w="52"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333,334</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(ii) the date on which the Service Requirement has been met, subject to his continued service though such later date. PSUs for which the relevant Stock Price Hurdle has not been achieved by the end of the Measurement Period will be forfeited.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PSU transactions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442"/>
        <w:gridCol w:w="1269"/>
        <w:gridCol w:w="1273"/>
        <w:gridCol w:w="957"/>
        <w:gridCol w:w="957"/>
        <w:gridCol w:w="959"/>
        <w:gridCol w:w="109"/>
        <w:gridCol w:w="109"/>
        <w:gridCol w:w="109"/>
        <w:gridCol w:w="648"/>
        <w:gridCol w:w="1894"/>
        <w:gridCol w:w="479"/>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8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December 31, 2025</w:t>
            </w:r>
          </w:p>
        </w:tc>
        <w:tc>
          <w:tcPr>
            <w:tcW w:w="2873"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1,685,407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4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March 31, 2026</w:t>
            </w:r>
          </w:p>
        </w:tc>
        <w:tc>
          <w:tcPr>
            <w:tcW w:w="2873"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3,477,932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4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2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Unvested and outstanding as of June 30, 2026</w:t>
            </w:r>
          </w:p>
        </w:tc>
        <w:tc>
          <w:tcPr>
            <w:tcW w:w="28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3,688,458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3984" w:type="dxa"/>
            <w:gridSpan w:val="3"/>
            <w:tcBorders/>
            <w:vAlign w:val="center"/>
          </w:tcPr>
          <w:p>
            <w:pPr>
              <w:pStyle w:val="TableContents"/>
              <w:bidi w:val="0"/>
              <w:spacing w:before="0" w:after="283"/>
              <w:jc w:val="left"/>
              <w:rPr>
                <w:sz w:val="4"/>
                <w:szCs w:val="4"/>
              </w:rPr>
            </w:pPr>
            <w:r>
              <w:rPr>
                <w:sz w:val="4"/>
                <w:szCs w:val="4"/>
              </w:rPr>
            </w:r>
          </w:p>
        </w:tc>
        <w:tc>
          <w:tcPr>
            <w:tcW w:w="2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Equity-Based Compensation Expense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equity-based compensation expense was presented on the statement of operations as follows: </w:t>
      </w:r>
    </w:p>
    <w:tbl>
      <w:tblPr>
        <w:tblW w:w="8924" w:type="dxa"/>
        <w:jc w:val="left"/>
        <w:tblInd w:w="0" w:type="dxa"/>
        <w:tblLayout w:type="fixed"/>
        <w:tblCellMar>
          <w:top w:w="28" w:type="dxa"/>
          <w:left w:w="28" w:type="dxa"/>
          <w:bottom w:w="28" w:type="dxa"/>
          <w:right w:w="28" w:type="dxa"/>
        </w:tblCellMar>
      </w:tblPr>
      <w:tblGrid>
        <w:gridCol w:w="1352"/>
        <w:gridCol w:w="1188"/>
        <w:gridCol w:w="11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(amounts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29,994 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w:t>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0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0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32,193 </w:t>
            </w:r>
          </w:p>
        </w:tc>
        <w:tc>
          <w:tcPr>
            <w:tcW w:w="109"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single" w:sz="4"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54" w:type="dxa"/>
            <w:tcBorders>
              <w:top w:val="single" w:sz="8" w:space="0" w:color="000000"/>
              <w:bottom w:val="sing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$95,579 in unrecognized compensation expense related to all non-vested awards (Options, RSUs and PSUs) that will be recognized over the weighted-average period of 1.89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Regulatory Requirements and Restricted Funds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health plans or risk-bearing entities are required to maintain minimum capital requirements prescribed by various regulatory authorities in each of the states in which it operates.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Risk-Based Capital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National Association of Insurance Commissioners has adopted rules, which, if implemented by the states, set minimum capitalization requirements for insurance companies, health maintenance organizations ("HMOs"), and other entities bearing risk for health care coverage. The requirements take the form of risk-based capital ("RBC") rules, which may vary from state to state. Certain states in which our health plans or risk-bearing entities operate have adopted the RBC rules. Our health plans or risk-bearing entities were in compliance with the RBC requirements as of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Tangible Net Equity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health plans in California are required to comply with the tangible net equity ("TNE") requirements. The required amount is 150% of the larger of: (1) $1,000; (2) the sum of 2% of the first $150,000 of annualized premium revenue and 1% of annualized premium revenue in excess of $150,000; or (3) 8% of the first $150,000 of annualized health care expenditures except those paid on a capitated or managed hospital payment basis, plus 4% of  the annualized health care expenditures in excess of $150,000, except those paid on a capitated or managed hospital payment basis, plus 4% of annualized hospital expenditures paid on a managed hospital payment basis. For newer health plans, through the first three years immediately following the health plan’s operational start date, the required amount is 200% of the larger of the TNE calculation described above. We were in compliance with the TNE requirements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states regulate the payment of dividends, loans, or other cash transfers from our regulated subsidiaries to our non-regulated subsidiaries and parent company. Such payments may require approval by state regulatory authorities and are limited based on certain financial criteria, such as the entity’s level of statutory income and statutory capital and surplus, or the entity’s level of tangible net equity or net worth, amongst other measures. These regulations vary by state.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the ability to provide additional capital to each of our health plans or risk-bearing entities when necessary to ensure that the RBC and TNE requirements are met.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regulations governing our subsidiaries, we maintain certain deposits required by the government authorities in the form of cash, certificate of deposit and Treasury bills as protection in the event of insolvency. The use of funds from these investments is limited as required by regulation in the various states in which we operate, or as needed in the event of insolvency. Therefore, these deposits are reported within other assets on the condensed consolidated balance sheets.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hold these assets until maturity, at which time these assets will renew or are invested in a similar type of investment instrument. Given the regulatory requirements, we expect to hold these investments for long-term. As a result, we do not expect the value of these investments to decline significantly due to a sudden change in market interest rates. These investments are carried at amortized cost, which approximates fair value. See Note 3, Fair Value,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record a liability and accrue the costs for a loss when an unfavorable outcome is probable and the amount of the loss can be reasonably estimated. In some cases, no estimate of the possible loss or range of loss in excess of amounts accrued, if any, can be made because of the inherently unpredictable nature of legal and regulatory proceedings. While the liability and accrued costs reflect our best estimate, the actual amounts may materially be different.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Whistleblower Complaint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July 7, 2026, a former executive officer filed a lawsuit against the Company and certain officers in the U.S. District Court for the Central District of California alleging whistleblower retaliation, constructive discharge, breach of contract and compensation-related claims. The plaintiff alleges that these actions were taken after he reported concerns of accounting irregularities. The Company believes the claims are without merit and intends to defend the matter vigorously. No accrual has been included in the accompanying condensed consolidated financial statements with respect to this lawsuit.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involved in various litigation matters in the ordinary course of business. In the opinion of management, the ultimate resolution of legal proceedings is not expected to have a material adverse effect on the condensed consolidated financial statements. Amounts accrued for legal proceedings were not material as of June 30, 2026 and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Risk Adjustment Data Validation Audit</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June 25, 2025, the Company was notified that its California HMO plan had been selected for an audit of Medicare Advantage contract-specific risk adjustment data validation (“RADV”) with respect to payment year 2019. CMS conducts RADV audits in order to validate the coding practices of and supporting documentation maintained by health care providers and such audits may result in retrospective adjustments to payments made to the Company’s health plans. Under CMS’s final rule issued in 2023, CMS announced its intent to apply a revised methodology, including extrapolated audit findings to estimate contract-wide overpayments and without application of the previously employed “fee-for-service adjuster” that accounted for the error rate in the original Medicare data that CMS used to develop the risk adjustment model.  Additionally, in May 2025, CMS announced a significant expansion to its RADV audit program, stating, among other things, that it intended to conduct RADV audits with extrapolation on all eligible MA plans on an annual basis and that it would accelerate the timetable for clearing its backlog of audits with respect to payment years 2018-24. However, on September 25, 2025, a Federal District Court in Texas vacated CMS’s final rule regarding extrapolation of results of RADV audits for payment years beginning with payment year 2018. As of June 30, 2026, the Company is in the process of collecting and reviewing medical records with respect to the member cohort selected for the RADV audit. The Company is continuing to monitor developments with respect to these audits and continuing to assess their potential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our audited financial statements and the accompanying notes as well as “Risk Factors” and “Management’s Discussion and Analysis of Financial Condition and Results of Operations” included in our Annual Report on Form 10-K for the year ended December 31, 2025 (our "Annual Report"), as well as our unaudited condensed consolidated financial statements and related notes presented herein in Part I, Item 1 included elsewhere in this Quarterly Report. Unless the context otherwise indicates or requires, the terms “we”, “our” and the “Company” as used herein refer to Alignment Healthcare, Inc. and its consolidated subsidiaries.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data, the discussion contains forward-looking statements about the business, operations and financial performance of the Company based on our current expectations that involves risks, uncertainties and assumptions. Actual results could differ materially from those discussed in or implied by forward-looking statements as a result of various factors, including those discussed above in "Forward-Looking Statements," and Part II,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Alignment is a next generation, consumer-centric and clinically focused platform designed to improve the healthcare experience for seniors. We deliver this experience through our Medicare Advantage plans, which are customized to meet the needs of a diverse array of seniors. Our innovative model of consumer-centric healthcare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consumers. </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We have grown Health Plan Membership, which we define as members enrolled in our health maintenance organization ("HMO") and preferred provider organization ("PPO") contracts (the "Alignment Health Plan"), from approximately 13,000 members at inception to 294,100 members as of June 30, 2026, representing a 30% compound annual growth rate. Our ultimate goal is to bring this differentiated, advocacy-driven healthcare experience to millions of senior consumers in the United States and to become the most trusted senior healthcare brand in the country.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2026 plan year, Alignment offers plans in 45 markets across California (22 markets), North Carolina (16 markets), Nevada (2 markets), Arizona (3 markets) and Texas (2 markets). There are approximately 8.5 million Medicare-eligible seniors in our current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Our unique clinical model, led by employed clinical teams known as Care Anywhere, acts upon insights derived from our proprietary technology platform, AVA. This integration between our technology and employed care model is a key element of our business with capabilities that we expect to impact our future performance. AVA’s data insights, combined with the clinical control of our care model, enable us to personalize and manage our member relationships, care quality, and to coordinate and manage risk with our provider partners. AVA’s unified platform, analytical tools and data across the healthcare ecosystem enable us to produce consistent outcomes, unit economics and support new member growth. Additionally, our historical financial performance has been, and we expect our financial performance in the future will be, driven by our ability to:</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Capitalize on Our Existing Market Growth Opportunity: </w:t>
      </w:r>
      <w:r>
        <w:rPr>
          <w:rFonts w:ascii="Times New Roman;serif" w:hAnsi="Times New Roman;serif"/>
          <w:b w:val="false"/>
          <w:color w:val="000000"/>
          <w:sz w:val="20"/>
        </w:rPr>
        <w:t xml:space="preserve">Our ability to attract and retain members to grow in our existing markets depends on our ability to offer a superior value proposition. We routinely take market share from large established players in highly competitive markets, a key source of our health plan membership growth in excess of the industry average. We believe that there are still significant opportunities for future growth even in some of our most mature markets where we have approximately 10-30% market share. As of June 30, 2026, we have approximately 294,100 Health Plan Members, which, according to CMS data, represent only 6% market share of Medicare Advantage enrollees in our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Drive Growth and Consistent Outcomes Through New Market Expansion: </w:t>
      </w:r>
      <w:r>
        <w:rPr>
          <w:rFonts w:ascii="Times New Roman;serif" w:hAnsi="Times New Roman;serif"/>
          <w:b w:val="false"/>
          <w:color w:val="000000"/>
          <w:sz w:val="20"/>
        </w:rPr>
        <w:t xml:space="preserve">As part of our long-term growth strategy, we may enter new markets with the goal of building brand awareness across our key stakeholders to achieve meaningful market share over time. We intend to focus on markets with significant senior populations where we expect to be able to replicate our model most effectively. Our existing markets also feature a diverse array of membership profiles across ethnicities, income levels and acuity. Since 2020, we have expanded into 29 markets and four states. </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Provide Superior Service, Care and Consumer Satisfaction: </w:t>
      </w:r>
      <w:r>
        <w:rPr>
          <w:rFonts w:ascii="Times New Roman;serif" w:hAnsi="Times New Roman;serif"/>
          <w:b w:val="false"/>
          <w:color w:val="000000"/>
          <w:sz w:val="20"/>
        </w:rPr>
        <w:t xml:space="preserve">We are highly focused on providing superior service and care to our members and on maintaining high levels of consumer satisfaction, which are key to our financial performance and growth. The CMS Five Star Quality Rating System provides economic incentives to Medicare Advantage plans that achieve higher Star ratings by (i) meeting certain care criteria (such as completing particular preventative screening procedures or ensuring proper follow-up care is provided for specific conditions or episodes) and (ii) receiving high member satisfaction ratings. These incentives impact financial performance in the year following the CMS Rating Year (for example, CMS’s announcement of the 2026 Ratings occurred in the second half of 2025 and will impact our financial performance in 2027). One hundred percent of our health plan members are enrolled in plans rated 4 stars and above, meaning our members consistently receive a high-quality care experience, as defined under CMS star measurement criteria. The California HMO plan has achieved a 4 star or greater rating for nine consecutive years. </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Effectively Manage the Quality of Care to Improve Member Outcomes: </w:t>
      </w:r>
      <w:r>
        <w:rPr>
          <w:rFonts w:ascii="Times New Roman;serif" w:hAnsi="Times New Roman;serif"/>
          <w:b w:val="false"/>
          <w:color w:val="000000"/>
          <w:sz w:val="20"/>
        </w:rPr>
        <w:t>Our care delivery model is based on a clinical continuum through which we have created a highly personalized experience that is unique to each member depending on their personal health and circumstances. Utilizing data and predictive analytics generated by AVA, our clinical continuum separates seniors into four categories in order to provide optimized care for every stage of a senior’s life: healthy, healthy utilizer, pre-chronic and chronic. We partner with our broader network of community providers to service members in our non-chronic categories, and we have developed a Care Anywhere program implemented by our internal clinical teams to care for our higher risk and/or chronically ill members. By investing in our members’ care proactively, our model has consistently reduced unnecessary and costly care while improving the quality of our members’ lifestyle and healthcare experience. By delivering superior care and preventing avoidable utilization of the healthcare system, we are able to reduce our claims expenditures in some of our largest medical expense categories, which translates to superior medical benefits ratio (“MBR”) financial performance and ultimately the ability to offer richer products in the market.</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 xml:space="preserve">Achieve Superior Unit Economics: </w:t>
      </w:r>
      <w:r>
        <w:rPr>
          <w:rFonts w:ascii="Times New Roman;serif" w:hAnsi="Times New Roman;serif"/>
          <w:b w:val="false"/>
          <w:color w:val="000000"/>
          <w:sz w:val="20"/>
        </w:rPr>
        <w:t>As our senior population ages, their healthcare needs become more frequent and complex. To combat the healthcare cost increases that typically result, we proactively look to (i) connect with our population early in their enrollment with Alignment to assess their care needs, (ii) develop care plans and engage those members with more chronic, complex health challenges in our clinical model, and (iii) continue to monitor and evaluate our healthier members in a preventative fashion over time. Given the Medicare Advantage payment mechanism and the retention of the vast majority of our members who continue to choose Alignment after their initial selection year, we are able to focus our efforts on driving favorable long-term health outcomes for our entire population. As a result, our clinical model efforts have demonstrated the ability to lower the MBRs of our returning members. We believe this is evidence of our ability to manage the financial risk of our members as they age, and that these favorable underlying unit economic trends translate directly to our ability to continue to deliver a richer product to the marketplace. With this dynamic in mind, our consolidated MBR may be impacted year-to-year based on our pace of new member growth and mix of members by cohort. However, we believe our ability to sustain MBR performance improvement over time positions us well to invest in new member growth to drive long-term financial performance.</w:t>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Invest in our Platform and Growth:</w:t>
      </w:r>
      <w:r>
        <w:rPr>
          <w:color w:val="000000"/>
        </w:rPr>
        <w:t xml:space="preserve"> </w:t>
      </w:r>
      <w:r>
        <w:rPr>
          <w:rFonts w:ascii="Times New Roman;serif" w:hAnsi="Times New Roman;serif"/>
          <w:b w:val="false"/>
          <w:color w:val="000000"/>
          <w:sz w:val="20"/>
        </w:rPr>
        <w:t>We plan to continue to invest in our business in order to further develop our AVA platform, pursue new expansion opportunities and create innovative product offerings. In addition, in order to maintain a differentiated value proposition for our members, we continue to invest in innovative product offerings and supplemental benefits to meet the evolving needs of the senior consumer. We anticipate further investments in our business as we expand into new markets and pursue strategic acquisitions, which we expect will primarily be focused on healthcare delivery groups in key geographies, standalone and provider-sponsored Medicare Advantage plans and other complementary risk bearing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720"/>
        <w:jc w:val="left"/>
        <w:rPr/>
      </w:pPr>
      <w:r>
        <w:rPr>
          <w:color w:val="000000"/>
        </w:rPr>
        <w:t>•</w:t>
      </w:r>
      <w:r>
        <w:rPr>
          <w:rFonts w:ascii="Times New Roman;serif" w:hAnsi="Times New Roman;serif"/>
          <w:b/>
          <w:i/>
          <w:color w:val="000000"/>
          <w:sz w:val="20"/>
        </w:rPr>
        <w:t>Navigate Seasonality to our Business:</w:t>
      </w:r>
      <w:r>
        <w:rPr>
          <w:color w:val="000000"/>
        </w:rPr>
        <w:t xml:space="preserve"> </w:t>
      </w:r>
      <w:r>
        <w:rPr>
          <w:rFonts w:ascii="Times New Roman;serif" w:hAnsi="Times New Roman;serif"/>
          <w:b w:val="false"/>
          <w:color w:val="000000"/>
          <w:sz w:val="20"/>
        </w:rPr>
        <w:t>Our operational and financial results will experience some variability depending upon the time of year in which they are measured. We experience the largest portion of member growth during the first quarter, when plan enrollment selections made during the annual enrollment period ("AEP") from October 15th through December 7th of the prior year take effect. As a result, we expect to see a significant percentage of our member growth occur on January 1 of a given calendar year. As the year progresses, our per-member revenue often declines as new members join us, typically with less complete or accurate documentation (and therefore lower risk-adjustment scores), and senior mortality disproportionately impacts our higher-acuity (and therefore greater revenue) members. Medical costs will vary seasonally depending on a number of factors, but most significantly the seasons. Certain illnesses, such as the influenza virus, are far more prevalent during colder months of the year, which will result in an increase in medical expenses during these time periods. We therefore expect to see higher levels of per-member medical costs in the first and fourth quarters. The design of our prescription drug coverage (Medicare Part D) results in coverage that varies as a member’s cumulative out-of-pocket costs pass through successive stages of a member’s plan period, which begins annually on January 1 for renewals. In addition, we expect our corporate, general and administrative expenses to increase in absolute dollars for the foreseeable future to support our growth. Due to the timing of many of these investments, including our primary sales and marketing season, we typically incur a greater level of investment in the second half of the year relative to the first half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key financial statistics for the periods indicated: </w:t>
      </w:r>
    </w:p>
    <w:tbl>
      <w:tblPr>
        <w:tblW w:w="10205" w:type="dxa"/>
        <w:jc w:val="left"/>
        <w:tblInd w:w="0" w:type="dxa"/>
        <w:tblLayout w:type="fixed"/>
        <w:tblCellMar>
          <w:top w:w="28" w:type="dxa"/>
          <w:left w:w="28" w:type="dxa"/>
          <w:bottom w:w="28" w:type="dxa"/>
          <w:right w:w="28" w:type="dxa"/>
        </w:tblCellMar>
      </w:tblPr>
      <w:tblGrid>
        <w:gridCol w:w="495"/>
        <w:gridCol w:w="425"/>
        <w:gridCol w:w="427"/>
        <w:gridCol w:w="299"/>
        <w:gridCol w:w="285"/>
        <w:gridCol w:w="541"/>
        <w:gridCol w:w="109"/>
        <w:gridCol w:w="109"/>
        <w:gridCol w:w="109"/>
        <w:gridCol w:w="196"/>
        <w:gridCol w:w="871"/>
        <w:gridCol w:w="256"/>
        <w:gridCol w:w="109"/>
        <w:gridCol w:w="109"/>
        <w:gridCol w:w="109"/>
        <w:gridCol w:w="278"/>
        <w:gridCol w:w="278"/>
        <w:gridCol w:w="476"/>
        <w:gridCol w:w="109"/>
        <w:gridCol w:w="109"/>
        <w:gridCol w:w="109"/>
        <w:gridCol w:w="196"/>
        <w:gridCol w:w="871"/>
        <w:gridCol w:w="256"/>
        <w:gridCol w:w="109"/>
        <w:gridCol w:w="109"/>
        <w:gridCol w:w="109"/>
        <w:gridCol w:w="196"/>
        <w:gridCol w:w="871"/>
        <w:gridCol w:w="256"/>
        <w:gridCol w:w="109"/>
        <w:gridCol w:w="109"/>
        <w:gridCol w:w="109"/>
        <w:gridCol w:w="278"/>
        <w:gridCol w:w="278"/>
        <w:gridCol w:w="541"/>
      </w:tblGrid>
      <w:tr>
        <w:trPr/>
        <w:tc>
          <w:tcPr>
            <w:tcW w:w="4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1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(dollars in '000's, except percentages)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 Change</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 Change</w:t>
            </w:r>
            <w:r>
              <w:rPr>
                <w:color w:val="000000"/>
                <w:shd w:fill="FFFFFF" w:val="clear"/>
              </w:rPr>
              <w:t xml:space="preserve"> </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Health plan membership (at period end)</w:t>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Medical benefits ratio</w:t>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1,335,633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4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2,570,830 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4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4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661.6 </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(1)</w:t>
            </w:r>
          </w:p>
        </w:tc>
        <w:tc>
          <w:tcPr>
            <w:tcW w:w="29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4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Adjusted gross profit</w:t>
            </w:r>
            <w:r>
              <w:rPr>
                <w:rFonts w:ascii="Times New Roman;serif" w:hAnsi="Times New Roman;serif"/>
                <w:b w:val="false"/>
                <w:color w:val="000000"/>
                <w:sz w:val="12"/>
              </w:rPr>
              <w:t>(1)</w:t>
            </w:r>
          </w:p>
        </w:tc>
        <w:tc>
          <w:tcPr>
            <w:tcW w:w="2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4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5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(1)See "Adjusted EBITDA" and "Adjusted Gross Profit" below for a reconciliation to the most directly comparable financial measure calculated in accordance with GAAP and related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Health Plan Membership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define Health Plan Membership as the number of members enrolled in our HMO and PPO contracts as of the end of a reporting period. We believe this is an important metric to assess growth of our underlying business, which is indicative of our ability to consistently offer a superior value proposition to seniors.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January 1, 2026, we no longer participate in the ACO Reach program.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Gross Profit and Medical Benefits Ratio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we define as income (loss) from operations before depreciation and amortization, medical equity-based compensation expense, and selling, general, and administrative expenses. Adjusted gross profit is a key measure used by our management and Board to understand and evaluate our operating performance and trends before the impact of our consolidated selling, general and administrative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use of the term adjusted gross profit may vary from the use of similar terms by other companies in our industry and accordingly may not be comparable to similarly titled measures used by other companies.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is reconciled as follows:</w:t>
      </w:r>
    </w:p>
    <w:tbl>
      <w:tblPr>
        <w:tblW w:w="9585" w:type="dxa"/>
        <w:jc w:val="left"/>
        <w:tblInd w:w="0" w:type="dxa"/>
        <w:tblLayout w:type="fixed"/>
        <w:tblCellMar>
          <w:top w:w="28" w:type="dxa"/>
          <w:left w:w="28" w:type="dxa"/>
          <w:bottom w:w="28" w:type="dxa"/>
          <w:right w:w="28" w:type="dxa"/>
        </w:tblCellMar>
      </w:tblPr>
      <w:tblGrid>
        <w:gridCol w:w="1441"/>
        <w:gridCol w:w="1265"/>
        <w:gridCol w:w="1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(dollars in thousands)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(medical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(medical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add back</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182,853 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242,392 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6"/>
        </w:rPr>
        <w:t>Amortization expense for the six months ended June 30, 2025 includes $0.6 million in impairment expense related to the remeasurement of goodwill associated with one of our subsidiaries</w:t>
      </w:r>
      <w:r>
        <w:rPr>
          <w:rFonts w:ascii="Times New Roman;serif" w:hAnsi="Times New Roman;serif"/>
          <w:b w:val="false"/>
          <w:color w:val="000000"/>
          <w:sz w:val="20"/>
        </w:rPr>
        <w:t xml:space="preserve">. </w:t>
      </w:r>
      <w:r>
        <w:rPr>
          <w:rFonts w:ascii="Times New Roman;serif" w:hAnsi="Times New Roman;serif"/>
          <w:b w:val="false"/>
          <w:color w:val="000000"/>
          <w:sz w:val="16"/>
        </w:rPr>
        <w:t>There was no impairment expense for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calculate our MBR by dividing total medical expenses, excluding depreciation, and medical equity-based compensation, by total revenues in a given period. We believe our MBR is an indicator of our adjusted gross profit margin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determine, on an annual basis, whether we have satisfied the CMS minimum Medical Loss Ratio of 85%. As part of this process, adjustments are made to the MBR calculation to include certain additional expenses related to improving the quality of care provided, and to exclude certain taxes and fees, in each case as permitted or required by CMS and applicable regulatory requirements.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we define as net income (loss) before interest expense, income taxes, depreciation and amortization expense, certain litigation costs, gains or losses on sale of property and equipment, and equity-based compensation expense. Adjusted EBITDA is a key measure used by our management and our Board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as we do not consider the excluded items to be part of our ongoing results of operations. Given our intent to continue to invest in our platform and the scalability of our business in the short to medium-term, we believe Adjusted EBITDA over the long term will be an important indicator of value creation.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use of the term Adjusted EBITDA may vary from the use of similar terms by other companies in our industry and accordingly may not be comparable to similarly titled measures used by other companies.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reconciled as follows:</w:t>
      </w:r>
    </w:p>
    <w:tbl>
      <w:tblPr>
        <w:tblW w:w="9644" w:type="dxa"/>
        <w:jc w:val="left"/>
        <w:tblInd w:w="0" w:type="dxa"/>
        <w:tblLayout w:type="fixed"/>
        <w:tblCellMar>
          <w:top w:w="28" w:type="dxa"/>
          <w:left w:w="28" w:type="dxa"/>
          <w:bottom w:w="28" w:type="dxa"/>
          <w:right w:w="28" w:type="dxa"/>
        </w:tblCellMar>
      </w:tblPr>
      <w:tblGrid>
        <w:gridCol w:w="1575"/>
        <w:gridCol w:w="1385"/>
        <w:gridCol w:w="138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(dollars in thousands)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Litigation costs</w:t>
            </w:r>
            <w:r>
              <w:rPr>
                <w:color w:val="000000"/>
              </w:rPr>
              <w:t xml:space="preserv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property and equipment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720"/>
        <w:jc w:val="left"/>
        <w:rPr/>
      </w:pPr>
      <w:r>
        <w:rPr>
          <w:rFonts w:ascii="Times New Roman;serif" w:hAnsi="Times New Roman;serif"/>
          <w:b w:val="false"/>
          <w:color w:val="000000"/>
          <w:sz w:val="16"/>
        </w:rPr>
        <w:t>(1)Amortization expense for the six months ended June 30, 2025 includes $0.6 million in impairment expense related to the remeasurement of goodwill associated with one of our subsidiaries</w:t>
      </w:r>
      <w:r>
        <w:rPr>
          <w:rFonts w:ascii="Times New Roman;serif" w:hAnsi="Times New Roman;serif"/>
          <w:b w:val="false"/>
          <w:color w:val="000000"/>
          <w:sz w:val="20"/>
        </w:rPr>
        <w:t xml:space="preserve">. </w:t>
      </w:r>
      <w:r>
        <w:rPr>
          <w:rFonts w:ascii="Times New Roman;serif" w:hAnsi="Times New Roman;serif"/>
          <w:b w:val="false"/>
          <w:color w:val="000000"/>
          <w:sz w:val="16"/>
        </w:rPr>
        <w:t>There was no impairment expense for the three months ended June 30, 2025.</w:t>
      </w:r>
    </w:p>
    <w:p>
      <w:pPr>
        <w:pStyle w:val="TextBody"/>
        <w:bidi w:val="0"/>
        <w:spacing w:lineRule="auto" w:line="288" w:before="0" w:after="20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(2)Represents equity-based compensation related to grants made in the applicable year.</w:t>
      </w:r>
    </w:p>
    <w:p>
      <w:pPr>
        <w:pStyle w:val="TextBody"/>
        <w:bidi w:val="0"/>
        <w:spacing w:lineRule="auto" w:line="288" w:before="0" w:after="200"/>
        <w:ind w:left="0" w:right="0" w:hanging="720"/>
        <w:jc w:val="left"/>
        <w:rPr/>
      </w:pPr>
      <w:r>
        <w:rPr>
          <w:rFonts w:ascii="Times New Roman;serif" w:hAnsi="Times New Roman;serif"/>
          <w:b w:val="false"/>
          <w:color w:val="000000"/>
          <w:sz w:val="16"/>
        </w:rPr>
        <w:t>(3)Represents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for the periods indicated:</w:t>
      </w:r>
    </w:p>
    <w:tbl>
      <w:tblPr>
        <w:tblW w:w="10205" w:type="dxa"/>
        <w:jc w:val="left"/>
        <w:tblInd w:w="0" w:type="dxa"/>
        <w:tblLayout w:type="fixed"/>
        <w:tblCellMar>
          <w:top w:w="28" w:type="dxa"/>
          <w:left w:w="28" w:type="dxa"/>
          <w:bottom w:w="28" w:type="dxa"/>
          <w:right w:w="28" w:type="dxa"/>
        </w:tblCellMar>
      </w:tblPr>
      <w:tblGrid>
        <w:gridCol w:w="1477"/>
        <w:gridCol w:w="1261"/>
        <w:gridCol w:w="125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7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2,570,830 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1,942,220 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1,924,865 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Alignment Healthcare,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total revenues for the periods indicated:</w:t>
      </w:r>
    </w:p>
    <w:tbl>
      <w:tblPr>
        <w:tblW w:w="10196" w:type="dxa"/>
        <w:jc w:val="left"/>
        <w:tblInd w:w="0" w:type="dxa"/>
        <w:tblLayout w:type="fixed"/>
        <w:tblCellMar>
          <w:top w:w="28" w:type="dxa"/>
          <w:left w:w="28" w:type="dxa"/>
          <w:bottom w:w="28" w:type="dxa"/>
          <w:right w:w="28" w:type="dxa"/>
        </w:tblCellMar>
      </w:tblPr>
      <w:tblGrid>
        <w:gridCol w:w="1616"/>
        <w:gridCol w:w="1425"/>
        <w:gridCol w:w="1428"/>
        <w:gridCol w:w="307"/>
        <w:gridCol w:w="309"/>
        <w:gridCol w:w="470"/>
        <w:gridCol w:w="189"/>
        <w:gridCol w:w="189"/>
        <w:gridCol w:w="189"/>
        <w:gridCol w:w="307"/>
        <w:gridCol w:w="309"/>
        <w:gridCol w:w="470"/>
        <w:gridCol w:w="109"/>
        <w:gridCol w:w="109"/>
        <w:gridCol w:w="109"/>
        <w:gridCol w:w="307"/>
        <w:gridCol w:w="309"/>
        <w:gridCol w:w="424"/>
        <w:gridCol w:w="170"/>
        <w:gridCol w:w="170"/>
        <w:gridCol w:w="170"/>
        <w:gridCol w:w="307"/>
        <w:gridCol w:w="309"/>
        <w:gridCol w:w="495"/>
      </w:tblGrid>
      <w:tr>
        <w:trPr/>
        <w:tc>
          <w:tcPr>
            <w:tcW w:w="16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 of revenue)</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4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Alignment Healthcare, Inc.</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7316" w:type="dxa"/>
        <w:jc w:val="left"/>
        <w:tblInd w:w="0" w:type="dxa"/>
        <w:tblLayout w:type="fixed"/>
        <w:tblCellMar>
          <w:top w:w="28" w:type="dxa"/>
          <w:left w:w="28" w:type="dxa"/>
          <w:bottom w:w="28" w:type="dxa"/>
          <w:right w:w="28" w:type="dxa"/>
        </w:tblCellMar>
      </w:tblPr>
      <w:tblGrid>
        <w:gridCol w:w="640"/>
        <w:gridCol w:w="564"/>
        <w:gridCol w:w="56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316"/>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316" w:type="dxa"/>
        <w:jc w:val="left"/>
        <w:tblInd w:w="0" w:type="dxa"/>
        <w:tblLayout w:type="fixed"/>
        <w:tblCellMar>
          <w:top w:w="28" w:type="dxa"/>
          <w:left w:w="28" w:type="dxa"/>
          <w:bottom w:w="28" w:type="dxa"/>
          <w:right w:w="28" w:type="dxa"/>
        </w:tblCellMar>
      </w:tblPr>
      <w:tblGrid>
        <w:gridCol w:w="640"/>
        <w:gridCol w:w="564"/>
        <w:gridCol w:w="56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316"/>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2,570,830 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628,610 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pPr>
      <w:r>
        <w:rPr>
          <w:rFonts w:ascii="Times New Roman;serif" w:hAnsi="Times New Roman;serif"/>
          <w:b w:val="false"/>
          <w:i/>
          <w:color w:val="000000"/>
          <w:sz w:val="20"/>
        </w:rPr>
        <w:t xml:space="preserve">Earned Premiums. </w:t>
      </w:r>
      <w:r>
        <w:rPr>
          <w:rFonts w:ascii="Times New Roman;serif" w:hAnsi="Times New Roman;serif"/>
          <w:b w:val="false"/>
          <w:color w:val="000000"/>
          <w:sz w:val="20"/>
        </w:rPr>
        <w:t>Earned premium revenues were $1,326.6 million and $1,006.2 million for the three months ended June 30, 2026 and 2025, respectively, an increase of $320.4 million or 31.8%.</w:t>
      </w:r>
      <w:r>
        <w:rPr>
          <w:color w:val="000000"/>
        </w:rPr>
        <w:t xml:space="preserve"> </w:t>
      </w:r>
      <w:r>
        <w:rPr>
          <w:rFonts w:ascii="Times New Roman;serif" w:hAnsi="Times New Roman;serif"/>
          <w:b w:val="false"/>
          <w:color w:val="000000"/>
          <w:sz w:val="20"/>
        </w:rPr>
        <w:t xml:space="preserve">Earned premium revenues were $2,553.2 million and $1,924.2 million for the six months ended June 30, 2026 and 2025, respectively, an increase of $628.9 million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32.7%. The increase was primarily driven by growth in our Health Plan membership, which increased 31.5% between June 30, 2025 and June 30, 2026. </w:t>
      </w:r>
    </w:p>
    <w:p>
      <w:pPr>
        <w:pStyle w:val="TextBody"/>
        <w:bidi w:val="0"/>
        <w:spacing w:lineRule="auto" w:line="288" w:before="240" w:after="283"/>
        <w:jc w:val="left"/>
        <w:rPr/>
      </w:pPr>
      <w:r>
        <w:rPr>
          <w:rFonts w:ascii="Times New Roman;serif" w:hAnsi="Times New Roman;serif"/>
          <w:b w:val="false"/>
          <w:i/>
          <w:color w:val="000000"/>
          <w:sz w:val="20"/>
        </w:rPr>
        <w:t xml:space="preserve">Other Revenue. </w:t>
      </w:r>
      <w:r>
        <w:rPr>
          <w:rFonts w:ascii="Times New Roman;serif" w:hAnsi="Times New Roman;serif"/>
          <w:b w:val="false"/>
          <w:color w:val="000000"/>
          <w:sz w:val="20"/>
        </w:rPr>
        <w:t>Other revenue decreased $0.1 million for the three months ended June 30, 2026 compared to the three months ended June 30, 2025, a decrease of 0.8%. Other revenue decreased $0.3 million for the six months ended June 30, 2026 compared to the six months ended June 30, 2025, a decrease of 1.9%. The decrease is mainly attributable to the Company no longer participating in the ACO Reach program and a decrease in revenue from services provided to third-party providers. This decrease was offset by an increase in our average interest earning cash balances and current investments. Cash and cash equivalents, and other current investments were $701.7 million as of June 30, 2026 compared to $503.7 million as of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Expenses</w:t>
      </w:r>
    </w:p>
    <w:tbl>
      <w:tblPr>
        <w:tblW w:w="9130" w:type="dxa"/>
        <w:jc w:val="left"/>
        <w:tblInd w:w="0" w:type="dxa"/>
        <w:tblLayout w:type="fixed"/>
        <w:tblCellMar>
          <w:top w:w="28" w:type="dxa"/>
          <w:left w:w="28" w:type="dxa"/>
          <w:bottom w:w="28" w:type="dxa"/>
          <w:right w:w="28" w:type="dxa"/>
        </w:tblCellMar>
      </w:tblPr>
      <w:tblGrid>
        <w:gridCol w:w="1350"/>
        <w:gridCol w:w="1190"/>
        <w:gridCol w:w="1194"/>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992,540 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300,993 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280" w:type="dxa"/>
        <w:jc w:val="left"/>
        <w:tblInd w:w="0" w:type="dxa"/>
        <w:tblLayout w:type="fixed"/>
        <w:tblCellMar>
          <w:top w:w="28" w:type="dxa"/>
          <w:left w:w="28" w:type="dxa"/>
          <w:bottom w:w="28" w:type="dxa"/>
          <w:right w:w="28" w:type="dxa"/>
        </w:tblCellMar>
      </w:tblPr>
      <w:tblGrid>
        <w:gridCol w:w="1350"/>
        <w:gridCol w:w="1190"/>
        <w:gridCol w:w="119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Change</w:t>
            </w:r>
            <w:r>
              <w:rPr>
                <w:color w:val="000000"/>
                <w:shd w:fill="FFFFFF" w:val="clear"/>
              </w:rPr>
              <w:t xml:space="preserve">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shd w:fill="FFFFFF" w:val="clear"/>
              </w:rPr>
              <w:t>%</w:t>
            </w:r>
            <w:r>
              <w:rPr>
                <w:color w:val="000000"/>
                <w:shd w:fill="FFFFFF" w:val="clear"/>
              </w:rPr>
              <w:t xml:space="preserve"> </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Medical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2,513,227 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1,924,865 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588,362 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40" w:after="283"/>
        <w:jc w:val="left"/>
        <w:rPr/>
      </w:pPr>
      <w:r>
        <w:rPr/>
      </w:r>
    </w:p>
    <w:p>
      <w:pPr>
        <w:pStyle w:val="TextBody"/>
        <w:bidi w:val="0"/>
        <w:spacing w:lineRule="auto" w:line="288" w:before="140" w:after="283"/>
        <w:jc w:val="left"/>
        <w:rPr/>
      </w:pPr>
      <w:r>
        <w:rPr>
          <w:rFonts w:ascii="Times New Roman;serif" w:hAnsi="Times New Roman;serif"/>
          <w:b w:val="false"/>
          <w:i/>
          <w:color w:val="000000"/>
          <w:sz w:val="20"/>
        </w:rPr>
        <w:t>Medical Expenses</w:t>
      </w:r>
      <w:r>
        <w:rPr>
          <w:color w:val="000000"/>
        </w:rPr>
        <w:t xml:space="preserve"> </w:t>
      </w:r>
      <w:r>
        <w:rPr>
          <w:rFonts w:ascii="Times New Roman;serif" w:hAnsi="Times New Roman;serif"/>
          <w:b w:val="false"/>
          <w:color w:val="000000"/>
          <w:sz w:val="20"/>
        </w:rPr>
        <w:t>Medical expenses were $1,154.7 million and $881.7 million for the three months ended June 30, 2026 and 2025, respectively, an increase of $272.9 million, or 31.0%. Medical expenses were $2,245.4 million and $1,702.6 million for the six months ended June 30, 2026 and 2025, respectively, an increase of $542.8 million, or 31.9%. The increase was driven primarily by the growth in Alignment’s Health Plan membership, which increased 31.5% between June 30, 2025 and June 30, 2026 The increase was also due to higher benefits for members in certain plans and an increase in unit costs.</w:t>
      </w:r>
    </w:p>
    <w:p>
      <w:pPr>
        <w:pStyle w:val="TextBody"/>
        <w:bidi w:val="0"/>
        <w:spacing w:lineRule="auto" w:line="288" w:before="240" w:after="283"/>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expenses were $131.0 million and $103.8 million for the three months ended June 30, 2026 and 2025, respectively, an increase of $27.2 million, or 26.2%. Selling, general and administrative expenses were $252.1 million and $207.6 million for the six months ended June 30, 2026 and 2025, respectively, an increase of $44.5 million, or 21.4%. The increase was primarily due to an increase in ongoing investments and expenditures in operations, technology, network development, and sales and marketing to drive the growth of Alignment's Health Plan membership. Selling, general, and administrative expenses as a percentage of revenue decreased from 10.2% to 9.8% for the three months ended June 30, 2026 compared to the three months ended June 30, 2025, and from 10.7% to 9.8% for the six months ended June 30, 2026 compared to the six months ended June 30, 2025. The decrease as a percentage of revenues is mainly attributable to economies of scale gained from Alignment's membership growth.</w:t>
      </w:r>
    </w:p>
    <w:p>
      <w:pPr>
        <w:pStyle w:val="TextBody"/>
        <w:bidi w:val="0"/>
        <w:spacing w:lineRule="auto" w:line="288" w:before="240" w:after="283"/>
        <w:jc w:val="left"/>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 xml:space="preserve">Depreciation and amortization expense was $7.9 million and $7.0 million for the three months ended June 30, 2026 and 2025, respectively, an increase of $0.9 million, or 12.2%. Depreciation and amortization expense was $15.7 million and $14.6 million for the six months ended June 30, 2026 and 2025, respectively, an increase of $1.1 million, or 7.5%. The increase was primarily due to the amount and timing of our capital expenditures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associated depreciation relative to 2025. The six month increase was offset by a decrease in amortization expense. For the six months ended June 30, 2025, we recorded impairment expense of $0.6 million related to the remeasurement of goodwill associated with one of our subsidiaries. The goodwill impairment was recorded to amortization expense.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240" w:after="283"/>
        <w:jc w:val="left"/>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Interest expense was $4.3 million and $4.0 million for the three months ended June 30, 2026 and 2025, respectively, an increase of $0.3 million or 7.5%. Interest expense was $8.3 million and $7.9 million for the six months ended June 30, 2026 and 2025, respectively, an increase of $0.4 million or 5.1%. The increase in interest expense was mainly attributable to an increase in debt issuance cost amortization related to the Revolving Credit Facility that was entered into in February 2026.</w:t>
      </w:r>
    </w:p>
    <w:p>
      <w:pPr>
        <w:pStyle w:val="TextBody"/>
        <w:bidi w:val="0"/>
        <w:spacing w:lineRule="auto" w:line="288" w:before="240" w:after="283"/>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was $0.0 million and $0.1 million for the three months ended June 30, 2026 and 2025, respectively. Other income was $0.0 million and $0.1 million for the six months ended June 30, 2026 and 2025, respectively. The decrease was mainly attributable to gains on the sale of property and equipment during the three and six months ended June 30, 2025 that did not recur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financed our operations principally through our IPO, private placements of our equity securities, revenues, and convertible notes (described below). As of June 30, 2026, we had $701.7 million in cash, cash equivalents and short-term 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a holding company in a highly regulated industry. Alignment Healthcare, Inc., the parent company, is dependent upon dividends and administrative expense reimbursements from our subsidiaries, most of which are subject to regulatory restrictions. We maintain significant levels of aggregate excess statutory capital and surplus in our state-regulated operating subsidiaries. As of June 30, 2026, the operating parent company (an indirect wholly owned subsidiary of the parent company) had $135.4 million in cash, cash equivalents and short-term 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incur operating losses in the future due to the investments we intend to continue to make in expanding our operations and sales and marketing, in further developing our technology and due to the general and administrative costs we expect to incur in connection with continuing to operate as a public company. As a result, we may require additional capital resources to execute strategic initiatives to grow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and liquid assets will be sufficient to fund our operating and organic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expand our presence in existing markets, expand into new markets, increase our sales and marketing activities and develop our technology. Additionally, in the future we may enter into arrangements to acquire or invest in complementary businesses, services and technologies, including intellectual property rights, which may also substantially increase our capital needs.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states in which we operate as a CMS-licensed Medicare Advantage company may require us to meet certain capital adequacy performance standards and tests. The National Association of Insurance Commissioners has adopted rules which, if implemented by the states, set minimum capitalization requirements for insurance companies, HMOs, and other entities bearing risk for healthcare coverage. The requirements take the form of risk-based capital (“RBC”) rules, which may vary from state to state. Certain states in which our health plans or risk bearing entities operate have adopted the RBC rules. Other states in which our health plans or risk bearing entities operate have chosen not to adopt the RBC rules, but instead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have designed and implemented their own rules regarding capital adequacy, such as the tangible net equity ("TNE") requirements for our health plans in California. As of June 30, 2026, our health plans or risk-bearing entities were in compliance with the minimum capital requirements.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November 22, 2024 (the "Effective Date"), the Company completed the sale of $330.0 million of its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 million, after subtracting fees, discounts and estimated expenses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 million aggregate principal amount, accrued interest and fees related to the Company's previous term loans with a separate financing company, as well as certain fees and expenses incurred in connection with the transaction.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recognized the Notes in their entirety as a liability on the condensed consolidated balance sheet and no portion of the proceeds from the issuance of the convertible debt instrument was accounted for separately as an embedded conversion feature within stockholders’ equity.</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 million senior secured revolving credit facility (the “Credit Facility”), with sublimits of up to $20.0 million for the issuance of letters of credit and $5.0 million for swingline loans. Subject to meeting certain customary conditions, the Borrower may increase the commitments under the Credit Facility or establish one or more new term loan facilities by up to an amount equal to the greater of $50.0 million or 100% of the Borrower Parties’ Consolidated EBITDA (as defined in the Credit Agreement) for the most recently completed four fiscal quarters of the Borrower Parties for which financial statements have been delivered. </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June 30,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will bear interest at a floating rate, which can be either, at the Borrower’s option, (a) Term SOFR (as defined in the Credit Agreement) plus an applicable margin that ranges from 2.00% to 2.5% per annum with respect to Term SOFR loans or (b) a Base Rate (as defined in the Credit Agreement) plus an applicable margin that ranges from 1.0% to 1.5% per annum with respect to Base Rate loans, based on the consolidated senior secured leverage ratio for the Borrower Parties and their affiliates,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upon the effectiveness of the Credit Agreement. The Borrower may voluntarily repay outstanding borrowings under the Credit Facility at any time, without premium or penalty.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 million as of June 30, 2026, increasing to $70.0 million as of June 30, 2027, and $80.0 million as of June 30, 2028 and each fiscal quarter thereafter.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8034" w:type="dxa"/>
        <w:jc w:val="left"/>
        <w:tblInd w:w="0" w:type="dxa"/>
        <w:tblLayout w:type="fixed"/>
        <w:tblCellMar>
          <w:top w:w="28" w:type="dxa"/>
          <w:left w:w="28" w:type="dxa"/>
          <w:bottom w:w="28" w:type="dxa"/>
          <w:right w:w="28" w:type="dxa"/>
        </w:tblCellMar>
      </w:tblPr>
      <w:tblGrid>
        <w:gridCol w:w="1942"/>
        <w:gridCol w:w="1711"/>
        <w:gridCol w:w="1717"/>
        <w:gridCol w:w="211"/>
        <w:gridCol w:w="826"/>
        <w:gridCol w:w="109"/>
        <w:gridCol w:w="109"/>
        <w:gridCol w:w="109"/>
        <w:gridCol w:w="109"/>
        <w:gridCol w:w="211"/>
        <w:gridCol w:w="826"/>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111,368 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45,746 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695,589 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472,359 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jc w:val="left"/>
        <w:rPr/>
      </w:pPr>
      <w:r>
        <w:rPr>
          <w:rFonts w:ascii="Times New Roman;serif" w:hAnsi="Times New Roman;serif"/>
          <w:b w:val="false"/>
          <w:color w:val="000000"/>
          <w:sz w:val="20"/>
        </w:rPr>
        <w:t>For the six months ended June 30, 2026, net cash provided by operating activities was $111.4 million, an increase of $65.6</w:t>
      </w:r>
      <w:r>
        <w:rPr>
          <w:color w:val="FF0000"/>
        </w:rPr>
        <w:t xml:space="preserve"> </w:t>
      </w:r>
      <w:r>
        <w:rPr>
          <w:rFonts w:ascii="Times New Roman;serif" w:hAnsi="Times New Roman;serif"/>
          <w:b w:val="false"/>
          <w:color w:val="000000"/>
          <w:sz w:val="20"/>
        </w:rPr>
        <w:t>million compared to net cash provided by operating activities of $45.7 million for the six months ended June 30, 2025. The increase is mainly attributable to an increase in membership and net income and the timing of accounts receivable settlements. This increase was partially offset by the timing of our medical expense payments and an increase in accrued compensation and prepaid expenses and other current assets.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investing activities was $3.0 million, an increase of $13.1 million compared to net cash used in investing activities of $10.1 million for the six months ended June 30, 2025. The increase primarily relates to a decrease in investment purchases during the six months ended June 30, 2026. This increase was partially offset by a decrease in investment maturities.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provided by financing activities was $3.3 million, an increase of $1.5 million, compared to net cash provided by financing activities of $1.8 million for the six months ended June 30,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 is primarily attributable to an increase in proceeds from stock option exercises for the six months ended June 30, 2026 compared to the six months ended June 30, 2025. This increase was offset by an increase in debt issuance costs related to the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Material cash requirements from known contractual and other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obligations disclosed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left"/>
        <w:rPr/>
      </w:pPr>
      <w:r>
        <w:rPr>
          <w:rFonts w:ascii="Times New Roman;serif" w:hAnsi="Times New Roman;serif"/>
          <w:b w:val="false"/>
          <w:color w:val="000000"/>
          <w:sz w:val="20"/>
        </w:rPr>
        <w:t>As of June 30, 2026, the Company had $200.0 million of borrowing capacity under the Revolving Credit Facility, see "</w:t>
      </w:r>
      <w:r>
        <w:rPr>
          <w:rFonts w:ascii="Times New Roman;serif" w:hAnsi="Times New Roman;serif"/>
          <w:b w:val="false"/>
          <w:i/>
          <w:color w:val="000000"/>
          <w:sz w:val="20"/>
        </w:rPr>
        <w:t xml:space="preserve">Liquidity and Capital Resources - Revolving Credit Facility" </w:t>
      </w:r>
      <w:r>
        <w:rPr>
          <w:rFonts w:ascii="Times New Roman;serif" w:hAnsi="Times New Roman;serif"/>
          <w:b w:val="false"/>
          <w:color w:val="000000"/>
          <w:sz w:val="20"/>
        </w:rPr>
        <w:t xml:space="preserve">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condensed consolidated financial statements, which have been prepared in accordance with U.S. generally accepted accounting principles and include the accounts of our wholly-owned subsidiaries and three variable interest entities (“VIEs”) in California and North Carolina that meet the consolidation requirements for accounting purposes. All intercompany transactions have been eliminated in consolidation.</w:t>
      </w:r>
    </w:p>
    <w:p>
      <w:pPr>
        <w:pStyle w:val="TextBody"/>
        <w:bidi w:val="0"/>
        <w:spacing w:lineRule="auto" w:line="288" w:before="240" w:after="283"/>
        <w:jc w:val="left"/>
        <w:rPr/>
      </w:pPr>
      <w:r>
        <w:rPr>
          <w:rFonts w:ascii="Times New Roman;serif" w:hAnsi="Times New Roman;serif"/>
          <w:b w:val="false"/>
          <w:color w:val="000000"/>
          <w:sz w:val="20"/>
        </w:rPr>
        <w:t xml:space="preserve">There have been no significant changes in our critical accounting estimate policies or methodologies to our condensed consolidated financial statements. For a description of our policies regarding our critical accounting policies, see </w:t>
      </w:r>
      <w:r>
        <w:rPr>
          <w:rFonts w:ascii="Times New Roman;serif" w:hAnsi="Times New Roman;serif"/>
          <w:b w:val="false"/>
          <w:i/>
          <w:color w:val="000000"/>
          <w:sz w:val="20"/>
        </w:rPr>
        <w:t>"Management's Discussion and Analysis of Financial Condition and Results of Operations—Critical Accounting Estimates"</w:t>
      </w:r>
      <w:r>
        <w:rPr>
          <w:color w:val="000000"/>
        </w:rPr>
        <w:t xml:space="preserve"> </w:t>
      </w:r>
      <w:r>
        <w:rPr>
          <w:rFonts w:ascii="Times New Roman;serif" w:hAnsi="Times New Roman;serif"/>
          <w:b w:val="false"/>
          <w:color w:val="000000"/>
          <w:sz w:val="20"/>
        </w:rPr>
        <w:t xml:space="preserve">in the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pPr>
      <w:r>
        <w:rPr>
          <w:rFonts w:ascii="Times New Roman;serif" w:hAnsi="Times New Roman;serif"/>
          <w:b w:val="false"/>
          <w:color w:val="000000"/>
          <w:sz w:val="20"/>
        </w:rPr>
        <w:t>See Note 2 to our condensed consolidated financial statements, “</w:t>
      </w:r>
      <w:r>
        <w:rPr>
          <w:rFonts w:ascii="Times New Roman;serif" w:hAnsi="Times New Roman;serif"/>
          <w:b w:val="false"/>
          <w:i/>
          <w:color w:val="000000"/>
          <w:sz w:val="20"/>
        </w:rPr>
        <w:t>Summary of Significant Accounting Policies—Recent Accounting Pronouncements Adopted</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impact our financial position due to adverse changes in financial market prices and rates. Our market risk exposure is primarily a result of exposure due to potential changes in interest rates and inflation.</w:t>
      </w:r>
    </w:p>
    <w:p>
      <w:pPr>
        <w:pStyle w:val="TextBody"/>
        <w:bidi w:val="0"/>
        <w:spacing w:lineRule="auto" w:line="288" w:before="240" w:after="20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As of June 30, 2026, we had $16.2 million of U.S. Treasury bills which were classified as held to maturity and had maturities less than twelve months. Due to the short-term duration of our investment portfolio and the low risk profile of our investments, we believe that our exposure to interest rate risk on these investments is not significant. We do not enter into investments for trading purposes.</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 senior secured revolving credit facility of up to $200.0 million. This agreement exposes us to risks associated with market changes in interest rates through our revolving credit facility agreement, and variability in interest payments due to changes in SOFR interest rates. We manage our exposure to this market risk by monitoring available financial alternatives.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November 2024, we completed the sale of $330.0 million of 4.25% Convertible Senior Notes. Since the notes have a fixed annual interest rate, we have no financial or economic interest exposure associated with changes in interest rates. However, the fair value of fixed rate debt fluctuates when interest rates change. Additionally, the fair value of the Convertible Senior Notes can be impacted when the market price of our common stock fluctuates.</w:t>
      </w:r>
    </w:p>
    <w:p>
      <w:pPr>
        <w:pStyle w:val="TextBody"/>
        <w:bidi w:val="0"/>
        <w:spacing w:lineRule="auto" w:line="288" w:before="240" w:after="20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Based on our analysis of the periods presented, although we have experienced modest increases in unit costs and labor expenses, we believe that inflation has not had a material effect on our operating results. Nonetheless, if our costs were to become subject to significant inflationary pressures, we may not be able to fully offset such higher costs through price increases. There can be no assurance that future inflation will not have an adverse impact on our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June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to our Internal Controls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in our internal control over financial reporting during the three months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Note 12, Commitments and Contingencies – Legal Proceedings, to Alignment Healthcare, Inc.'s Condensed Consolidated Financial Statements in Part I, Item 1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our executive officers and directors adopted or terminated, as applicable, the following trading arrangements that are intended to satisfy the affirmative defense of Rule 10b5-1(c): </w:t>
      </w:r>
    </w:p>
    <w:tbl>
      <w:tblPr>
        <w:tblW w:w="10205" w:type="dxa"/>
        <w:jc w:val="left"/>
        <w:tblInd w:w="0" w:type="dxa"/>
        <w:tblLayout w:type="fixed"/>
        <w:tblCellMar>
          <w:top w:w="28" w:type="dxa"/>
          <w:left w:w="28" w:type="dxa"/>
          <w:bottom w:w="28" w:type="dxa"/>
          <w:right w:w="28" w:type="dxa"/>
        </w:tblCellMar>
      </w:tblPr>
      <w:tblGrid>
        <w:gridCol w:w="910"/>
        <w:gridCol w:w="735"/>
        <w:gridCol w:w="736"/>
        <w:gridCol w:w="420"/>
        <w:gridCol w:w="420"/>
        <w:gridCol w:w="422"/>
        <w:gridCol w:w="520"/>
        <w:gridCol w:w="520"/>
        <w:gridCol w:w="522"/>
        <w:gridCol w:w="761"/>
        <w:gridCol w:w="761"/>
        <w:gridCol w:w="762"/>
        <w:gridCol w:w="792"/>
        <w:gridCol w:w="792"/>
        <w:gridCol w:w="1132"/>
      </w:tblGrid>
      <w:tr>
        <w:trPr/>
        <w:tc>
          <w:tcPr>
            <w:tcW w:w="91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&amp; Title</w:t>
            </w:r>
          </w:p>
        </w:tc>
        <w:tc>
          <w:tcPr>
            <w:tcW w:w="12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5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Termination</w:t>
            </w:r>
          </w:p>
        </w:tc>
        <w:tc>
          <w:tcPr>
            <w:tcW w:w="228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271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20"/>
              </w:rPr>
              <w:t>Maximum Number of Securities to be Sold</w:t>
            </w:r>
            <w:r>
              <w:rPr>
                <w:rFonts w:ascii="Times New Roman;serif" w:hAnsi="Times New Roman;serif"/>
                <w:b/>
                <w:color w:val="000000"/>
                <w:sz w:val="13"/>
              </w:rPr>
              <w:t>(1)</w:t>
            </w:r>
          </w:p>
        </w:tc>
      </w:tr>
      <w:tr>
        <w:trPr/>
        <w:tc>
          <w:tcPr>
            <w:tcW w:w="238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Kao,</w:t>
            </w:r>
          </w:p>
          <w:p>
            <w:pPr>
              <w:pStyle w:val="TableContents"/>
              <w:bidi w:val="0"/>
              <w:spacing w:lineRule="auto" w:line="288" w:before="0" w:after="0"/>
              <w:jc w:val="left"/>
              <w:rPr/>
            </w:pPr>
            <w:r>
              <w:rPr>
                <w:rFonts w:ascii="Times New Roman;serif" w:hAnsi="Times New Roman;serif"/>
                <w:b w:val="false"/>
                <w:color w:val="000000"/>
                <w:sz w:val="20"/>
              </w:rPr>
              <w:t>Chairman and Chief Executive Officer</w:t>
            </w:r>
            <w:r>
              <w:rPr>
                <w:rFonts w:ascii="Times New Roman;serif" w:hAnsi="Times New Roman;serif"/>
                <w:b w:val="false"/>
                <w:color w:val="000000"/>
                <w:sz w:val="13"/>
              </w:rPr>
              <w:t>(2)</w:t>
            </w:r>
          </w:p>
        </w:tc>
        <w:tc>
          <w:tcPr>
            <w:tcW w:w="126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5/27/2026</w:t>
            </w:r>
          </w:p>
        </w:tc>
        <w:tc>
          <w:tcPr>
            <w:tcW w:w="156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28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9/10/2026 – 2/26/2027</w:t>
            </w:r>
          </w:p>
        </w:tc>
        <w:tc>
          <w:tcPr>
            <w:tcW w:w="271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800,000</w:t>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(1)Securities reported in this column include securities subject to limit orders and such orders may not fill if limit order conditions are not met. The actual number of shares sold under the plan will depend on the vesting of certain performance-based equity awards and the number of shares withheld or sold satisfy our income tax withholding obligations and may vary from the number provided herein. The number of performance share units included in plans assumes awards are earned at target.</w:t>
      </w:r>
    </w:p>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(2)Represents securities held by JEK Trust, dated February 8, 2021, of which Mr. Kao is the trustee.</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2"/>
        <w:gridCol w:w="263"/>
        <w:gridCol w:w="109"/>
        <w:gridCol w:w="109"/>
        <w:gridCol w:w="109"/>
        <w:gridCol w:w="2707"/>
        <w:gridCol w:w="2615"/>
        <w:gridCol w:w="3734"/>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4"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14" w:after="283"/>
              <w:jc w:val="left"/>
              <w:rPr/>
            </w:pPr>
            <w:hyperlink r:id="rId2">
              <w:r>
                <w:rPr>
                  <w:rStyle w:val="InternetLink"/>
                  <w:rFonts w:ascii="Times New Roman;serif" w:hAnsi="Times New Roman;serif"/>
                  <w:b w:val="false"/>
                  <w:color w:val="0000FF"/>
                  <w:sz w:val="20"/>
                  <w:u w:val="single"/>
                  <w:shd w:fill="FFFFFF" w:val="clear"/>
                </w:rPr>
                <w:t>Amended and Restated Certificate of Incorporation of Alignment Healthcare, Inc. (incorporated by reference to Exhibit 3.1 to the Company’s Form 8-K filed on March 30, 2021).</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Alignment Healthcare, Inc. (incorporated by reference to Exhibit 3.1 to the Company's Form 8-K filed on June 13, 2024).</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4">
              <w:r>
                <w:rPr>
                  <w:rStyle w:val="InternetLink"/>
                  <w:rFonts w:ascii="Times New Roman;serif" w:hAnsi="Times New Roman;serif"/>
                  <w:b w:val="false"/>
                  <w:color w:val="0000FF"/>
                  <w:sz w:val="20"/>
                  <w:u w:val="single"/>
                </w:rPr>
                <w:t>Amended and Restated Bylaws of Alignment Healthcare, Inc. (incorporated by reference to Exhibit 3.2 to the Company’s Form 10-K filed on February 27, 2024).</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r:id="rId5">
              <w:r>
                <w:rPr>
                  <w:rStyle w:val="InternetLink"/>
                  <w:rFonts w:ascii="Times New Roman;serif" w:hAnsi="Times New Roman;serif"/>
                  <w:b w:val="false"/>
                  <w:color w:val="0000FF"/>
                  <w:sz w:val="20"/>
                  <w:u w:val="single"/>
                  <w:shd w:fill="FFFFFF" w:val="clear"/>
                </w:rPr>
                <w:t>Registration Rights Agreement, dated as of March 30, 2021, among Alignment Healthcare, Inc. and the other signatories party thereto (incorporated by reference to Exhibit 4.1 to the Company’s Form 8-K filed on March 30, 2021).</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101hochradelemploymenta.htm">
              <w:r>
                <w:rPr>
                  <w:rStyle w:val="InternetLink"/>
                  <w:rFonts w:ascii="Times New Roman;serif" w:hAnsi="Times New Roman;serif"/>
                  <w:b w:val="false"/>
                  <w:color w:val="0000FF"/>
                  <w:sz w:val="20"/>
                  <w:u w:val="single"/>
                </w:rPr>
                <w:t>Employment Agreement, dated as of June 1, 2026, between Alignment Healthcare USA, LLC and Shane Hochradel.</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102kent-employmentagree.htm">
              <w:r>
                <w:rPr>
                  <w:rStyle w:val="InternetLink"/>
                  <w:rFonts w:ascii="Times New Roman;serif" w:hAnsi="Times New Roman;serif"/>
                  <w:b w:val="false"/>
                  <w:color w:val="0000FF"/>
                  <w:sz w:val="20"/>
                  <w:u w:val="single"/>
                </w:rPr>
                <w:t>Employment Agreement, dated as of May 18, 2026, between Alignment Healthcare USA, LLC and Mark Kent.</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103konowieckiemployment.htm">
              <w:r>
                <w:rPr>
                  <w:rStyle w:val="InternetLink"/>
                  <w:rFonts w:ascii="Times New Roman;serif" w:hAnsi="Times New Roman;serif"/>
                  <w:b w:val="false"/>
                  <w:color w:val="0000FF"/>
                  <w:sz w:val="20"/>
                  <w:u w:val="single"/>
                </w:rPr>
                <w:t>Employment Agreement, dated as of May 12, 2026, between Alignment Healthcare USA, LLC and Joseph S. Konowiecki.</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104amendment_toxemploym.htm">
              <w:r>
                <w:rPr>
                  <w:rStyle w:val="InternetLink"/>
                  <w:rFonts w:ascii="Times New Roman;serif" w:hAnsi="Times New Roman;serif"/>
                  <w:b w:val="false"/>
                  <w:color w:val="0000FF"/>
                  <w:sz w:val="20"/>
                  <w:u w:val="single"/>
                </w:rPr>
                <w:t>Amendment to Employment Agreement, dated as of May 7, 2026, between Alignment Healthcare USA, LLC and Christopher J. Joyce.</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6302026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6302026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6302026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6" w:before="14" w:after="283"/>
              <w:jc w:val="left"/>
              <w:rPr/>
            </w:pPr>
            <w:hyperlink w:anchor="alhc-06302026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p>
      <w:pPr>
        <w:pStyle w:val="TextBody"/>
        <w:bidi w:val="0"/>
        <w:spacing w:lineRule="auto" w:line="288" w:before="120" w:after="283"/>
        <w:ind w:left="0" w:right="0" w:hanging="720"/>
        <w:jc w:val="left"/>
        <w:rPr/>
      </w:pPr>
      <w:r>
        <w:rPr>
          <w:rFonts w:ascii="Times New Roman;serif" w:hAnsi="Times New Roman;serif"/>
          <w:b w:val="false"/>
          <w:color w:val="000000"/>
          <w:sz w:val="24"/>
        </w:rPr>
        <w:t>+</w:t>
      </w: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25" w:type="dxa"/>
        <w:jc w:val="left"/>
        <w:tblInd w:w="0" w:type="dxa"/>
        <w:tblLayout w:type="fixed"/>
        <w:tblCellMar>
          <w:top w:w="28" w:type="dxa"/>
          <w:left w:w="28" w:type="dxa"/>
          <w:bottom w:w="28" w:type="dxa"/>
          <w:right w:w="28" w:type="dxa"/>
        </w:tblCellMar>
      </w:tblPr>
      <w:tblGrid>
        <w:gridCol w:w="618"/>
        <w:gridCol w:w="544"/>
        <w:gridCol w:w="547"/>
        <w:gridCol w:w="362"/>
        <w:gridCol w:w="362"/>
        <w:gridCol w:w="362"/>
        <w:gridCol w:w="623"/>
        <w:gridCol w:w="623"/>
        <w:gridCol w:w="88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16" w:type="dxa"/>
            <w:gridSpan w:val="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Alignment Healthcare, Inc.</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 w:after="283"/>
        <w:jc w:val="left"/>
        <w:rPr/>
      </w:pPr>
      <w:r>
        <w:rPr/>
      </w:r>
    </w:p>
    <w:p>
      <w:pPr>
        <w:pStyle w:val="TextBody"/>
        <w:bidi w:val="0"/>
        <w:spacing w:lineRule="auto" w:line="280" w:before="0" w:after="0"/>
        <w:jc w:val="center"/>
        <w:rPr>
          <w:rFonts w:ascii="Times New Roman;serif" w:hAnsi="Times New Roman;serif"/>
          <w:b/>
          <w:color w:val="000000"/>
          <w:sz w:val="24"/>
        </w:rPr>
      </w:pPr>
      <w:r>
        <w:rPr>
          <w:rFonts w:ascii="Times New Roman;serif" w:hAnsi="Times New Roman;serif"/>
          <w:b/>
          <w:color w:val="000000"/>
          <w:sz w:val="24"/>
        </w:rPr>
        <w:t>EMPLOYMENT AGREEMENT BETWEEN</w:t>
      </w:r>
    </w:p>
    <w:p>
      <w:pPr>
        <w:pStyle w:val="TextBody"/>
        <w:bidi w:val="0"/>
        <w:spacing w:lineRule="auto" w:line="518" w:before="240" w:after="283"/>
        <w:jc w:val="center"/>
        <w:rPr>
          <w:rFonts w:ascii="Times New Roman;serif" w:hAnsi="Times New Roman;serif"/>
          <w:b/>
          <w:color w:val="000000"/>
          <w:sz w:val="24"/>
        </w:rPr>
      </w:pPr>
      <w:r>
        <w:rPr>
          <w:rFonts w:ascii="Times New Roman;serif" w:hAnsi="Times New Roman;serif"/>
          <w:b/>
          <w:color w:val="000000"/>
          <w:sz w:val="24"/>
        </w:rPr>
        <w:t>ALIGNMENT HEALTHCARE USA, LLC 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SHANE HOCHRADEL</w:t>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June 1,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jc w:val="center"/>
        <w:rPr/>
      </w:pPr>
      <w:r>
        <w:rPr/>
      </w:r>
    </w:p>
    <w:p>
      <w:pPr>
        <w:pStyle w:val="TextBody"/>
        <w:bidi w:val="0"/>
        <w:spacing w:lineRule="auto" w:line="288" w:before="84"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0" w:before="233" w:after="283"/>
        <w:ind w:left="0" w:right="0" w:firstLine="720"/>
        <w:jc w:val="both"/>
        <w:rPr/>
      </w:pPr>
      <w:r>
        <w:rPr>
          <w:rFonts w:ascii="Times New Roman;serif" w:hAnsi="Times New Roman;serif"/>
          <w:b w:val="false"/>
          <w:color w:val="000000"/>
          <w:sz w:val="24"/>
        </w:rPr>
        <w:t>THIS EMPLOYMENT AGREEMENT is made and entered into effective as of June 1,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Alignment Healthcare USA, LLC, a California corporation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and Shane Hochradel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lineRule="auto" w:line="280"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Employer desires to employ the Employee, and the Employee desires to accept such employment, on the terms and subject to the conditions hereinafter set forth.</w:t>
      </w:r>
    </w:p>
    <w:p>
      <w:pPr>
        <w:pStyle w:val="TextBody"/>
        <w:bidi w:val="0"/>
        <w:spacing w:lineRule="auto" w:line="280" w:before="234"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contained herein and other good and valuable consideration, the receipt and sufficiency of which are hereby acknowledged, the parties hereto agree as follows.</w:t>
      </w:r>
    </w:p>
    <w:p>
      <w:pPr>
        <w:pStyle w:val="TextBody"/>
        <w:bidi w:val="0"/>
        <w:spacing w:lineRule="auto" w:line="280" w:before="23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Generally, defined terms used in this Agreement are defined in the first instance in which they appear herein. In addition, the following terms and phrases have the following meanings: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when used with reference to a specified Person, (a) any Person who directly or indirectly controls, is controlled by or is under common control with the specified Person, (b) any Person who is an officer, director, partner, member, manager or trustee of, or serves in a similar capacity with respect to, the specified Person, or for which the specified Person is an officer, director, partner, member or manager or trustee or serves in a similar capacity, (c) any Person who, directly or indirectly, is the beneficial owner of 10% or more of any class of equity securities of the specified Person, or of which the specified Person, directly or indirectly, is the owner of 10% or more of any class of equity securities and (d) any member of such specified Person’s immediate family.</w:t>
      </w:r>
    </w:p>
    <w:p>
      <w:pPr>
        <w:pStyle w:val="TextBody"/>
        <w:bidi w:val="0"/>
        <w:spacing w:lineRule="auto" w:line="285" w:before="238" w:after="283"/>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Alignment Healthcare, Inc. or any other Person the Board has appointed or delegated authority.</w:t>
      </w:r>
    </w:p>
    <w:p>
      <w:pPr>
        <w:pStyle w:val="TextBody"/>
        <w:bidi w:val="0"/>
        <w:spacing w:lineRule="auto" w:line="288" w:before="224" w:after="283"/>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Employee’s:</w:t>
      </w:r>
    </w:p>
    <w:p>
      <w:pPr>
        <w:pStyle w:val="TextBody"/>
        <w:bidi w:val="0"/>
        <w:spacing w:lineRule="auto" w:line="276" w:before="245"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(i)failure to devote substantially all Employee’s working time to the business of the Employer and its Affiliates;</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(ii)failure to abide by the code of conduct or other policies (including, without limitation, policies relating to confidentiality and reasonable workplace conduct) of the Employer;</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(iii)violation or breach of the provisions, representations or covenants of Sections 10, 11, 15 or 16(a);</w:t>
      </w:r>
    </w:p>
    <w:p>
      <w:pPr>
        <w:pStyle w:val="TextBody"/>
        <w:bidi w:val="0"/>
        <w:spacing w:lineRule="auto" w:line="276" w:before="245"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(iv)theft, dishonesty, willful or gross misconduct, breach of fiduciary duty, falsification of any Employer documents or records, or misrepresentation(s) to the Employer;</w:t>
      </w:r>
    </w:p>
    <w:p>
      <w:pPr>
        <w:pStyle w:val="TextBody"/>
        <w:bidi w:val="0"/>
        <w:spacing w:lineRule="auto" w:line="288" w:before="244"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(v)Employee’s unauthorized use, misappropriation, destruction or diversion of any tangible or intangible asset or corporate opportunity of the Employer or its Affiliates (including, without limitation, Employee’s improper use or disclosure of the Employer’s or any Affiliates’ confidential or proprietary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76" w:before="82"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(vi)any act by Employee which has a material detrimental effect on the Employer’s reputation or business;</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(vii)Employee’s failure or inability (other than due to Employee’s Disability) to perform any reasonable and lawful assigned duties consistent with Employee’s position ;</w:t>
      </w:r>
    </w:p>
    <w:p>
      <w:pPr>
        <w:pStyle w:val="TextBody"/>
        <w:bidi w:val="0"/>
        <w:spacing w:lineRule="auto" w:line="276"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(viii)material breach by Employee of this Agreement or its exhibits or any other agreement between Employee and the Employer;</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(ix)commission of any act of fraud, theft or financial dishonesty, or any felony or criminal act involving moral turpitude;</w:t>
      </w:r>
    </w:p>
    <w:p>
      <w:pPr>
        <w:pStyle w:val="TextBody"/>
        <w:bidi w:val="0"/>
        <w:spacing w:lineRule="auto" w:line="288" w:before="241" w:after="283"/>
        <w:ind w:left="0" w:right="0" w:hanging="989"/>
        <w:jc w:val="left"/>
        <w:rPr>
          <w:rFonts w:ascii="Times New Roman;serif" w:hAnsi="Times New Roman;serif"/>
          <w:b w:val="false"/>
          <w:color w:val="000000"/>
          <w:sz w:val="24"/>
        </w:rPr>
      </w:pPr>
      <w:r>
        <w:rPr>
          <w:rFonts w:ascii="Times New Roman;serif" w:hAnsi="Times New Roman;serif"/>
          <w:b w:val="false"/>
          <w:color w:val="000000"/>
          <w:sz w:val="24"/>
        </w:rPr>
        <w:t>(x)engaging in any discriminatory or sexually harassing behavior ; or</w:t>
      </w:r>
    </w:p>
    <w:p>
      <w:pPr>
        <w:pStyle w:val="TextBody"/>
        <w:bidi w:val="0"/>
        <w:spacing w:lineRule="auto" w:line="288" w:before="237"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(xi)unlawful use (including being under the influence) of alcohol or drugs or possession of illegal drugs while on the premises of the Employer or any of its Affiliates or while performing duties and responsibilities to the Employer and its Affiliates.</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Solely to the extent that the Board determines in its sole discretion that the Cause conduct is curable, Employee shall have five (5) business days after receipt of written notice (in accordance with Section 26 hereof and stating in reasonable detail the facts or circumstances giving rise to Cause) that the Employer believes it has grounds to terminate Employee’s employment for Cause to entirely cure the Cause conduct under subsections (i) through (viii) above and its consequences to the satisfaction of the Board and thereby avoid termination of Employee’s employment for Cause if so determined by the Board in its sole discretion.</w:t>
      </w:r>
    </w:p>
    <w:p>
      <w:pPr>
        <w:pStyle w:val="TextBody"/>
        <w:bidi w:val="0"/>
        <w:spacing w:lineRule="auto" w:line="288" w:before="239"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any time period when the Employer believes that (or is in the process of investigating whether) Employee may have committed an act of Cause (or has committed an act which could result in constituting Cause under any of the above subsections), the Employer may in its discretion place Employee on a leave of absence and/or preclude Employee from utilizing Employer or Affiliate resources or having access to Employer premises. If after Employee’s termination of employment for any reason other than Cause, the Employer discovers that Employee’s employment could have been terminated for Cause, then the Employer may in its discretion recharacterize such termination as a termination for Cause .Employer will give written notice of such recharacterization in accordance with Section 26 hereof.</w:t>
      </w:r>
    </w:p>
    <w:p>
      <w:pPr>
        <w:pStyle w:val="TextBody"/>
        <w:bidi w:val="0"/>
        <w:spacing w:lineRule="auto" w:line="288" w:before="243" w:after="283"/>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proprietary and other information relating to the business and operations of the Employer and its Affiliates, which has not been specifically designated for release to the public by an authorized representative of the Employer or one of its Affiliates, including, but not limited to the following: (i) information, observations, procedures and data concerning the business or affairs of the Employer or any of its Affiliates; (ii) products or services; (iii) costs and pricing structures; (iv) analyses; (v) drawings, photographs and reports;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 computer software, including operating systems, applications and program listings; (vii) flow charts, manuals and documentation; (viii) data bases; (ix) accounting and business methods; (x) inventions, devices, new developments, methods and processes, whether patentable or unpatentable and whether or not reduced to practice; (xi) customers, vendors, suppliers and customer, vendor and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5975"/>
                <wp:effectExtent l="0" t="0" r="0" b="0"/>
                <wp:wrapNone/>
                <wp:docPr id="46" name="Frame4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supplier lists; (xii) business goals, plans, techniques and strategies; (xiii) other copyrightable works; (xiv) all production methods, processes, technology and trade secrets;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5975"/>
                <wp:effectExtent l="0" t="0" r="0" b="0"/>
                <wp:wrapNone/>
                <wp:docPr id="47" name="Frame4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and (xv) all similar and related information in whatever form. Confidential Information also includes any information that the Employer or any of its Affiliates have received, or may receive hereafter, belonging to customers or other third parties with any understanding, express or implied, that the information would not be disclosed. Confidential Information will not include any information that has been published in a form generally available to the public prior to the date the Employee proposes to disclose or use such information (through no wrongful act of the Employee). Confidential Information will not be deemed to have been published merely because individual portions of the information have been separately published, but only if all material features comprising such information have been published in combination.</w:t>
      </w:r>
    </w:p>
    <w:p>
      <w:pPr>
        <w:pStyle w:val="TextBody"/>
        <w:bidi w:val="0"/>
        <w:spacing w:lineRule="auto" w:line="288" w:before="238" w:after="283"/>
        <w:ind w:left="0" w:right="0" w:firstLine="144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Employee’s inability, due to physical or mental illness or disability, to perform the essential functions of Employee’s employment with the Employer, even with reasonable accommodation that does not impose an undue hardship on the Employer, for more than 60 consecutive days, or for any 90 days within any one year period, unless a longer period is required by federal or state law, in which case such longer period will be applicable. The Employer reserves the right, in good faith, to make the determination of Disability under this Agreement based on information supplied by the Employee and/or Employee’s medical personnel, as well as information from medical personnel selected by the Employer or its insurers.</w:t>
      </w:r>
    </w:p>
    <w:p>
      <w:pPr>
        <w:pStyle w:val="TextBody"/>
        <w:bidi w:val="0"/>
        <w:spacing w:lineRule="auto" w:line="280" w:before="241" w:after="283"/>
        <w:ind w:left="0" w:right="0" w:firstLine="1440"/>
        <w:jc w:val="both"/>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has the meaning set forth in the preamble;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 xml:space="preserve">Sections </w:t>
      </w:r>
      <w:hyperlink w:anchor="i26591f0ebb9b484aafaffd446de3b28e_4">
        <w:r>
          <w:rPr>
            <w:rStyle w:val="InternetLink"/>
          </w:rPr>
          <w:t>8</w:t>
        </w:r>
      </w:hyperlink>
      <w:r>
        <w:rPr>
          <w:rFonts w:ascii="Times New Roman;serif" w:hAnsi="Times New Roman;serif"/>
          <w:b w:val="false"/>
          <w:color w:val="000000"/>
          <w:sz w:val="24"/>
          <w:u w:val="single"/>
        </w:rPr>
        <w:t xml:space="preserve"> through </w:t>
      </w:r>
      <w:hyperlink w:anchor="i26591f0ebb9b484aafaffd446de3b28e_4">
        <w:r>
          <w:rPr>
            <w:rStyle w:val="InternetLink"/>
          </w:rPr>
          <w:t>15</w:t>
        </w:r>
      </w:hyperlink>
      <w:r>
        <w:rPr>
          <w:rFonts w:ascii="Times New Roman;serif" w:hAnsi="Times New Roman;serif"/>
          <w:b w:val="false"/>
          <w:color w:val="000000"/>
          <w:sz w:val="24"/>
        </w:rPr>
        <w:t>, “Employer” includes Alignment Healthcare, Inc. and all of its Subsidiaries and Affiliates.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exist if, without Employee’s written or oral consent, Employer materially breaches a financial obligation of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Good Reason shall not exist so long as Employee maintains an equivalent salary or title possessed at Employer or any affiliate immediately before any claim of Good Reason, or a higher salary or title at Employer or any affiliate; and provided further that, Good Reason shall not exist if Cause exists . Employee may terminate employment hereunder for Good Reason within sixty (60) days following the occurrence of any condition constituting Good Reason, provided however that Employee has first provided written notice to Employer specifying in reasonable detail and satisfactory to Employer the condition giving rise to Good Reason, Employee has provided Employer with a period of sixty (60) days to remedy the condition (and the notice so specifies), and Employer has failed to remedy the condition within this sixty (60) day period.</w:t>
      </w:r>
    </w:p>
    <w:p>
      <w:pPr>
        <w:pStyle w:val="TextBody"/>
        <w:bidi w:val="0"/>
        <w:spacing w:lineRule="auto" w:line="280" w:before="239" w:after="283"/>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be construed broadly and shall include, without limitation, an individual, a partnership, an investment fund, a limited liability company, a corporation, an association, a joint stock company, a trust, a joint venture, an unincorporated organization and a governmental entity or any department, agency or political subdivision thereof.</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of any Person means any corporation, partnership, joint venture or other legal entity of which such Person (either alone or through or together with any other Person), owns, directly or indirectly, 50% or more of the stock or other equity interests which are generally entitled to vote for the election of the board of directors or other governing body of such corporation or other legal entity.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5975"/>
                <wp:effectExtent l="0" t="0" r="0" b="0"/>
                <wp:wrapNone/>
                <wp:docPr id="48" name="Frame4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jc w:val="both"/>
        <w:rPr/>
      </w:pPr>
      <w:r>
        <w:rPr/>
      </w:r>
    </w:p>
    <w:p>
      <w:pPr>
        <w:pStyle w:val="TextBody"/>
        <w:bidi w:val="0"/>
        <w:spacing w:lineRule="auto" w:line="288" w:before="80" w:after="283"/>
        <w:ind w:left="0" w:right="0" w:firstLine="144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effective date of the termination of the Employee’s employment hereunder, which (i) in the case of termination due to resignation by the Employee without Good Reason, shall mean the date that is 90 days following the date of the Employee’s written notice to the Employer of Employee’s resignation, or in the case of resignation by the Employee with Good Reason, shall mean the date on which the sixty (60)-day period for Employer to remedy the applicable condition giving rise to Good Reason has lapsed, provided, however, that in each case the Employer may accelerate the Termination Date; ii) in the case of termination by reason of the Employee’s death, shall mean the date of death; (iii) in the case of termination by reason of Disability, shall mean the date specified in the notice of such termination delivered to the Employee by the Employer; (iv) in the case of a termination by the Employer for Cause or without Cause, shall mean the date specified in the written notice of such termination delivered to the Employee by the Employer, except to the extent set forth in this Agreement; (iv) in the case of termination by mutual agreement, shall mean the date mutually agreed to by the parties hereto; or</w:t>
      </w:r>
    </w:p>
    <w:p>
      <w:pPr>
        <w:pStyle w:val="TextBody"/>
        <w:bidi w:val="0"/>
        <w:spacing w:lineRule="auto" w:line="280" w:before="0" w:after="0"/>
        <w:jc w:val="both"/>
        <w:rPr/>
      </w:pPr>
      <w:r>
        <w:rPr>
          <w:rFonts w:ascii="Times New Roman;serif" w:hAnsi="Times New Roman;serif"/>
          <w:b w:val="false"/>
          <w:color w:val="000000"/>
          <w:sz w:val="24"/>
        </w:rPr>
        <w:t xml:space="preserve">(v) in the case of termination due to either party’s delivery to the other party of a Notice of Nonrenewal pursuant to </w:t>
      </w:r>
      <w:r>
        <w:rPr>
          <w:rFonts w:ascii="Times New Roman;serif" w:hAnsi="Times New Roman;serif"/>
          <w:b w:val="false"/>
          <w:color w:val="000000"/>
          <w:sz w:val="24"/>
          <w:u w:val="single"/>
        </w:rPr>
        <w:t xml:space="preserve">Section </w:t>
      </w:r>
      <w:hyperlink w:anchor="i26591f0ebb9b484aafaffd446de3b28e_4">
        <w:r>
          <w:rPr>
            <w:rStyle w:val="InternetLink"/>
            <w:rFonts w:ascii="Times New Roman;serif" w:hAnsi="Times New Roman;serif"/>
            <w:b w:val="false"/>
            <w:strike w:val="false"/>
            <w:dstrike w:val="false"/>
            <w:color w:val="000000"/>
            <w:sz w:val="24"/>
            <w:u w:val="none"/>
            <w:effect w:val="none"/>
          </w:rPr>
          <w:t>2</w:t>
        </w:r>
      </w:hyperlink>
      <w:r>
        <w:rPr>
          <w:rFonts w:ascii="Times New Roman;serif" w:hAnsi="Times New Roman;serif"/>
          <w:b w:val="false"/>
          <w:color w:val="000000"/>
          <w:sz w:val="24"/>
        </w:rPr>
        <w:t>, shall mean the next scheduled Renewal Date to which the Notice of Nonrenewal relates.</w:t>
      </w:r>
    </w:p>
    <w:p>
      <w:pPr>
        <w:pStyle w:val="TextBody"/>
        <w:bidi w:val="0"/>
        <w:spacing w:lineRule="auto" w:line="288" w:before="233"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Employment</w:t>
      </w:r>
      <w:r>
        <w:rPr>
          <w:rFonts w:ascii="Times New Roman;serif" w:hAnsi="Times New Roman;serif"/>
          <w:b w:val="false"/>
          <w:color w:val="000000"/>
          <w:sz w:val="24"/>
        </w:rPr>
        <w:t>. The Employer shall employ the Employee, and the Employee accepts employment with the Employer, upon the terms and conditions set forth in this Agreement. The initial term of this Agreement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xml:space="preserve">) shall commence on the Effective Date and end on the first annual anniversary of the Effective Date; </w:t>
      </w:r>
      <w:r>
        <w:rPr>
          <w:rFonts w:ascii="Times New Roman;serif" w:hAnsi="Times New Roman;serif"/>
          <w:b w:val="false"/>
          <w:i/>
          <w:color w:val="000000"/>
          <w:sz w:val="24"/>
        </w:rPr>
        <w:t>provided, however</w:t>
      </w:r>
      <w:r>
        <w:rPr>
          <w:rFonts w:ascii="Times New Roman;serif" w:hAnsi="Times New Roman;serif"/>
          <w:b w:val="false"/>
          <w:color w:val="000000"/>
          <w:sz w:val="24"/>
        </w:rPr>
        <w:t>, that on the first annual anniversary of the Effective Date and each annual anniversary thereafter (each, a “</w:t>
      </w:r>
      <w:r>
        <w:rPr>
          <w:rFonts w:ascii="Times New Roman;serif" w:hAnsi="Times New Roman;serif"/>
          <w:b w:val="false"/>
          <w:color w:val="000000"/>
          <w:sz w:val="24"/>
          <w:u w:val="single"/>
        </w:rPr>
        <w:t>Renewal Date</w:t>
      </w:r>
      <w:r>
        <w:rPr>
          <w:color w:val="000000"/>
        </w:rPr>
        <w:t>”</w:t>
      </w:r>
      <w:r>
        <w:rPr>
          <w:rFonts w:ascii="Times New Roman;serif" w:hAnsi="Times New Roman;serif"/>
          <w:b w:val="false"/>
          <w:color w:val="000000"/>
          <w:sz w:val="24"/>
        </w:rPr>
        <w:t>), the term of this Agreement shall be extended by one additional year (each, an “</w:t>
      </w:r>
      <w:r>
        <w:rPr>
          <w:rFonts w:ascii="Times New Roman;serif" w:hAnsi="Times New Roman;serif"/>
          <w:b w:val="false"/>
          <w:color w:val="000000"/>
          <w:sz w:val="24"/>
          <w:u w:val="single"/>
        </w:rPr>
        <w:t>Extension Term,</w:t>
      </w:r>
      <w:r>
        <w:rPr>
          <w:color w:val="000000"/>
        </w:rPr>
        <w:t xml:space="preserve">” </w:t>
      </w:r>
      <w:r>
        <w:rPr>
          <w:rFonts w:ascii="Times New Roman;serif" w:hAnsi="Times New Roman;serif"/>
          <w:b w:val="false"/>
          <w:color w:val="000000"/>
          <w:sz w:val="24"/>
        </w:rPr>
        <w:t>and collectively with the Initial Term, the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 unless either party gives written notice to the other within 90 days in advance of the next scheduled Renewal Date that it does not wish to extend the Employment Period (such notice, a “</w:t>
      </w:r>
      <w:r>
        <w:rPr>
          <w:rFonts w:ascii="Times New Roman;serif" w:hAnsi="Times New Roman;serif"/>
          <w:b w:val="false"/>
          <w:color w:val="000000"/>
          <w:sz w:val="24"/>
          <w:u w:val="single"/>
        </w:rPr>
        <w:t>Notice of Nonrenewal</w:t>
      </w:r>
      <w:r>
        <w:rPr>
          <w:color w:val="000000"/>
        </w:rPr>
        <w:t>”</w:t>
      </w:r>
      <w:r>
        <w:rPr>
          <w:rFonts w:ascii="Times New Roman;serif" w:hAnsi="Times New Roman;serif"/>
          <w:b w:val="false"/>
          <w:color w:val="000000"/>
          <w:sz w:val="24"/>
        </w:rPr>
        <w:t xml:space="preserve">);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Employment Period may be sooner terminated as provided herein.</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During the Employment Period, the Employee shall be employed by Employer on a full-time basis with the title determined exclusively by the Employer, initially as Chief Operations Officer, reporting to the Chief Executive Officer of Employer, or his or her designee as determined in the sole and absolute discretion of the Chief Executive Officer of Employer. Subject to the power and discretion of the Chief Executive Officer of Employer or the Board to modify such duties, position, title, reporting structure, and/or situs of employment, Employee shall have the usual and customary duties, responsibilities, and authority of such position as reasonably may be assigned to Employee by Employer from time to time and perform such other duties and responsibilities on behalf of Employer as reasonably may be directed by the Employer, including, if elected or appointed thereto, serving as an officer and/or member of the board or any Subsidiary or Affiliate of the Employer as reasonably requested by the Employer and its Affiliates, in each case, without additional compensation hereunder. The Employee hereby accepts such employment and positions and agrees to diligently and conscientiously devote Employee’s full and exclusive business time, attention, and best efforts in discharging and fulfilling Employee’s duties and responsibilities hereunder. The Employee shall comply with the Employer’s policies and procedures and the direction and instruction of the Board and the Employee shall not engage in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5975"/>
                <wp:effectExtent l="0" t="0" r="0" b="0"/>
                <wp:wrapNone/>
                <wp:docPr id="49" name="Frame4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business activity which, in the reasonable judgment of the Board, conflicts with the duties of the Employee hereunder, whether or not such activity is pursued for gain, profit or other pecuniary advantage.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5975"/>
                <wp:effectExtent l="0" t="0" r="0" b="0"/>
                <wp:wrapNone/>
                <wp:docPr id="50" name="Frame5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4" w:after="283"/>
        <w:ind w:left="0" w:right="0" w:hanging="719"/>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0" w:before="233"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During the Employment Period, the Employer shall pay the Employee base salary at the rate of $650,000 per annum (as may be increased from time to time at the discretion of the Employer,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less applicable deductions and withholdings.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 Bonus</w:t>
      </w:r>
      <w:r>
        <w:rPr>
          <w:rFonts w:ascii="Times New Roman;serif" w:hAnsi="Times New Roman;serif"/>
          <w:b w:val="false"/>
          <w:color w:val="000000"/>
          <w:sz w:val="24"/>
        </w:rPr>
        <w:t>. In addition to the Base Salary, during the Employment Period, the Employee shall be eligible to receive a cash bonus (the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 with respect to each calendar year. The amount of the Bonus, if any, payable in respect of any calendar year will be determined based on the achievement of the Employer’s performance metrics, achievement of performance goals established for the Employee, or a combination of the foregoing. The target Bonus amount (the “</w:t>
      </w:r>
      <w:r>
        <w:rPr>
          <w:rFonts w:ascii="Times New Roman;serif" w:hAnsi="Times New Roman;serif"/>
          <w:b w:val="false"/>
          <w:color w:val="000000"/>
          <w:sz w:val="24"/>
          <w:u w:val="single"/>
        </w:rPr>
        <w:t>Target Bonus Percentage</w:t>
      </w:r>
      <w:r>
        <w:rPr>
          <w:color w:val="000000"/>
        </w:rPr>
        <w:t>”</w:t>
      </w:r>
      <w:r>
        <w:rPr>
          <w:rFonts w:ascii="Times New Roman;serif" w:hAnsi="Times New Roman;serif"/>
          <w:b w:val="false"/>
          <w:color w:val="000000"/>
          <w:sz w:val="24"/>
        </w:rPr>
        <w:t>) and the maximum Bonus amount (the “</w:t>
      </w:r>
      <w:r>
        <w:rPr>
          <w:rFonts w:ascii="Times New Roman;serif" w:hAnsi="Times New Roman;serif"/>
          <w:b w:val="false"/>
          <w:color w:val="000000"/>
          <w:sz w:val="24"/>
          <w:u w:val="single"/>
        </w:rPr>
        <w:t>Maximum</w:t>
      </w:r>
      <w:r>
        <w:rPr>
          <w:color w:val="000000"/>
        </w:rPr>
        <w:t xml:space="preserve"> </w:t>
      </w:r>
      <w:r>
        <w:rPr>
          <w:rFonts w:ascii="Times New Roman;serif" w:hAnsi="Times New Roman;serif"/>
          <w:b w:val="false"/>
          <w:color w:val="000000"/>
          <w:sz w:val="24"/>
          <w:u w:val="single"/>
        </w:rPr>
        <w:t>Bonus Percentage</w:t>
      </w:r>
      <w:r>
        <w:rPr>
          <w:color w:val="000000"/>
        </w:rPr>
        <w:t>”</w:t>
      </w:r>
      <w:r>
        <w:rPr>
          <w:rFonts w:ascii="Times New Roman;serif" w:hAnsi="Times New Roman;serif"/>
          <w:b w:val="false"/>
          <w:color w:val="000000"/>
          <w:sz w:val="24"/>
        </w:rPr>
        <w:t>) in respect of each calendar year will equal 85% and 170%, respectively, of the Base Salary payable to the Employee for such year. The Bonus in respect to any calendar year shall be prorated for partial years. A Bonus will not be paid for the calendar year in which the Employee initiates employment with the Employer if the Employee’s start date occurs on or after October 1. Employee understands that the Bonus is payable under the terms of the Employer’s annual incentive plan, the terms of which are subject to approval annually by the Board. Among other things, the Board may determine that a portion of the Bonus shall be withheld and not paid on the initial Bonus payment date and that all or some portion of such withheld amount shall paid out on a later date, subject to the achievement of certain corporate, departmental or individual performance goals. As a condition to receiving the Bonus, the Employee must be an employee of Employer in good standing as of the applicable Bonus payment date.</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Initial Equity Grant</w:t>
      </w:r>
      <w:r>
        <w:rPr>
          <w:rFonts w:ascii="Times New Roman;serif" w:hAnsi="Times New Roman;serif"/>
          <w:b w:val="false"/>
          <w:color w:val="000000"/>
          <w:sz w:val="24"/>
        </w:rPr>
        <w:t>. The Employee will also be eligible to receive on the Grant Date (defined below) (i) a number of restricted stock units of Alignment Healthcare,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equal to One Million Two Hundred Fifty Thousand Dollars ($1,250,000) divided by the closing per share price of Parent’s common stock on the Nasdaq Stock Market on the Grant Date (the “</w:t>
      </w:r>
      <w:r>
        <w:rPr>
          <w:rFonts w:ascii="Times New Roman;serif" w:hAnsi="Times New Roman;serif"/>
          <w:b w:val="false"/>
          <w:color w:val="000000"/>
          <w:sz w:val="24"/>
          <w:u w:val="single"/>
        </w:rPr>
        <w:t>RSU Grant</w:t>
      </w:r>
      <w:r>
        <w:rPr>
          <w:color w:val="000000"/>
        </w:rPr>
        <w:t>”</w:t>
      </w:r>
      <w:r>
        <w:rPr>
          <w:rFonts w:ascii="Times New Roman;serif" w:hAnsi="Times New Roman;serif"/>
          <w:b w:val="false"/>
          <w:color w:val="000000"/>
          <w:sz w:val="24"/>
        </w:rPr>
        <w:t>) and (ii) a number of performance share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of Parent equal to One Million Two Hundred Fifty Thousand Dollars ($1,250,000) divided by the closing per share price of Parent’s common stock on the Nasdaq Stock Market on the Grant Date (the “</w:t>
      </w:r>
      <w:r>
        <w:rPr>
          <w:rFonts w:ascii="Times New Roman;serif" w:hAnsi="Times New Roman;serif"/>
          <w:b w:val="false"/>
          <w:color w:val="000000"/>
          <w:sz w:val="24"/>
          <w:u w:val="single"/>
        </w:rPr>
        <w:t>PSU Grant</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Grant Date</w:t>
      </w:r>
      <w:r>
        <w:rPr>
          <w:color w:val="000000"/>
        </w:rPr>
        <w:t xml:space="preserve">” </w:t>
      </w:r>
      <w:r>
        <w:rPr>
          <w:rFonts w:ascii="Times New Roman;serif" w:hAnsi="Times New Roman;serif"/>
          <w:b w:val="false"/>
          <w:color w:val="000000"/>
          <w:sz w:val="24"/>
        </w:rPr>
        <w:t>for the foregoing awards will be the first Wednesday of the calendar month following the Employee’s start date (or on the next trading day thereafter if Parent’s stock does not trade on the Nasdaq Stock Market on such date). The RSU Grant will vest in approximately equal installments of thirty-three and one third percent (33</w:t>
      </w:r>
      <w:r>
        <w:rPr>
          <w:rFonts w:ascii="Times New Roman;serif" w:hAnsi="Times New Roman;serif"/>
          <w:b w:val="false"/>
          <w:color w:val="000000"/>
          <w:sz w:val="16"/>
        </w:rPr>
        <w:t>1/3</w:t>
      </w:r>
      <w:r>
        <w:rPr>
          <w:rFonts w:ascii="Times New Roman;serif" w:hAnsi="Times New Roman;serif"/>
          <w:b w:val="false"/>
          <w:color w:val="000000"/>
          <w:sz w:val="24"/>
        </w:rPr>
        <w:t xml:space="preserve">%) on each of March 13, 2027, 2028 and 2029. The PSU Grant will have the same performance metrics as the performance awards granted to other senior executives in March 2026 (which metrics are summarized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attached hereto but will be more specifically set out in a form of award agreement to be provided by the Company); provided, however, that notwithstanding the date of certification of achievement of the performance metrics by the Board, the vesting date for the PSU Grant will be March 13, 2029. The foregoing equity awards shall be subject to approval by the Board (or a committee thereof) and shall be further subject to the terms of the Equity Plan and the terms of the applicable award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5975"/>
                <wp:effectExtent l="0" t="0" r="0" b="0"/>
                <wp:wrapNone/>
                <wp:docPr id="51" name="Frame5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Annual Equity Grant</w:t>
      </w:r>
      <w:r>
        <w:rPr>
          <w:rFonts w:ascii="Times New Roman;serif" w:hAnsi="Times New Roman;serif"/>
          <w:b w:val="false"/>
          <w:color w:val="000000"/>
          <w:sz w:val="24"/>
        </w:rPr>
        <w:t>. The Employee shall be eligible to receive an annual equity grant (the “Annual Equity Grant”) with an initial target value of Two Million Five Hundred Thousand Dollars ($2,500,000), subject to review and approval by the Board or a committee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5975"/>
                <wp:effectExtent l="0" t="0" r="0" b="0"/>
                <wp:wrapNone/>
                <wp:docPr id="52" name="Frame5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thereof, at the same time or times as other senior management; The specific form, terms, and conditions of the Annual Equity Grant, including but not limited to the type of equity (e.g., stock options, restricted stock units, performance share units or other equity instruments), the vesting schedule, and any performance criteria, shall be consistent with annual equity grants awarded to other members of senior management and as determined at the sole discretion of the Board and shall be granted in accordance with the Equity Plan and any other policies or guidelines established by the Board. The target value of the Annual Equity Grant shall be reviewed annually by the Board and may be adjusted, at the Board’s discretion, based on the Employee’s performance, the Company’s performance, and other factors deemed relevant by the Board. The Employee acknowledges and agrees that the target value of the Annual Equity Grant does not constitute a guarantee of any specific grant amount or value, and that the final determination of the Annual Equity Grant shall be subject to the Board’s approval.</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During the Employment Period, the Employee and his eligible dependents and beneficiaries will be eligible to participate in the Employer’s retirement, health and welfare benefits plans, which shall be subject to the Employer’s policies and practices and the terms of the applicable benefit plans and arrangements as in effect from time to time. The Employee shall accrue paid time off at the rate of five (5) weeks per twelve (12) months of employment.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Reimbursements</w:t>
      </w:r>
      <w:r>
        <w:rPr>
          <w:rFonts w:ascii="Times New Roman;serif" w:hAnsi="Times New Roman;serif"/>
          <w:b w:val="false"/>
          <w:color w:val="000000"/>
          <w:sz w:val="24"/>
        </w:rPr>
        <w:t>. The Employer shall reimburse the Employee for all reasonable and necessary business-related expenses incurred by Employee in the course of performing Employee’s duties under this Agreement which are consistent with the Employer’s policies in effect from time to time with respect to travel, entertainment and other business expenses, subject to the Employer’s requirements with respect to reporting and documentation of such expenses.</w:t>
      </w:r>
    </w:p>
    <w:p>
      <w:pPr>
        <w:pStyle w:val="TextBody"/>
        <w:bidi w:val="0"/>
        <w:spacing w:lineRule="auto" w:line="28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Deductions and Withholding</w:t>
      </w:r>
      <w:r>
        <w:rPr>
          <w:rFonts w:ascii="Times New Roman;serif" w:hAnsi="Times New Roman;serif"/>
          <w:b w:val="false"/>
          <w:color w:val="000000"/>
          <w:sz w:val="24"/>
        </w:rPr>
        <w:t>. The Employer shall deduct from any payments to be made by it to or on behalf of the Employee under this Agreement any amounts required to be withheld in respect of any federal, state or local income or other taxes.</w:t>
      </w:r>
    </w:p>
    <w:p>
      <w:pPr>
        <w:pStyle w:val="TextBody"/>
        <w:bidi w:val="0"/>
        <w:spacing w:lineRule="auto" w:line="288" w:before="23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Annual Review of Base Salary and Bonus Percentages</w:t>
      </w:r>
      <w:r>
        <w:rPr>
          <w:rFonts w:ascii="Times New Roman;serif" w:hAnsi="Times New Roman;serif"/>
          <w:b w:val="false"/>
          <w:color w:val="000000"/>
          <w:sz w:val="24"/>
        </w:rPr>
        <w:t>. The Board (or the Compensation Committee of the Board) shall undertake a review of rate of Base Salary and the Target Bonus Percentage and Maximum Bonus Percentage (the “Bonus Percentages”) not less frequently than annually during the Employment Period and may increase, but not decrease, the rate of Base Salary and the Bonus Percentages from those then in effect.</w:t>
      </w:r>
    </w:p>
    <w:p>
      <w:pPr>
        <w:pStyle w:val="TextBody"/>
        <w:bidi w:val="0"/>
        <w:spacing w:lineRule="auto" w:line="280" w:before="243" w:after="283"/>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The Employee’s employment under this Agreement shall be terminated upon the earliest to occur of the following events:</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The Employer may in its sole discretion terminate this Agreement and the Employee’s employment hereunder for Cause at any time and with or without advance notice to the Employee. Written notice (in accordance with Section 26 hereof) shall be provided to Employee within 30 calendar days after the Termination Date, and shall state in reasonable detail the facts or circumstances giving rise to Cause.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5975"/>
                <wp:effectExtent l="0" t="0" r="0" b="0"/>
                <wp:wrapNone/>
                <wp:docPr id="53" name="Frame5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0" w:before="8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Employer may terminate this Agreement and the Employee’s employment hereunder without Cause at any time, with or without notice , for any reason or no reason (and no reason need be given).</w:t>
      </w:r>
    </w:p>
    <w:p>
      <w:pPr>
        <w:pStyle w:val="TextBody"/>
        <w:bidi w:val="0"/>
        <w:spacing w:lineRule="auto" w:line="285" w:before="229"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Mutual Agreement</w:t>
      </w:r>
      <w:r>
        <w:rPr>
          <w:rFonts w:ascii="Times New Roman;serif" w:hAnsi="Times New Roman;serif"/>
          <w:b w:val="false"/>
          <w:color w:val="000000"/>
          <w:sz w:val="24"/>
        </w:rPr>
        <w:t>. This Agreement and the Employee’s employment hereunder may be terminated by the mutual written agreement of the Employer and the Employee.</w:t>
      </w:r>
    </w:p>
    <w:p>
      <w:pPr>
        <w:pStyle w:val="TextBody"/>
        <w:bidi w:val="0"/>
        <w:spacing w:lineRule="auto" w:line="285" w:before="22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by Death or Disability</w:t>
      </w:r>
      <w:r>
        <w:rPr>
          <w:rFonts w:ascii="Times New Roman;serif" w:hAnsi="Times New Roman;serif"/>
          <w:b w:val="false"/>
          <w:color w:val="000000"/>
          <w:sz w:val="24"/>
        </w:rPr>
        <w:t>. This Agreement and the Employee’s employment hereunder shall automatically terminate upon the Employee’s death or Disability.</w:t>
      </w:r>
    </w:p>
    <w:p>
      <w:pPr>
        <w:pStyle w:val="TextBody"/>
        <w:bidi w:val="0"/>
        <w:spacing w:lineRule="auto" w:line="280" w:before="224"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Resignation</w:t>
      </w:r>
      <w:r>
        <w:rPr>
          <w:rFonts w:ascii="Times New Roman;serif" w:hAnsi="Times New Roman;serif"/>
          <w:b w:val="false"/>
          <w:color w:val="000000"/>
          <w:sz w:val="24"/>
        </w:rPr>
        <w:t>. The Employee may terminate this Agreement and Employee’s employment hereunder without Good Reason upon 90 days advance written notice to the Employer. In addition, the Employee may terminate this Agreement and Employee’s employment hereunder with Good Reason as set forth in this Agreement.</w:t>
      </w:r>
    </w:p>
    <w:p>
      <w:pPr>
        <w:pStyle w:val="TextBody"/>
        <w:bidi w:val="0"/>
        <w:spacing w:lineRule="auto" w:line="280" w:before="22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Nonrenewal</w:t>
      </w:r>
      <w:r>
        <w:rPr>
          <w:rFonts w:ascii="Times New Roman;serif" w:hAnsi="Times New Roman;serif"/>
          <w:b w:val="false"/>
          <w:color w:val="000000"/>
          <w:sz w:val="24"/>
        </w:rPr>
        <w:t>. If either party delivers to the other a Notice of Nonrenewal, the Agreement and the Employee’s employment hereunder shall automatically terminate as of the next scheduled Renewal Date to which the Notice of Nonrenewal relates.</w:t>
      </w:r>
    </w:p>
    <w:p>
      <w:pPr>
        <w:pStyle w:val="TextBody"/>
        <w:bidi w:val="0"/>
        <w:spacing w:lineRule="auto" w:line="288" w:before="240" w:after="283"/>
        <w:ind w:left="0" w:right="0" w:hanging="719"/>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80" w:before="232"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of the Employee’s termination of employment for any reason, the Employee or Employee’s estate or beneficiaries shall have the right to receive the following:</w:t>
      </w:r>
    </w:p>
    <w:p>
      <w:pPr>
        <w:pStyle w:val="TextBody"/>
        <w:bidi w:val="0"/>
        <w:spacing w:lineRule="auto" w:line="280" w:before="235"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(i)the unpaid portion of the Base Salary and paid time off accrued, but unused, and payable through the Termination Date;</w:t>
      </w:r>
    </w:p>
    <w:p>
      <w:pPr>
        <w:pStyle w:val="TextBody"/>
        <w:bidi w:val="0"/>
        <w:spacing w:lineRule="auto" w:line="280" w:before="234" w:after="283"/>
        <w:ind w:left="0" w:right="0" w:firstLine="2160"/>
        <w:jc w:val="left"/>
        <w:rPr/>
      </w:pPr>
      <w:r>
        <w:rPr>
          <w:rFonts w:ascii="Times New Roman;serif" w:hAnsi="Times New Roman;serif"/>
          <w:b w:val="false"/>
          <w:color w:val="000000"/>
          <w:sz w:val="24"/>
        </w:rPr>
        <w:t xml:space="preserve">(ii)reimbursement for any expenses for which the Employee shall not have been previously reimbursed, as provided in </w:t>
      </w:r>
      <w:r>
        <w:rPr>
          <w:rFonts w:ascii="Times New Roman;serif" w:hAnsi="Times New Roman;serif"/>
          <w:b w:val="false"/>
          <w:color w:val="000000"/>
          <w:sz w:val="24"/>
          <w:u w:val="single"/>
        </w:rPr>
        <w:t xml:space="preserve">Section </w:t>
      </w:r>
      <w:hyperlink w:anchor="i26591f0ebb9b484aafaffd446de3b28e_4">
        <w:r>
          <w:rPr>
            <w:rStyle w:val="InternetLink"/>
          </w:rPr>
          <w:t>4(f)</w:t>
        </w:r>
      </w:hyperlink>
      <w:r>
        <w:rPr>
          <w:rFonts w:ascii="Times New Roman;serif" w:hAnsi="Times New Roman;serif"/>
          <w:b w:val="false"/>
          <w:color w:val="000000"/>
          <w:sz w:val="24"/>
        </w:rPr>
        <w:t>; and</w:t>
      </w:r>
    </w:p>
    <w:p>
      <w:pPr>
        <w:pStyle w:val="TextBody"/>
        <w:bidi w:val="0"/>
        <w:spacing w:lineRule="auto" w:line="288" w:before="235"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(iii)continuation of health insurance coverage rights, if any, as required</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under applicable law.</w:t>
      </w:r>
    </w:p>
    <w:p>
      <w:pPr>
        <w:pStyle w:val="TextBody"/>
        <w:bidi w:val="0"/>
        <w:spacing w:lineRule="auto" w:line="280" w:before="237"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for Cause; Resignation without Good Reason; Mutual</w:t>
      </w:r>
      <w:r>
        <w:rPr>
          <w:color w:val="000000"/>
        </w:rPr>
        <w:t xml:space="preserve"> </w:t>
      </w:r>
      <w:r>
        <w:rPr>
          <w:rFonts w:ascii="Times New Roman;serif" w:hAnsi="Times New Roman;serif"/>
          <w:b w:val="false"/>
          <w:color w:val="000000"/>
          <w:sz w:val="24"/>
          <w:u w:val="single"/>
        </w:rPr>
        <w:t>Agreement; Nonrenewal by the Employee; Death or Disability</w:t>
      </w:r>
      <w:r>
        <w:rPr>
          <w:rFonts w:ascii="Times New Roman;serif" w:hAnsi="Times New Roman;serif"/>
          <w:b w:val="false"/>
          <w:color w:val="000000"/>
          <w:sz w:val="24"/>
        </w:rPr>
        <w:t>.</w:t>
      </w:r>
    </w:p>
    <w:p>
      <w:pPr>
        <w:pStyle w:val="TextBody"/>
        <w:bidi w:val="0"/>
        <w:spacing w:lineRule="auto" w:line="288" w:before="236" w:after="283"/>
        <w:ind w:left="0" w:right="0" w:firstLine="2160"/>
        <w:jc w:val="both"/>
        <w:rPr/>
      </w:pPr>
      <w:r>
        <w:rPr>
          <w:rFonts w:ascii="Times New Roman;serif" w:hAnsi="Times New Roman;serif"/>
          <w:b w:val="false"/>
          <w:color w:val="000000"/>
          <w:sz w:val="24"/>
        </w:rPr>
        <w:t xml:space="preserve">(i)In the event of the Employee’s termination of employment by reason of (A) a termination by the Employer for Cause, (B) resignation by the Employee without Good Reason or (C) mutual agreement,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 xml:space="preserve">Section </w:t>
      </w:r>
      <w:hyperlink w:anchor="i26591f0ebb9b484aafaffd446de3b28e_4">
        <w:r>
          <w:rPr>
            <w:rStyle w:val="InternetLink"/>
          </w:rPr>
          <w:t>6(a)</w:t>
        </w:r>
      </w:hyperlink>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the Employee’s termination of employment by reason of (A) the Employee’s death, (B) the Employee’s Disability or (C) delivery by the Employee of a Notice of Nonrenewal, the Employer shall have no current or further obligations (including Base Salary)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5975"/>
                <wp:effectExtent l="0" t="0" r="0" b="0"/>
                <wp:wrapNone/>
                <wp:docPr id="54" name="Frame5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pPr>
      <w:r>
        <w:rPr>
          <w:rFonts w:ascii="Times New Roman;serif" w:hAnsi="Times New Roman;serif"/>
          <w:b w:val="false"/>
          <w:color w:val="000000"/>
          <w:sz w:val="24"/>
        </w:rPr>
        <w:t xml:space="preserve">Employee under this Agreement other than as set forth in </w:t>
      </w:r>
      <w:r>
        <w:rPr>
          <w:rFonts w:ascii="Times New Roman;serif" w:hAnsi="Times New Roman;serif"/>
          <w:b w:val="false"/>
          <w:color w:val="000000"/>
          <w:sz w:val="24"/>
          <w:u w:val="single"/>
        </w:rPr>
        <w:t xml:space="preserve">Section </w:t>
      </w:r>
      <w:hyperlink w:anchor="i26591f0ebb9b484aafaffd446de3b28e_4">
        <w:r>
          <w:rPr>
            <w:rStyle w:val="InternetLink"/>
          </w:rPr>
          <w:t>6(a)</w:t>
        </w:r>
      </w:hyperlink>
      <w:r>
        <w:rPr>
          <w:color w:val="000000"/>
        </w:rPr>
        <w:t xml:space="preserve"> </w:t>
      </w:r>
      <w:r>
        <w:rPr>
          <w:rFonts w:ascii="Times New Roman;serif" w:hAnsi="Times New Roman;serif"/>
          <w:b w:val="false"/>
          <w:color w:val="000000"/>
          <w:sz w:val="24"/>
        </w:rPr>
        <w:t>and payment of any Bonus for any calendar year preceding the calendar year in which termination occurs which</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5975"/>
                <wp:effectExtent l="0" t="0" r="0" b="0"/>
                <wp:wrapNone/>
                <wp:docPr id="55" name="Frame5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0" w:before="80" w:after="283"/>
        <w:jc w:val="left"/>
        <w:rPr/>
      </w:pPr>
      <w:r>
        <w:rPr>
          <w:rFonts w:ascii="Times New Roman;serif" w:hAnsi="Times New Roman;serif"/>
          <w:b w:val="false"/>
          <w:color w:val="000000"/>
          <w:sz w:val="24"/>
        </w:rPr>
        <w:t>has not yet been paid, payable at the time bonuses for such calendar year are otherwise payable to senior executives of the Employer (“</w:t>
      </w:r>
      <w:r>
        <w:rPr>
          <w:rFonts w:ascii="Times New Roman;serif" w:hAnsi="Times New Roman;serif"/>
          <w:b w:val="false"/>
          <w:color w:val="000000"/>
          <w:sz w:val="24"/>
          <w:u w:val="single"/>
        </w:rPr>
        <w:t>Prior Year Bonus</w:t>
      </w:r>
      <w:r>
        <w:rPr>
          <w:color w:val="000000"/>
        </w:rPr>
        <w:t>”</w:t>
      </w:r>
      <w:r>
        <w:rPr>
          <w:rFonts w:ascii="Times New Roman;serif" w:hAnsi="Times New Roman;serif"/>
          <w:b w:val="false"/>
          <w:color w:val="000000"/>
          <w:sz w:val="24"/>
        </w:rPr>
        <w:t>).</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without Cause, Resignation with Good Reason or Nonrenewal</w:t>
      </w:r>
      <w:r>
        <w:rPr>
          <w:color w:val="000000"/>
        </w:rPr>
        <w:t xml:space="preserve"> </w:t>
      </w:r>
      <w:r>
        <w:rPr>
          <w:rFonts w:ascii="Times New Roman;serif" w:hAnsi="Times New Roman;serif"/>
          <w:b w:val="false"/>
          <w:color w:val="000000"/>
          <w:sz w:val="24"/>
          <w:u w:val="single"/>
        </w:rPr>
        <w:t>by the Employer</w:t>
      </w:r>
      <w:r>
        <w:rPr>
          <w:rFonts w:ascii="Times New Roman;serif" w:hAnsi="Times New Roman;serif"/>
          <w:b w:val="false"/>
          <w:color w:val="000000"/>
          <w:sz w:val="24"/>
        </w:rPr>
        <w:t>. In the event of the Employee’s termination of employment hereunder at any time on or after the date that is ninety (90) days after the Effective Date, by reason of (i) a termination by the Employer without Cause, (ii) resignation by the Employee with Good Reason or</w:t>
      </w:r>
    </w:p>
    <w:p>
      <w:pPr>
        <w:pStyle w:val="TextBody"/>
        <w:bidi w:val="0"/>
        <w:spacing w:lineRule="auto" w:line="288" w:before="1" w:after="283"/>
        <w:jc w:val="both"/>
        <w:rPr/>
      </w:pPr>
      <w:r>
        <w:rPr>
          <w:rFonts w:ascii="Times New Roman;serif" w:hAnsi="Times New Roman;serif"/>
          <w:b w:val="false"/>
          <w:color w:val="000000"/>
          <w:sz w:val="24"/>
        </w:rPr>
        <w:t xml:space="preserve">(iii) delivery by the Employer of a Notice of Nonrenewal, the Employer shall pay or provide to the Employee the payments and benefits set forth in </w:t>
      </w:r>
      <w:r>
        <w:rPr>
          <w:rFonts w:ascii="Times New Roman;serif" w:hAnsi="Times New Roman;serif"/>
          <w:b w:val="false"/>
          <w:color w:val="000000"/>
          <w:sz w:val="24"/>
          <w:u w:val="single"/>
        </w:rPr>
        <w:t xml:space="preserve">Section </w:t>
      </w:r>
      <w:hyperlink w:anchor="i26591f0ebb9b484aafaffd446de3b28e_4">
        <w:r>
          <w:rPr>
            <w:rStyle w:val="InternetLink"/>
          </w:rPr>
          <w:t>6(a)</w:t>
        </w:r>
      </w:hyperlink>
      <w:r>
        <w:rPr>
          <w:color w:val="000000"/>
        </w:rPr>
        <w:t xml:space="preserve"> </w:t>
      </w:r>
      <w:r>
        <w:rPr>
          <w:rFonts w:ascii="Times New Roman;serif" w:hAnsi="Times New Roman;serif"/>
          <w:b w:val="false"/>
          <w:color w:val="000000"/>
          <w:sz w:val="24"/>
        </w:rPr>
        <w:t>and payment of any Prior Year Bonus. In addition, in the event of any such termination on or after the date that is ninety (90) days after the Effective Date, subject to the Employee’s execution and non-revocation of a customary general waiver and release of claims in such form as provided by the Employer (a “Release”) in accordance with Section 6(d) and the Employee’s continued full performance of obligations under Sections 10 and 11, and in lieu of any severance benefits that may be payable to the Employee under a separate severance agreement or an executive severance plan as a result of such termination, the Employer shall pay or provide to the Employee the following (the “Severance Benefits”):</w:t>
      </w:r>
    </w:p>
    <w:p>
      <w:pPr>
        <w:pStyle w:val="TextBody"/>
        <w:bidi w:val="0"/>
        <w:spacing w:lineRule="auto" w:line="288" w:before="241"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(i)severance pay in an aggregate amount equal to one (1.0) times the sum of (1) Base Salary, plus (2) the Target Bonus Percentage, paid in substantially equal installments over the twelve (12)-month period following the Termination Date in accordance with the Employer’s normal payroll practices;</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(ii)a pro rata amount of the Bonus, if any, which would have been payable to the Employee for the calendar year in which the Termination Date occurs, determined after the end of the calendar year in which such Termination Date occurs and equal to the amount which would have been payable to the Employee if Employee’s employment had not been terminated during such calendar year multiplied by the fraction, the numerator of which is the number of whole months the Employee was employed by the Employer during such calendar year and the denominator of which is 12; it being understood that any pro rata bonus payable under this clause (ii) shall be paid in a lump sum at the time bonuses for such calendar year are otherwise payable to senior executives of the Employer; and</w:t>
      </w:r>
    </w:p>
    <w:p>
      <w:pPr>
        <w:pStyle w:val="TextBody"/>
        <w:bidi w:val="0"/>
        <w:spacing w:lineRule="auto" w:line="288" w:before="239"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(iii)if the Employee elects COBRA benefits, the Employer shall pay or reimburse the Employee’s share of the premium for such COBRA benefits until the earlier of (A) the first annual anniversary of the Termination Date; or (B) the date that the Employee is eligible to receive health benefits through new employment; it being understood that (x) the Employee is required to notify the Employer immediately if Employee begins new employment during such period and to repay promptly any excess benefits contributions made by the Employer; and</w:t>
      </w:r>
    </w:p>
    <w:p>
      <w:pPr>
        <w:pStyle w:val="TextBody"/>
        <w:bidi w:val="0"/>
        <w:spacing w:lineRule="auto" w:line="280" w:before="0" w:after="0"/>
        <w:jc w:val="both"/>
        <w:rPr>
          <w:rFonts w:ascii="Times New Roman;serif" w:hAnsi="Times New Roman;serif"/>
          <w:b w:val="false"/>
          <w:color w:val="000000"/>
          <w:sz w:val="24"/>
        </w:rPr>
      </w:pPr>
      <w:r>
        <w:rPr>
          <w:rFonts w:ascii="Times New Roman;serif" w:hAnsi="Times New Roman;serif"/>
          <w:b w:val="false"/>
          <w:color w:val="000000"/>
          <w:sz w:val="24"/>
        </w:rPr>
        <w:t>(y) after the Employer’s payment or reimbursement obligation ends, the Employee may continue benefits coverage for the remainder of the COBRA period, if any, by paying the full premium cost of such benefits.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Release Condition</w:t>
      </w:r>
      <w:r>
        <w:rPr>
          <w:rFonts w:ascii="Times New Roman;serif" w:hAnsi="Times New Roman;serif"/>
          <w:b w:val="false"/>
          <w:color w:val="000000"/>
          <w:sz w:val="24"/>
        </w:rPr>
        <w:t xml:space="preserve">. Notwithstanding anything to the contrary in this Agreement, to the extent that any payments due under this Agreement as a result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5975"/>
                <wp:effectExtent l="0" t="0" r="0" b="0"/>
                <wp:wrapNone/>
                <wp:docPr id="56" name="Frame5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termination of the Employee’s employment are subject to the Employee’s execution and delivery of a Release,</w:t>
      </w:r>
    </w:p>
    <w:p>
      <w:pPr>
        <w:pStyle w:val="TextBody"/>
        <w:bidi w:val="0"/>
        <w:spacing w:lineRule="atLeast" w:line="274"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such payments shall be made prior to the first normal payroll date of the Employer occurring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5975"/>
                <wp:effectExtent l="0" t="0" r="0" b="0"/>
                <wp:wrapNone/>
                <wp:docPr id="57" name="Frame5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 xml:space="preserve">on or after the Release Effective Date, (ii) the Employer shall deliver the Release to the Employee within ten business days following the Termination Date, (iii) if the Employee fails to execute the Release on or prior to the Release Expiration Date (as defined below) or the Employee timely revokes Employee’s acceptance of the Release within the seven day period following the Release Expiration Date, the Employee shall not be entitled to the Severance Benefits otherwise conditioned on the Release, and (iv) if the Employee executes the Release on or prior to the Release Expiration Date and does not timely revoke Employee’s acceptance of the Release within the seven day period following the Release Expiration Date, any Severance Benefits that would otherwise have been paid to the Employee prior to the first normal payroll date of the Employer occurring on or after the Release Effective Date but for clause (i) above shall be paid on the first normal payroll date of the Employer occurring on or after the Release Effective Date. For purposes of this </w:t>
      </w:r>
      <w:r>
        <w:rPr>
          <w:rFonts w:ascii="Times New Roman;serif" w:hAnsi="Times New Roman;serif"/>
          <w:b w:val="false"/>
          <w:color w:val="000000"/>
          <w:sz w:val="24"/>
          <w:u w:val="single"/>
        </w:rPr>
        <w:t xml:space="preserve">Section </w:t>
      </w:r>
      <w:hyperlink w:anchor="i26591f0ebb9b484aafaffd446de3b28e_4">
        <w:r>
          <w:rPr>
            <w:rStyle w:val="InternetLink"/>
          </w:rPr>
          <w:t>6(d)</w:t>
        </w:r>
      </w:hyperlink>
      <w:r>
        <w:rPr>
          <w:rFonts w:ascii="Times New Roman;serif" w:hAnsi="Times New Roman;serif"/>
          <w:b w:val="false"/>
          <w:color w:val="000000"/>
          <w:sz w:val="24"/>
        </w:rPr>
        <w:t>,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shall mean the date that is 21 days following the date upon which the Employer timely delivers the Release to the Employee, or, in the event that termination of the Employee’s employment is “in connection with an exit incentive or other employment termination program” (as such phrase is defined in the Age Discrimination in Employment Act of 1967), the date that is 45 days following such delivery date, and “</w:t>
      </w:r>
      <w:r>
        <w:rPr>
          <w:rFonts w:ascii="Times New Roman;serif" w:hAnsi="Times New Roman;serif"/>
          <w:b w:val="false"/>
          <w:color w:val="000000"/>
          <w:sz w:val="24"/>
          <w:u w:val="single"/>
        </w:rPr>
        <w:t>Release Effective Date</w:t>
      </w:r>
      <w:r>
        <w:rPr>
          <w:color w:val="000000"/>
        </w:rPr>
        <w:t xml:space="preserve">” </w:t>
      </w:r>
      <w:r>
        <w:rPr>
          <w:rFonts w:ascii="Times New Roman;serif" w:hAnsi="Times New Roman;serif"/>
          <w:b w:val="false"/>
          <w:color w:val="000000"/>
          <w:sz w:val="24"/>
        </w:rPr>
        <w:t>shall mean the eighth day following the Release Expiration Date, provided that the Employee executes the Release on or prior to the Release Expiration Date and does not timely revoke Employee’s acceptance of the Release within the seven day period following the Release Expiration Date.</w:t>
      </w:r>
    </w:p>
    <w:p>
      <w:pPr>
        <w:pStyle w:val="TextBody"/>
        <w:bidi w:val="0"/>
        <w:spacing w:lineRule="auto" w:line="280" w:before="23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The rights of the Employee set forth in this Section 6 are intended to be the Employee’s exclusive remedy for termination and any severance benefits related thereto and, to the greatest extent permitted by applicable law, the Employee waives all other remedies,.</w:t>
      </w:r>
    </w:p>
    <w:p>
      <w:pPr>
        <w:pStyle w:val="TextBody"/>
        <w:bidi w:val="0"/>
        <w:spacing w:lineRule="auto" w:line="288" w:before="23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Insurance</w:t>
      </w:r>
      <w:r>
        <w:rPr>
          <w:rFonts w:ascii="Times New Roman;serif" w:hAnsi="Times New Roman;serif"/>
          <w:b w:val="false"/>
          <w:color w:val="000000"/>
          <w:sz w:val="24"/>
        </w:rPr>
        <w:t>. The Employer or one of its Affiliates may, for its own benefit, maintain “key man” life and disability insurance policies covering the Employee. The Employee will cooperate with the Employer or its Affiliates and provide such information or other assistance, in each case, as they may reasonably request in connection with obtaining and maintaining such policies.</w:t>
      </w:r>
    </w:p>
    <w:p>
      <w:pPr>
        <w:pStyle w:val="TextBody"/>
        <w:bidi w:val="0"/>
        <w:spacing w:lineRule="auto" w:line="288" w:before="243"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The Employee’s Termination Obligations</w:t>
      </w:r>
      <w:r>
        <w:rPr>
          <w:rFonts w:ascii="Times New Roman;serif" w:hAnsi="Times New Roman;serif"/>
          <w:b w:val="false"/>
          <w:color w:val="000000"/>
          <w:sz w:val="24"/>
        </w:rPr>
        <w:t>. The Employee hereby acknowledges and agrees that all personal property and equipment furnished to or prepared by the Employee in the course of or incident to Employee’s employment hereunder belongs to the Employer and shall be promptly returned to the Employer upon termination of the Employee’s employment or, at any event, at the Employer’s request. The term “personal property” includes, without limitation, all office equipment, laptop computers, cell phones, books, manuals, records, reports, notes, contracts, requests for proposals, bids, lists, blueprints, and other documents, or materials, or copies thereof (including computer files), and all other proprietary and non-proprietary information relating to the business of the Employer. Following termination of Employee’s employment hereunder, the Employee will not retain any written or other tangible material containing any proprietary or non-proprietary information of the Employer.</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Acknowledgment of Protectable Interests</w:t>
      </w:r>
      <w:r>
        <w:rPr>
          <w:rFonts w:ascii="Times New Roman;serif" w:hAnsi="Times New Roman;serif"/>
          <w:b w:val="false"/>
          <w:color w:val="000000"/>
          <w:sz w:val="24"/>
        </w:rPr>
        <w:t xml:space="preserve">. The Employee acknowledges and agrees that Employee’s employment with the Employer involves building and maintaining business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5975"/>
                <wp:effectExtent l="0" t="0" r="0" b="0"/>
                <wp:wrapNone/>
                <wp:docPr id="58" name="Frame5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relationships and good will on behalf of the Employer with customers, patients, physicians and other professional contractors, employees and staff, and various providers and users of health care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5975"/>
                <wp:effectExtent l="0" t="0" r="0" b="0"/>
                <wp:wrapNone/>
                <wp:docPr id="59" name="Frame5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0" w:before="80" w:after="283"/>
        <w:jc w:val="both"/>
        <w:rPr>
          <w:rFonts w:ascii="Times New Roman;serif" w:hAnsi="Times New Roman;serif"/>
          <w:b w:val="false"/>
          <w:color w:val="000000"/>
          <w:sz w:val="24"/>
        </w:rPr>
      </w:pPr>
      <w:r>
        <w:rPr>
          <w:rFonts w:ascii="Times New Roman;serif" w:hAnsi="Times New Roman;serif"/>
          <w:b w:val="false"/>
          <w:color w:val="000000"/>
          <w:sz w:val="24"/>
        </w:rPr>
        <w:t>services; that Employee is entrusted with proprietary, strategic and other confidential information which is of special value to the Employer; and that the foregoing matters are significant interests that the Employer is entitled to protect.</w:t>
      </w:r>
    </w:p>
    <w:p>
      <w:pPr>
        <w:pStyle w:val="TextBody"/>
        <w:bidi w:val="0"/>
        <w:spacing w:lineRule="auto" w:line="288" w:before="229"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All Confidential Information that comes or has come into the Employee’s possession by reason of Employee’s employment hereunder is the property of the Employer and shall not be used except in the course of employment by the Employer and for the Employer’s exclusive benefit. Further, the Employee shall not, during Employee’s employment or thereafter, disclose or acknowledge the content of any Confidential Information to any person who is not an employee of the Employer authorized to possess such Confidential Information. Upon termination of employment, the Employee shall deliver to the Employer all documents, writings, electronic storage devices, and other tangible things containing any Confidential Information and the Employee shall not make or retain copies, excerpts, or notes of such information.</w:t>
      </w:r>
    </w:p>
    <w:p>
      <w:pPr>
        <w:pStyle w:val="TextBody"/>
        <w:bidi w:val="0"/>
        <w:spacing w:lineRule="auto" w:line="288" w:before="248" w:after="283"/>
        <w:ind w:left="0" w:right="0" w:hanging="719"/>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 xml:space="preserve">(a)During the Employment Period, the Employee shall not, directly or indirectly, without written approval by the Board , accept or perform any work, consulting, or other services for any other business entity or for remuneration of any kind. Without limiting the foregoing, during the Employment Period, the Employee shall not, directly or indirectly, without written approval by the Board, engage in activities or businesses (including, without limitation, owning any interest in, managing, controlling, participating in, consulting with, advising, rendering services for, or in any manner engaging in the business of owning, operating or managing any business) that are principally or primarily involved in holding, managing or acquiring investments in the healthcare industry or other similar business in which the Employer is engaged (or so engage with, for or on behalf of any customer of the Employer), provided, however, that neither (i) the passive ownership by the Employee of not more than 2.0% of the outstanding equity securities of a publicly traded company nor (ii) the Employee’s ownership of the securities or interests described on </w:t>
      </w:r>
      <w:r>
        <w:rPr>
          <w:rFonts w:ascii="Times New Roman;serif" w:hAnsi="Times New Roman;serif"/>
          <w:b w:val="false"/>
          <w:color w:val="000000"/>
          <w:sz w:val="24"/>
          <w:u w:val="single"/>
        </w:rPr>
        <w:t>Schedule 2</w:t>
      </w:r>
      <w:r>
        <w:rPr>
          <w:color w:val="000000"/>
        </w:rPr>
        <w:t xml:space="preserve"> </w:t>
      </w:r>
      <w:r>
        <w:rPr>
          <w:rFonts w:ascii="Times New Roman;serif" w:hAnsi="Times New Roman;serif"/>
          <w:b w:val="false"/>
          <w:color w:val="000000"/>
          <w:sz w:val="24"/>
        </w:rPr>
        <w:t xml:space="preserve">shall constitute a violation of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provided that the Employee does not otherwise violate this Agreement. If the Employee acquires knowledge of a business venture which may be a business venture or prospective business venture (“</w:t>
      </w:r>
      <w:r>
        <w:rPr>
          <w:rFonts w:ascii="Times New Roman;serif" w:hAnsi="Times New Roman;serif"/>
          <w:b w:val="false"/>
          <w:color w:val="000000"/>
          <w:sz w:val="24"/>
          <w:u w:val="single"/>
        </w:rPr>
        <w:t>Corporate Opportunity</w:t>
      </w:r>
      <w:r>
        <w:rPr>
          <w:color w:val="000000"/>
        </w:rPr>
        <w:t>”</w:t>
      </w:r>
      <w:r>
        <w:rPr>
          <w:rFonts w:ascii="Times New Roman;serif" w:hAnsi="Times New Roman;serif"/>
          <w:b w:val="false"/>
          <w:color w:val="000000"/>
          <w:sz w:val="24"/>
        </w:rPr>
        <w:t>) in which the Employer would reasonably be expected to have an interest or expectancy, or otherwise is exploiting any Corporate Opportunity, the Employee shall promptly bring such opportunity to the Employer. The Employee shall not have the right to hold any such Corporate Opportunity for Employee’s own account or benefit (or for the account or benefit of Employee’s agents’, partners’ or Affiliates’), or to recommend, assign or otherwise transfer or deal in such Corporate Opportunity with Persons other than the Employer.</w:t>
      </w:r>
    </w:p>
    <w:p>
      <w:pPr>
        <w:pStyle w:val="TextBody"/>
        <w:bidi w:val="0"/>
        <w:spacing w:lineRule="auto" w:line="288" w:before="244"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(b)During and after the Employment Period, the Employee shall not use or disclose the Employer’s Confidential Information to solicit, induce, or encourage any other employee of the Employer to leave their employment, to the extent such solicitation would involve the use or disclosure of the Employer’s trade secrets or other Confidential Information.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5975"/>
                <wp:effectExtent l="0" t="0" r="0" b="0"/>
                <wp:wrapNone/>
                <wp:docPr id="60" name="Frame6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the Employment Period and for a period of one year thereafter, the Employee shall not, directly or indirectly, use the Employer’s Confidential Information to induce, attempt to induce or knowingly encourage any Customer (as defined below) of the Employer to divert any business or income from the Employer, or to stop or alter the manner in which it is then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5975"/>
                <wp:effectExtent l="0" t="0" r="0" b="0"/>
                <wp:wrapNone/>
                <wp:docPr id="61" name="Frame6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doing business with the Employer. The term “</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with respect to the Employer shall mean any individual or business firm that is, or within the prior 24 months was, a customer or client of the Employer, or whose business was actively solicited by the Employer at any time, regardless of whether such customer or client was generated, in whole or in part, by the Employee’s efforts.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(c)During the Employment Period and thereafter, the Employee shall not make any defamatory or disparaging statement concerning the Employer or its Affiliates, or their respective predecessors and successors, or any of the current or former directors, employees, officers, managers, shareholders, partners, members, agents or representatives of any of the foregoing (the “</w:t>
      </w:r>
      <w:r>
        <w:rPr>
          <w:rFonts w:ascii="Times New Roman;serif" w:hAnsi="Times New Roman;serif"/>
          <w:b w:val="false"/>
          <w:color w:val="000000"/>
          <w:sz w:val="24"/>
          <w:u w:val="single"/>
        </w:rPr>
        <w:t>Protected Persons</w:t>
      </w:r>
      <w:r>
        <w:rPr>
          <w:color w:val="000000"/>
        </w:rPr>
        <w:t>”</w:t>
      </w:r>
      <w:r>
        <w:rPr>
          <w:rFonts w:ascii="Times New Roman;serif" w:hAnsi="Times New Roman;serif"/>
          <w:b w:val="false"/>
          <w:color w:val="000000"/>
          <w:sz w:val="24"/>
        </w:rPr>
        <w:t>) to the extent such statement could be reasonably likely to damage the reputation and/or financial position of any of the Protected Persons. Notwithstanding the foregoing, nothing herein shall or shall be deemed to prevent or impair the Employee from (i) testifying truthfully in any legal or administrative proceeding if such testimony is compelled or requested, (ii) making competitive-type statements that are normal and customary for the industry in the context of product or service comparisons and the like, (iii) making good faith statements in the good faith performance of the Employee’s duties for the Employer or its Affiliates, or</w:t>
      </w:r>
    </w:p>
    <w:p>
      <w:pPr>
        <w:pStyle w:val="TextBody"/>
        <w:bidi w:val="0"/>
        <w:spacing w:lineRule="auto" w:line="285" w:before="0" w:after="0"/>
        <w:jc w:val="both"/>
        <w:rPr>
          <w:rFonts w:ascii="Times New Roman;serif" w:hAnsi="Times New Roman;serif"/>
          <w:b w:val="false"/>
          <w:color w:val="000000"/>
          <w:sz w:val="24"/>
        </w:rPr>
      </w:pPr>
      <w:r>
        <w:rPr>
          <w:rFonts w:ascii="Times New Roman;serif" w:hAnsi="Times New Roman;serif"/>
          <w:b w:val="false"/>
          <w:color w:val="000000"/>
          <w:sz w:val="24"/>
        </w:rPr>
        <w:t>(iv) engaging in protected concerted activity or exercising rights under the National Labor Relations Act.</w:t>
      </w:r>
    </w:p>
    <w:p>
      <w:pPr>
        <w:pStyle w:val="TextBody"/>
        <w:bidi w:val="0"/>
        <w:spacing w:lineRule="auto" w:line="288" w:before="223" w:after="283"/>
        <w:ind w:left="0" w:right="0" w:firstLine="1440"/>
        <w:jc w:val="both"/>
        <w:rPr/>
      </w:pPr>
      <w:r>
        <w:rPr>
          <w:rFonts w:ascii="Times New Roman;serif" w:hAnsi="Times New Roman;serif"/>
          <w:b w:val="false"/>
          <w:color w:val="000000"/>
          <w:sz w:val="24"/>
        </w:rPr>
        <w:t xml:space="preserve">(d)The Employee acknowledges that the provisions of </w:t>
      </w:r>
      <w:r>
        <w:rPr>
          <w:rFonts w:ascii="Times New Roman;serif" w:hAnsi="Times New Roman;serif"/>
          <w:b w:val="false"/>
          <w:color w:val="000000"/>
          <w:sz w:val="24"/>
          <w:u w:val="single"/>
        </w:rPr>
        <w:t xml:space="preserve">Sections </w:t>
      </w:r>
      <w:hyperlink w:anchor="i26591f0ebb9b484aafaffd446de3b28e_4">
        <w:r>
          <w:rPr>
            <w:rStyle w:val="InternetLink"/>
          </w:rPr>
          <w:t>10</w:t>
        </w:r>
      </w:hyperlink>
      <w:r>
        <w:rPr>
          <w:rFonts w:ascii="Times New Roman;serif" w:hAnsi="Times New Roman;serif"/>
          <w:b w:val="false"/>
          <w:color w:val="000000"/>
          <w:sz w:val="24"/>
          <w:u w:val="single"/>
        </w:rPr>
        <w:t xml:space="preserve"> and </w:t>
      </w:r>
      <w:hyperlink w:anchor="i26591f0ebb9b484aafaffd446de3b28e_4">
        <w:r>
          <w:rPr>
            <w:rStyle w:val="InternetLink"/>
          </w:rPr>
          <w:t>11</w:t>
        </w:r>
      </w:hyperlink>
      <w:r>
        <w:rPr>
          <w:color w:val="000000"/>
        </w:rPr>
        <w:t xml:space="preserve"> </w:t>
      </w:r>
      <w:r>
        <w:rPr>
          <w:rFonts w:ascii="Times New Roman;serif" w:hAnsi="Times New Roman;serif"/>
          <w:b w:val="false"/>
          <w:color w:val="000000"/>
          <w:sz w:val="24"/>
        </w:rPr>
        <w:t xml:space="preserve">are reasonable and necessary to protect the continuing interests of the Employer, and any violation of </w:t>
      </w:r>
      <w:r>
        <w:rPr>
          <w:rFonts w:ascii="Times New Roman;serif" w:hAnsi="Times New Roman;serif"/>
          <w:b w:val="false"/>
          <w:color w:val="000000"/>
          <w:sz w:val="24"/>
          <w:u w:val="single"/>
        </w:rPr>
        <w:t xml:space="preserve">Sections </w:t>
      </w:r>
      <w:hyperlink w:anchor="i26591f0ebb9b484aafaffd446de3b28e_4">
        <w:r>
          <w:rPr>
            <w:rStyle w:val="InternetLink"/>
          </w:rPr>
          <w:t>10</w:t>
        </w:r>
      </w:hyperlink>
      <w:r>
        <w:rPr>
          <w:rFonts w:ascii="Times New Roman;serif" w:hAnsi="Times New Roman;serif"/>
          <w:b w:val="false"/>
          <w:color w:val="000000"/>
          <w:sz w:val="24"/>
          <w:u w:val="single"/>
        </w:rPr>
        <w:t xml:space="preserve"> and </w:t>
      </w:r>
      <w:hyperlink w:anchor="i26591f0ebb9b484aafaffd446de3b28e_4">
        <w:r>
          <w:rPr>
            <w:rStyle w:val="InternetLink"/>
          </w:rPr>
          <w:t>11</w:t>
        </w:r>
      </w:hyperlink>
      <w:r>
        <w:rPr>
          <w:color w:val="000000"/>
        </w:rPr>
        <w:t xml:space="preserve"> </w:t>
      </w:r>
      <w:r>
        <w:rPr>
          <w:rFonts w:ascii="Times New Roman;serif" w:hAnsi="Times New Roman;serif"/>
          <w:b w:val="false"/>
          <w:color w:val="000000"/>
          <w:sz w:val="24"/>
        </w:rPr>
        <w:t xml:space="preserve">will result in irreparable injury to the Employer, the exact amount of which will be difficult to ascertain, and that the remedies at law for any such violation would not reasonably or adequately compensate the Employer for such violation. Accordingly, the Employee agrees that if the Employee violates any of the provision of </w:t>
      </w:r>
      <w:r>
        <w:rPr>
          <w:rFonts w:ascii="Times New Roman;serif" w:hAnsi="Times New Roman;serif"/>
          <w:b w:val="false"/>
          <w:color w:val="000000"/>
          <w:sz w:val="24"/>
          <w:u w:val="single"/>
        </w:rPr>
        <w:t xml:space="preserve">Sections </w:t>
      </w:r>
      <w:hyperlink w:anchor="i26591f0ebb9b484aafaffd446de3b28e_4">
        <w:r>
          <w:rPr>
            <w:rStyle w:val="InternetLink"/>
          </w:rPr>
          <w:t>10</w:t>
        </w:r>
      </w:hyperlink>
      <w:r>
        <w:rPr>
          <w:rFonts w:ascii="Times New Roman;serif" w:hAnsi="Times New Roman;serif"/>
          <w:b w:val="false"/>
          <w:color w:val="000000"/>
          <w:sz w:val="24"/>
          <w:u w:val="single"/>
        </w:rPr>
        <w:t xml:space="preserve"> and </w:t>
      </w:r>
      <w:hyperlink w:anchor="i26591f0ebb9b484aafaffd446de3b28e_4">
        <w:r>
          <w:rPr>
            <w:rStyle w:val="InternetLink"/>
          </w:rPr>
          <w:t>11</w:t>
        </w:r>
      </w:hyperlink>
      <w:r>
        <w:rPr>
          <w:rFonts w:ascii="Times New Roman;serif" w:hAnsi="Times New Roman;serif"/>
          <w:b w:val="false"/>
          <w:color w:val="000000"/>
          <w:sz w:val="24"/>
        </w:rPr>
        <w:t>, in addition to any other remedy that may be available at law or in equity, the Employer shall be entitled to seek specific performance and injunctive relief, without the necessity of proving actual damages or posting of a bond or other security.</w:t>
      </w:r>
    </w:p>
    <w:p>
      <w:pPr>
        <w:pStyle w:val="TextBody"/>
        <w:bidi w:val="0"/>
        <w:spacing w:lineRule="auto" w:line="288" w:before="243"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Damages For Improper Termination With Cause</w:t>
      </w:r>
      <w:r>
        <w:rPr>
          <w:rFonts w:ascii="Times New Roman;serif" w:hAnsi="Times New Roman;serif"/>
          <w:b w:val="false"/>
          <w:color w:val="000000"/>
          <w:sz w:val="24"/>
        </w:rPr>
        <w:t xml:space="preserve">. If the Employer terminates this Agreement and the Employee’s employment hereunder for Cause, but it subsequently is determined by a court of competent jurisdiction, as the case may be, that the Employer did not have Cause for the termination, then for purposes of this Agreement, the Employer’s decision to terminate shall be deemed to have been a termination without Cause, and the Employer shall be obligated to pay the Severance Benefits specified under </w:t>
      </w:r>
      <w:r>
        <w:rPr>
          <w:rFonts w:ascii="Times New Roman;serif" w:hAnsi="Times New Roman;serif"/>
          <w:b w:val="false"/>
          <w:color w:val="000000"/>
          <w:sz w:val="24"/>
          <w:u w:val="single"/>
        </w:rPr>
        <w:t xml:space="preserve">Section </w:t>
      </w:r>
      <w:hyperlink w:anchor="i26591f0ebb9b484aafaffd446de3b28e_4">
        <w:r>
          <w:rPr>
            <w:rStyle w:val="InternetLink"/>
          </w:rPr>
          <w:t>6(c)</w:t>
        </w:r>
      </w:hyperlink>
      <w:r>
        <w:rPr>
          <w:rFonts w:ascii="Times New Roman;serif" w:hAnsi="Times New Roman;serif"/>
          <w:b w:val="false"/>
          <w:color w:val="000000"/>
          <w:sz w:val="24"/>
        </w:rPr>
        <w:t xml:space="preserve">, and, subject to </w:t>
      </w:r>
      <w:r>
        <w:rPr>
          <w:rFonts w:ascii="Times New Roman;serif" w:hAnsi="Times New Roman;serif"/>
          <w:b w:val="false"/>
          <w:color w:val="000000"/>
          <w:sz w:val="24"/>
          <w:u w:val="single"/>
        </w:rPr>
        <w:t xml:space="preserve">Section </w:t>
      </w:r>
      <w:hyperlink w:anchor="i26591f0ebb9b484aafaffd446de3b28e_4">
        <w:r>
          <w:rPr>
            <w:rStyle w:val="InternetLink"/>
          </w:rPr>
          <w:t>24</w:t>
        </w:r>
      </w:hyperlink>
      <w:r>
        <w:rPr>
          <w:color w:val="000000"/>
        </w:rPr>
        <w:t xml:space="preserve"> </w:t>
      </w:r>
      <w:r>
        <w:rPr>
          <w:rFonts w:ascii="Times New Roman;serif" w:hAnsi="Times New Roman;serif"/>
          <w:b w:val="false"/>
          <w:color w:val="000000"/>
          <w:sz w:val="24"/>
        </w:rPr>
        <w:t>hereof, only that amount.</w:t>
      </w:r>
    </w:p>
    <w:p>
      <w:pPr>
        <w:pStyle w:val="TextBody"/>
        <w:bidi w:val="0"/>
        <w:spacing w:lineRule="auto" w:line="288" w:before="243" w:after="283"/>
        <w:ind w:left="0" w:right="0" w:hanging="719"/>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provided in Section 13(b) below and except for any claim or claims that cannot be arbitrated as a matter of law, any controversy or dispute arising out of, based upon, or relating to this Agreement, its enforcement or interpretation, or because of an alleged breach, default, or misrepresentation in connection with any of its provisions, or arising out of, based upon, or relating in any way to the Employee’s employment or association with the Employer, or termination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5975"/>
                <wp:effectExtent l="0" t="0" r="0" b="0"/>
                <wp:wrapNone/>
                <wp:docPr id="62" name="Frame6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of the same, including, without limiting the generality of the foregoing, any questions regarding whether a particular dispute is arbitrable, and any alleged violation of statute, common law or public policy, including, but not limited to, any state or federal statutory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5975"/>
                <wp:effectExtent l="0" t="0" r="0" b="0"/>
                <wp:wrapNone/>
                <wp:docPr id="63" name="Frame6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claims, shall be submitted to final and binding arbitration in Orange County, California, in accordance with the JAMS Employment Arbitration Rules and Procedures, before a single neutral arbitrator selected from the JAMS panel, or if JAMS is no longer able to supply the arbitrator, such arbitrator shall be selected from the American Arbitration Association, in accordance with its National Rules for the Resolution of Employment Disputes (the arbitrator selected hereunder,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Provisional injunctive relief may, but need not, be sought by either party to this Agreement in a court of law while arbitration proceedings are pending, pursuant to California Code of Civil Procedure section 1281.8,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To the extent permitted by law, the arbitrator’s fees and arbitration expenses and any other costs associated with the arbitration or arbitration hearing that are unique to arbitration will be borne equally by each party. The parties shall each pay their own deposition, witness, expert and attorneys’ fees and other expenses as and to the same extent as if the matter were being heard in court,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arbitrator may in its discretion award such costs to the prevailing party if it determines that to be appropriate in accordance with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(e)Notwithstanding the foregoing, the Employee agrees that it would be difficult to measure any damages caused to the Employer which might result from any breach by the Employee of the covenants set forth in </w:t>
      </w:r>
      <w:r>
        <w:rPr>
          <w:rFonts w:ascii="Times New Roman;serif" w:hAnsi="Times New Roman;serif"/>
          <w:b w:val="false"/>
          <w:color w:val="000000"/>
          <w:sz w:val="24"/>
          <w:u w:val="single"/>
        </w:rPr>
        <w:t xml:space="preserve">Sections </w:t>
      </w:r>
      <w:hyperlink w:anchor="i26591f0ebb9b484aafaffd446de3b28e_4">
        <w:r>
          <w:rPr>
            <w:rStyle w:val="InternetLink"/>
          </w:rPr>
          <w:t>10</w:t>
        </w:r>
      </w:hyperlink>
      <w:r>
        <w:rPr>
          <w:rFonts w:ascii="Times New Roman;serif" w:hAnsi="Times New Roman;serif"/>
          <w:b w:val="false"/>
          <w:color w:val="000000"/>
          <w:sz w:val="24"/>
        </w:rPr>
        <w:t xml:space="preserve">, </w:t>
      </w:r>
      <w:hyperlink w:anchor="i26591f0ebb9b484aafaffd446de3b28e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26591f0ebb9b484aafaffd446de3b28e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26591f0ebb9b484aafaffd446de3b28e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xml:space="preserve">, and that in any event, money damages would be an inadequate remedy for any such breach. Accordingly, if the Employee has breached, breaches, or proposes to breach </w:t>
      </w:r>
      <w:r>
        <w:rPr>
          <w:rFonts w:ascii="Times New Roman;serif" w:hAnsi="Times New Roman;serif"/>
          <w:b w:val="false"/>
          <w:color w:val="000000"/>
          <w:sz w:val="24"/>
          <w:u w:val="single"/>
        </w:rPr>
        <w:t xml:space="preserve">Sections </w:t>
      </w:r>
      <w:hyperlink w:anchor="i26591f0ebb9b484aafaffd446de3b28e_4">
        <w:r>
          <w:rPr>
            <w:rStyle w:val="InternetLink"/>
          </w:rPr>
          <w:t>10</w:t>
        </w:r>
      </w:hyperlink>
      <w:r>
        <w:rPr>
          <w:rFonts w:ascii="Times New Roman;serif" w:hAnsi="Times New Roman;serif"/>
          <w:b w:val="false"/>
          <w:color w:val="000000"/>
          <w:sz w:val="24"/>
        </w:rPr>
        <w:t xml:space="preserve">, </w:t>
      </w:r>
      <w:hyperlink w:anchor="i26591f0ebb9b484aafaffd446de3b28e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26591f0ebb9b484aafaffd446de3b28e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26591f0ebb9b484aafaffd446de3b28e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the Employer shall be entitled, in addition to all other remedies such party may have, to a temporary, preliminary or permanent injunction or other appropriate equitable relief to restrain any such breach without showing or proving any actual damage to the non-breaching party from any court having competent jurisdiction over either party.</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parties hereto expressly agree that each may bring and pursue Claims against the other only in their individual capacities, and not on behalf of, with respect to, joined with, and/or as a part of, any class action, collective action, and/or representative action, except as expressly set forth herein or unless such waiver is not permitted by applicable law. The parties hereto agree that in the event Employee brings a Claim under the California Private Attorneys General Act of 2004, Employee may pursue Claims and seek remedies as a representative of the California Labor &amp; Workforce Development Agency, but only based on alleged violations of law personally suffered by Employee, and any such individual PAGA Claims must be arbitrated consistent with this Arbitration provision. If Employee suffered an alleged violation of law, Employee may request that the arbitrator award any remedies available under the law for the violation personally experienced by Employee. However, Employee may not seek to represent other employees, or join the Claims of other employees, or obtain remedies for alleged legal violations suffered by other employees, even if Employee claims to have suffered the same type of alleged legal violations. The parties hereto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5975"/>
                <wp:effectExtent l="0" t="0" r="0" b="0"/>
                <wp:wrapNone/>
                <wp:docPr id="64" name="Frame6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further agree that Employee may not participate in, or seek to be covered by or benefit from, a class action, collective action, or representative action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5975"/>
                <wp:effectExtent l="0" t="0" r="0" b="0"/>
                <wp:wrapNone/>
                <wp:docPr id="65" name="Frame6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asserting Claims covered by this Arbitration provision if filed by another employee. If any Party brings a Claim as a plaintiff, or participates as a member of or person to be covered by a class action, collective action, or representative action, or challenges the enforceability of this provision, the parties hereto agree that a court, not an arbitrator, shall determine what Claims are subject to the duty to arbitrate and whether any Claims must proceed on a class, collective, joint, and/or representative basis. If the court determines that any Claims must proceed on a class or collective basis, or that any Claims arising from alleged unlawful acts or violations not personally committed against or suffered by Employee have been asserted, then those Claims, if allowed, may only proceed in court, not in arbitration. Such Claims shall be dismissed by the court to the fullest extent allowed by law; if the Claims cannot be dismissed by the court, the Claims will be stayed pending the conclusion of the arbitration between the parties hereto.</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parties hereto voluntarily agree that Employer is engaged in transactions involving interstate commerce, and this Arbitration provision shall be subject to the substantive and procedural provisions of the Federal Arbitration Act, 9 U.S.C. §§ 1, et seq.</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(g)THE PARTIES HERETO HEREBY IRREVOCABLY WAIVE ALL RIGHT TO TRIAL, INCLUDING ANY RIGHTS TO TRIAL BY JURY, IN ANY ACTION, PROCEEDING OR COUNTERCLAIM BROUGHT BY EITHER OF THE PARTIES AGAINST THE OTHER IN CONNECTION WITH ANY MATTER WHATSOEVER ARISING OUT OF OR IN ANY WAY CONNECTED WITH THIS AGREEMENT OR THE PROVISION OF SERVICES UNDER THIS AGREEMENT.</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Upon the receipt of reasonable notice from the Employer (including from outside counsel to the Employer), the Employee agrees that while employed by the Employer and after the termination of the Employee’s employment for any reason, the Employee will respond and provide information with regard to matters in which the Employee has knowledge as a result of the Employee’s employment with the Employer, and will provide reasonable assistance to the Employer, its Affiliates and their respective representatives in defense of any claims that may be made against the Employer or its Affiliates, and will assist the Employer and its Affiliates in the prosecution of any claims that may be made by the Employer or its Affiliates, to the extent that such claims may relate to the period of the Employee’s employment with the Employer;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that with respect to periods after the termination of the Employee’s employment, the Employer shall reimburse the Employee for any reasonable out-of-pocket expenses incurred in providing such assistance and, with respect to any period in which the Employee is required to provide more than ten hours of assistance per week after Employee’s termination of employment but is not receiving severance payments from the Employer or its Affiliates, and is not testifying, the Employer shall pay the Employee a reasonable amount of money for Employee’s services at a reasonable rate agreed to between the Employer and the Employee; and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i/>
          <w:color w:val="000000"/>
          <w:sz w:val="24"/>
          <w:u w:val="single"/>
        </w:rPr>
        <w:t>further</w:t>
      </w:r>
      <w:r>
        <w:rPr>
          <w:color w:val="000000"/>
        </w:rPr>
        <w:t xml:space="preserve"> </w:t>
      </w:r>
      <w:r>
        <w:rPr>
          <w:rFonts w:ascii="Times New Roman;serif" w:hAnsi="Times New Roman;serif"/>
          <w:b w:val="false"/>
          <w:color w:val="000000"/>
          <w:sz w:val="24"/>
        </w:rPr>
        <w:t>that after the Employee’s termination of employment with the Employer, such assistance shall not unreasonably interfere with the Employee’s business or personal obligations. The Employee agrees to promptly inform the Employer if the Employee becomes aware of any lawsuits involving such claims that may be filed or threatened against the Employer or its Affiliates. The Employee also agrees to promptly inform the Employer (to the extent the Employee is legally permitted to do so) if the Employee is asked to assist in any investigation of the Employer or its Affiliates (or their actions), regardless of whether a lawsuit or other proceeding has then been filed against the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5975"/>
                <wp:effectExtent l="0" t="0" r="0" b="0"/>
                <wp:wrapNone/>
                <wp:docPr id="66" name="Frame6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Employer or its Affiliates with respect to such investigation, and shall not do so unless legally required.</w:t>
      </w:r>
    </w:p>
    <w:p>
      <w:pPr>
        <w:pStyle w:val="TextBody"/>
        <w:bidi w:val="0"/>
        <w:spacing w:lineRule="auto" w:line="288" w:before="234"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Disclosure and Assignment of Inventions and Improvements</w:t>
      </w:r>
      <w:r>
        <w:rPr>
          <w:rFonts w:ascii="Times New Roman;serif" w:hAnsi="Times New Roman;serif"/>
          <w:b w:val="false"/>
          <w:color w:val="000000"/>
          <w:sz w:val="24"/>
        </w:rPr>
        <w:t>. Without prejudice to any other duties express or implied imposed on the Employee hereunder it shall be part of the Employee’s normal duties to consider in what manner and by what methods or devices the products, services, processes, equipment or systems of the Employer and any customer or vendor of the Employer would reasonably be expected to be improved and promptly to give to the Chief Executive Officer of the Employer or Employee’s designee full details of any improvement, invention, research, development, discovery, design, code, model, suggestion or innovation (collectively called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which the Employee (alone or with others) may make, discover, create or conceive in the course of the Employee’s employment. The Employee acknowledges that the Work Product is the property of the Employer. To the extent that any of the Work Product is capable of protection by copyright, the Employee acknowledges that it is created within the scope of the Employee’s employment and is a work made for hire. To the extent that any such material may not be a work made for hire, the Employee hereby assigns to the Employer all rights in such material. To the extent that any of the Work Product is an invention, discovery, process or other potentially patentable subject matter (the “Inventions”), the Employee hereby assigns to the Employer all right, title, and interest in and to all Inventions. The Employer acknowledges that the assignment in the preceding sentence does not apply to an Invention that the Employee develops entirely on Employee’s own time without using the Employer’s equipment, supplies, facilities or trade secret information, except for those Inventions that either:</w:t>
      </w:r>
    </w:p>
    <w:p>
      <w:pPr>
        <w:pStyle w:val="TextBody"/>
        <w:bidi w:val="0"/>
        <w:spacing w:lineRule="auto" w:line="280"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(i)relate at the time of conception or reduction to practice of the Invention to the Employer’s business, or actual or demonstrably anticipated research or development of the Employer, or</w:t>
      </w:r>
    </w:p>
    <w:p>
      <w:pPr>
        <w:pStyle w:val="TextBody"/>
        <w:bidi w:val="0"/>
        <w:spacing w:lineRule="auto" w:line="288" w:before="239"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(ii)result from any work performed by the Employee for the Employer.</w:t>
      </w:r>
    </w:p>
    <w:p>
      <w:pPr>
        <w:pStyle w:val="TextBody"/>
        <w:bidi w:val="0"/>
        <w:spacing w:lineRule="auto" w:line="280" w:before="233" w:after="283"/>
        <w:jc w:val="both"/>
        <w:rPr/>
      </w:pPr>
      <w:r>
        <w:rPr>
          <w:rFonts w:ascii="Times New Roman;serif" w:hAnsi="Times New Roman;serif"/>
          <w:b w:val="false"/>
          <w:color w:val="000000"/>
          <w:sz w:val="24"/>
        </w:rPr>
        <w:t xml:space="preserve">Execution of this Agreement constitutes the Employee’s acknowledgment of receipt of written notification of this </w:t>
      </w:r>
      <w:r>
        <w:rPr>
          <w:rFonts w:ascii="Times New Roman;serif" w:hAnsi="Times New Roman;serif"/>
          <w:b w:val="false"/>
          <w:color w:val="000000"/>
          <w:sz w:val="24"/>
          <w:u w:val="single"/>
        </w:rPr>
        <w:t xml:space="preserve">Section </w:t>
      </w:r>
      <w:hyperlink w:anchor="i26591f0ebb9b484aafaffd446de3b28e_4">
        <w:r>
          <w:rPr>
            <w:rStyle w:val="InternetLink"/>
          </w:rPr>
          <w:t>15</w:t>
        </w:r>
      </w:hyperlink>
      <w:r>
        <w:rPr>
          <w:color w:val="000000"/>
        </w:rPr>
        <w:t xml:space="preserve"> </w:t>
      </w:r>
      <w:r>
        <w:rPr>
          <w:rFonts w:ascii="Times New Roman;serif" w:hAnsi="Times New Roman;serif"/>
          <w:b w:val="false"/>
          <w:color w:val="000000"/>
          <w:sz w:val="24"/>
        </w:rPr>
        <w:t>and of notice of the general exception to assignments of Inventions provided under the Uniform Employee Patents Act, in the form adopted by the state having jurisdiction over this Agreement or provision, or any comparable applicable law.</w:t>
      </w:r>
    </w:p>
    <w:p>
      <w:pPr>
        <w:pStyle w:val="TextBody"/>
        <w:bidi w:val="0"/>
        <w:spacing w:lineRule="auto" w:line="288" w:before="235" w:after="283"/>
        <w:ind w:left="0" w:right="0" w:hanging="719"/>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Representations and Warranties; Advice of Counsel</w:t>
      </w:r>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Employee represents and warrants that (i) Employee is under no contractual or other obligation that would prevent Employee from accepting the Employer’s offer of employment as set forth herein, (ii) Employee has the full right, authority and capacity to enter into this Agreement and to perform Employee’s obligations hereunder, (iii) the execution of this Agreement and the performance of Employee’s obligations hereunder will not breach or be in conflict with any other agreement to which the Employee is a party or is bound, and (iv) the Employee is not now subject to, and has not previously violated, any covenants against competition, solicitation, hire or similar covenants, any court order or other legal obligation, or other agreement that would affect the performance of Employee’s obligations hereunder or would otherwise conflict with, prevent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5975"/>
                <wp:effectExtent l="0" t="0" r="0" b="0"/>
                <wp:wrapNone/>
                <wp:docPr id="67" name="Frame6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restrict the full performance of Employee’s duties and obligations to the Employer or any of its Affiliates before, during or after the Employment Period.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5975"/>
                <wp:effectExtent l="0" t="0" r="0" b="0"/>
                <wp:wrapNone/>
                <wp:docPr id="68" name="Frame6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The Employee covenants that Employee will not disclose or use on behalf of the Employer or its Affiliates any proprietary information of a third party without such party’s consent.</w:t>
      </w:r>
    </w:p>
    <w:p>
      <w:pPr>
        <w:pStyle w:val="TextBody"/>
        <w:bidi w:val="0"/>
        <w:spacing w:lineRule="auto" w:line="288" w:before="234"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(h)Prior to execution of this Agreement, the Employee was advised by the Employer of the Employee’s right to seek independent advice from an attorney of the Employee’s own selection regarding this Agreement. The Employee acknowledges that the Employee has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directors, officers, employees or agents of the Employer or any of its Affiliates which are not expressly set forth herein, and that the Employee is relying only upon the Employee’s own judgment and any advice provided by the Employee’s attorney.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documents memorializing the equity awards) are intended by the parties to be the final expression of their agreement with respect to the employment of the Employee by the Employer and may not be contradicted by evidence of any prior or contemporaneous agreement (including, without limitation any term sheet, offer letter or similar agreement entered into between the Employer or any Affiliate and the Employee). The parties further intend that this Agreement (and the documents memorializing the equity awards)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288" w:before="239"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No Other Representations</w:t>
      </w:r>
      <w:r>
        <w:rPr>
          <w:rFonts w:ascii="Times New Roman;serif" w:hAnsi="Times New Roman;serif"/>
          <w:b w:val="false"/>
          <w:color w:val="000000"/>
          <w:sz w:val="24"/>
        </w:rPr>
        <w:t>. Except as expressly provided in this Agreement, (i) no person or entity has made or has the authority to make any representations or promises on behalf of any of the parties which are inconsistent with the representations or promises contained in this Agreement, and (ii) this Agreement has not been executed in reliance on any representations or promises not set forth herein. Specifically, no promises, warranties or representations have been made by anyone on any topic or subject matter related to the Employee’s relationship with the Employer or any of its Affiliates or any of their executives or employees, including but not limited to any promises, warranties or representations regarding future employment, compensation, benefits, any entitlement to equity interests in the Employer or any of its Affiliates or regarding the termination of the Employee’s employment. In this regard, the Employee agrees that no promises, warranties or representations shall be deemed to be made in the future unless they are set forth in writing and signed by an authorized representative of the Employer.</w:t>
      </w:r>
    </w:p>
    <w:p>
      <w:pPr>
        <w:pStyle w:val="TextBody"/>
        <w:bidi w:val="0"/>
        <w:spacing w:lineRule="auto" w:line="280" w:before="241"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modified only by agreement of the parties by a written instrument executed by the parties that is designated as an amendment to this Agreement.</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Severability and Non-Waiver/Survival</w:t>
      </w:r>
      <w:r>
        <w:rPr>
          <w:rFonts w:ascii="Times New Roman;serif" w:hAnsi="Times New Roman;serif"/>
          <w:b w:val="false"/>
          <w:color w:val="000000"/>
          <w:sz w:val="24"/>
        </w:rPr>
        <w:t xml:space="preserve">. Any provision of this Agreement (or portion thereof) which is deemed invalid, illegal or unenforceable in any jurisdiction shall, as to that jurisdiction and subject to this </w:t>
      </w:r>
      <w:r>
        <w:rPr>
          <w:rFonts w:ascii="Times New Roman;serif" w:hAnsi="Times New Roman;serif"/>
          <w:b w:val="false"/>
          <w:color w:val="000000"/>
          <w:sz w:val="24"/>
          <w:u w:val="single"/>
        </w:rPr>
        <w:t>Section 20</w:t>
      </w:r>
      <w:r>
        <w:rPr>
          <w:rFonts w:ascii="Times New Roman;serif" w:hAnsi="Times New Roman;serif"/>
          <w:b w:val="false"/>
          <w:color w:val="000000"/>
          <w:sz w:val="24"/>
        </w:rPr>
        <w:t>, be ineffective to the extent of such invalidity, illegality or unenforceability, without affecting in any way the remaining provisions thereof in such jurisdiction or rendering such provision or any other provision of this Agreement invalid, illegal, or unenforceable in any other jurisdiction. If any covenant should be deemed invalid, illegal</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15975"/>
                <wp:effectExtent l="0" t="0" r="0" b="0"/>
                <wp:wrapNone/>
                <wp:docPr id="69" name="Frame6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Employer shall be implied by the Employer’s forbearance or failure to take action. The expiration or termination of the Employment Period and this Agreement shall not impair the rights or obligations of any party hereto which shall have accrued hereunder prior to such expiration or termination.</w:t>
      </w:r>
    </w:p>
    <w:p>
      <w:pPr>
        <w:pStyle w:val="TextBody"/>
        <w:bidi w:val="0"/>
        <w:spacing w:lineRule="auto" w:line="288" w:before="238"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Successor/Assigns</w:t>
      </w:r>
      <w:r>
        <w:rPr>
          <w:rFonts w:ascii="Times New Roman;serif" w:hAnsi="Times New Roman;serif"/>
          <w:b w:val="false"/>
          <w:color w:val="000000"/>
          <w:sz w:val="24"/>
        </w:rPr>
        <w:t>. This Agreement shall be binding upon and inure to the benefit of the parties and their respective heirs, representatives, executors, administrators, successors, and assigns, provided, however, that the Employee may not assign any or all of Employee’s rights or duties hereunder. The Employee shall be entitled, to the extent permitted under applicable law, to select and change a beneficiary or beneficiaries to receive any compensation or benefit hereunder following the Employee’s death by giving written notice thereof. In the event of the Employee’s death or a judicial determination of Employee’s incompetence, references in this Agreement to the Employee shall be deemed, where appropriate, to refer to Employee’s beneficiary, estate or other legal representative.</w:t>
      </w:r>
    </w:p>
    <w:p>
      <w:pPr>
        <w:pStyle w:val="TextBody"/>
        <w:bidi w:val="0"/>
        <w:spacing w:lineRule="auto" w:line="280" w:before="243"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Voluntary and Knowledgeable Act</w:t>
      </w:r>
      <w:r>
        <w:rPr>
          <w:rFonts w:ascii="Times New Roman;serif" w:hAnsi="Times New Roman;serif"/>
          <w:b w:val="false"/>
          <w:color w:val="000000"/>
          <w:sz w:val="24"/>
        </w:rPr>
        <w:t>. The Employee represents and warrants that the Employee has read and understands each and every provision of this Agreement and has freely and voluntarily entered into this Agreement.</w:t>
      </w:r>
    </w:p>
    <w:p>
      <w:pPr>
        <w:pStyle w:val="TextBody"/>
        <w:bidi w:val="0"/>
        <w:spacing w:lineRule="auto" w:line="280" w:before="23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construed and enforced under and be governed as to its validity and effect by the laws of the State of California without regard to the conflict of laws principles thereof.</w:t>
      </w:r>
    </w:p>
    <w:p>
      <w:pPr>
        <w:pStyle w:val="TextBody"/>
        <w:bidi w:val="0"/>
        <w:spacing w:lineRule="auto" w:line="288" w:before="234"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any dispute between the parties should result in litigation, the prevailing party in such dispute shall be entitled to recover from the other party all reasonable out-of-pocket fees, costs and expenses of enforcing any right of the prevailing party, including without limitation, reasonable attorneys’ fees and expenses, all of which shall be deemed to have accrued upon the commencement of such action and shall be paid whether or not such action is prosecuted to judgment, to the extent permitted by law. Any judgment or order entered in such action shall contain a specific provision providing for the recovery of attorneys’ fees and costs incurred in enforcing such judgment and an award of prejudgment interest from the date of the breach at the maximum rate of interest allowed by law. For the purposes of this </w:t>
      </w:r>
      <w:r>
        <w:rPr>
          <w:rFonts w:ascii="Times New Roman;serif" w:hAnsi="Times New Roman;serif"/>
          <w:b w:val="false"/>
          <w:color w:val="000000"/>
          <w:sz w:val="24"/>
          <w:u w:val="single"/>
        </w:rPr>
        <w:t xml:space="preserve">Section </w:t>
      </w:r>
      <w:hyperlink w:anchor="i26591f0ebb9b484aafaffd446de3b28e_4">
        <w:r>
          <w:rPr>
            <w:rStyle w:val="InternetLink"/>
          </w:rPr>
          <w:t>24</w:t>
        </w:r>
      </w:hyperlink>
      <w:r>
        <w:rPr>
          <w:rFonts w:ascii="Times New Roman;serif" w:hAnsi="Times New Roman;serif"/>
          <w:b w:val="false"/>
          <w:color w:val="000000"/>
          <w:sz w:val="24"/>
        </w:rPr>
        <w:t>: (a) attorneys’ fees include, without limitation, fees incurred in the following: (i) post-judgment motions; (ii) contempt proceedings; (iii) garnishment, levy, and debtor and third party examinations; (iv) discovery and</w:t>
      </w:r>
    </w:p>
    <w:p>
      <w:pPr>
        <w:pStyle w:val="TextBody"/>
        <w:bidi w:val="0"/>
        <w:spacing w:lineRule="auto" w:line="285" w:before="0" w:after="0"/>
        <w:jc w:val="both"/>
        <w:rPr>
          <w:rFonts w:ascii="Times New Roman;serif" w:hAnsi="Times New Roman;serif"/>
          <w:b w:val="false"/>
          <w:color w:val="000000"/>
          <w:sz w:val="24"/>
        </w:rPr>
      </w:pPr>
      <w:r>
        <w:rPr>
          <w:rFonts w:ascii="Times New Roman;serif" w:hAnsi="Times New Roman;serif"/>
          <w:b w:val="false"/>
          <w:color w:val="000000"/>
          <w:sz w:val="24"/>
        </w:rPr>
        <w:t>(v) bankruptcy litigation, and (b) “prevailing party” means the party who is determined in the proceeding to have prevailed or who prevails by dismissal, default or otherwise.</w:t>
      </w:r>
    </w:p>
    <w:p>
      <w:pPr>
        <w:pStyle w:val="TextBody"/>
        <w:bidi w:val="0"/>
        <w:spacing w:lineRule="auto" w:line="280" w:before="223"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to be an original, but both of which together shall constitute one and the same instrument.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15975"/>
                <wp:effectExtent l="0" t="0" r="0" b="0"/>
                <wp:wrapNone/>
                <wp:docPr id="70" name="Frame7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Notices</w:t>
      </w:r>
      <w:r>
        <w:rPr>
          <w:rFonts w:ascii="Times New Roman;serif" w:hAnsi="Times New Roman;serif"/>
          <w:b w:val="false"/>
          <w:color w:val="000000"/>
          <w:sz w:val="24"/>
        </w:rPr>
        <w:t>. Except as otherwise provided for herein, all notices and other communications provided for hereunder shall be in writing (including facsimile communication and electronic mail) and mailed (via registered or certified mail), telecopied or delivered to the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15975"/>
                <wp:effectExtent l="0" t="0" r="0" b="0"/>
                <wp:wrapNone/>
                <wp:docPr id="71" name="Frame7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party for whom it is intended at the address, telecopier number or e-mail address set forth below or, as to each party, at such other address as designated by that party in a written notice to the other parties. All notices and communications shall be deemed to have been validly served, given or delivered (i) if personally delivered, upon receipt or refusal to accept delivery, (ii) if sent via facsimile, upon mechanical confirmation of successful transmission thereof generated by the sending facsimile machine, (iii) if sent by a commercial overnight courier for delivery on the next business day, on the first business day after deposit with such courier service (or the second business day if sent to an address not in the United States), (iv) if sent by registered or certified mail, three days after deposit thereof in the United States mail, or (v) if sent by electronic mail, one business day after transmission when directed to the appropriate e-mail address (provided that the party giving notice must verify the e-mail address of the recipient prior to transmission):</w:t>
      </w:r>
    </w:p>
    <w:p>
      <w:pPr>
        <w:pStyle w:val="TextBody"/>
        <w:bidi w:val="0"/>
        <w:spacing w:lineRule="auto" w:line="285" w:before="238"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(a)if to the Employee, to Employee at Employee’s most recent address in the Employer’s records,</w:t>
      </w:r>
    </w:p>
    <w:p>
      <w:pPr>
        <w:pStyle w:val="TextBody"/>
        <w:bidi w:val="0"/>
        <w:spacing w:lineRule="auto" w:line="288" w:before="229"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(b)If to the Employer, to:</w:t>
      </w:r>
    </w:p>
    <w:p>
      <w:pPr>
        <w:pStyle w:val="TextBody"/>
        <w:bidi w:val="0"/>
        <w:spacing w:lineRule="atLeast" w:line="275" w:before="238"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1100 Town &amp; Country Road, Suite 1600 Orange, CA 92868</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Facsimile: (844) 320-2247</w:t>
      </w:r>
    </w:p>
    <w:p>
      <w:pPr>
        <w:pStyle w:val="TextBody"/>
        <w:bidi w:val="0"/>
        <w:spacing w:lineRule="auto" w:line="280" w:before="1" w:after="283"/>
        <w:jc w:val="left"/>
        <w:rPr>
          <w:rFonts w:ascii="Times New Roman;serif" w:hAnsi="Times New Roman;serif"/>
          <w:b w:val="false"/>
          <w:color w:val="000000"/>
          <w:sz w:val="24"/>
        </w:rPr>
      </w:pPr>
      <w:r>
        <w:rPr>
          <w:rFonts w:ascii="Times New Roman;serif" w:hAnsi="Times New Roman;serif"/>
          <w:b w:val="false"/>
          <w:color w:val="000000"/>
          <w:sz w:val="24"/>
        </w:rPr>
        <w:t>E-mail: LegalNotices@ahcusa.com Attention: Legal Department</w:t>
      </w:r>
    </w:p>
    <w:p>
      <w:pPr>
        <w:pStyle w:val="TextBody"/>
        <w:bidi w:val="0"/>
        <w:spacing w:lineRule="auto" w:line="280" w:before="235" w:after="283"/>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the recipient party to whom notice is to be given may have furnished to the other party in writing in accordance herewith.</w:t>
      </w:r>
    </w:p>
    <w:p>
      <w:pPr>
        <w:pStyle w:val="TextBody"/>
        <w:bidi w:val="0"/>
        <w:spacing w:lineRule="auto" w:line="288" w:before="235"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Descriptive Headings; Nouns and Pronouns</w:t>
      </w:r>
      <w:r>
        <w:rPr>
          <w:rFonts w:ascii="Times New Roman;serif" w:hAnsi="Times New Roman;serif"/>
          <w:b w:val="false"/>
          <w:color w:val="000000"/>
          <w:sz w:val="24"/>
        </w:rPr>
        <w:t>. Descriptive headings are for convenience only and shall not control or affect the meaning or construction of any provision of this Agreement. Whenever the context may require, any pronouns used herein shall include the corresponding masculine, feminine or neuter forms, and the singular form of nouns and pronouns shall include the plural and vice-versa.</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Non-Qualified Deferred Compensation</w:t>
      </w:r>
      <w:r>
        <w:rPr>
          <w:rFonts w:ascii="Times New Roman;serif" w:hAnsi="Times New Roman;serif"/>
          <w:b w:val="false"/>
          <w:color w:val="000000"/>
          <w:sz w:val="24"/>
        </w:rPr>
        <w:t xml:space="preserve">. To the extent applicable, this Agreement shall be interpreted in accordance with Section 409A of the U.S. Internal Revenue Code of 1986, as amended (the “Code”), and Department of Treasury regulations and other interpretive guidance issued thereunder, including without limitation any such regulations or other guidance that may be issued after the date hereof. For purposes of Section 409A of the Code, each of the payments that may be made hereunder is designated as a separate payment and, for the avoidance of doubt and without limiting the foregoing, the Employee’s right to receive installment payments pursuant to </w:t>
      </w:r>
      <w:r>
        <w:rPr>
          <w:rFonts w:ascii="Times New Roman;serif" w:hAnsi="Times New Roman;serif"/>
          <w:b w:val="false"/>
          <w:color w:val="000000"/>
          <w:sz w:val="24"/>
          <w:u w:val="single"/>
        </w:rPr>
        <w:t xml:space="preserve">Section </w:t>
      </w:r>
      <w:hyperlink w:anchor="i26591f0ebb9b484aafaffd446de3b28e_4">
        <w:r>
          <w:rPr>
            <w:rStyle w:val="InternetLink"/>
          </w:rPr>
          <w:t>6(c)</w:t>
        </w:r>
      </w:hyperlink>
      <w:r>
        <w:rPr>
          <w:color w:val="000000"/>
        </w:rPr>
        <w:t xml:space="preserve"> </w:t>
      </w:r>
      <w:r>
        <w:rPr>
          <w:rFonts w:ascii="Times New Roman;serif" w:hAnsi="Times New Roman;serif"/>
          <w:b w:val="false"/>
          <w:color w:val="000000"/>
          <w:sz w:val="24"/>
        </w:rPr>
        <w:t xml:space="preserve">shall be treated as a right to receive a series of separate and distinct payments. To the extent that any reimbursement of expenses or in-kind benefits constitutes “deferred compensation” under Section 409A of the Code, such reimbursement or benefit shall be provided no later than December 31 of the year following the year in which the expense was incurred. The reimbursements under this Agreement are not subject to liquidation or exchange for another benefit, and the amount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15975"/>
                <wp:effectExtent l="0" t="0" r="0" b="0"/>
                <wp:wrapNone/>
                <wp:docPr id="72" name="Frame7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of expenses reimbursed in one taxable year shall not affect the amount eligible for reimbursement in any other taxable year. Notwithstanding any provision of this Agreement to the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15975"/>
                <wp:effectExtent l="0" t="0" r="0" b="0"/>
                <wp:wrapNone/>
                <wp:docPr id="73" name="Frame7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4" w:after="283"/>
              <w:jc w:val="left"/>
              <w:rPr/>
            </w:pPr>
            <w:r>
              <w:rPr/>
            </w:r>
          </w:p>
        </w:tc>
      </w:tr>
    </w:tbl>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contrary, in the event that the Employer determines that any amounts payable hereunder will be immediately taxable to the Employee under Section 409A of the Code and related Department of Treasury guidance, the Employer reserves the right (without any obligation to do so or to indemnify the Employee for failure to do so) to (a) adopt such amendments to this Agreement and appropriate policies and procedures, including amendments and policies with retroactive effect, that the Employer determines necessary or appropriate to preserve the intended tax treatment of the benefits provided by this Agreement, to preserve the economic benefits of this Agreement and to avoid less favorable accounting or tax consequences for the Employer and/or (b) take such other actions as the Employer determine necessary or appropriate to exempt the amounts payable hereunder from Section 409A of the Code and related Department of Treasury guidance, or to comply with the requirements of Section 409A of the Code and related Department of Treasury guidance, including such Department of Treasury guidance and other interpretive materials as may be issued after the date hereof, and avoid the applicable of penalty taxes thereunder. No provision of this Agreement shall be interpreted or construed to transfer any liability for failure to comply with the requirements of Section 409A of the Code from the Employee or any other individual to the Employer or any of its Affiliates, employees or agents. To the extent any amounts under this Agreement are payable by reference to Employee’s “termination of employment,” such term and similar terms shall be deemed to refer to Employee’s “separation from service,” within the meaning of Section 409A of the Code. Notwithstanding any other provision in this Agreement, to the extent any payments hereunder constitute nonqualified deferred compensation, within the meaning of Section 409A of the Code, then if the Employee is a specified employee (within the meaning of Section 409A of the Code) as of the date of Employee’s separation from service, each such payment that is payable upon the Employee’s separation from service and would have been paid prior to the six-month anniversary of Employee’s separation from service, shall be delayed until the earlier to occur of (i) the first day of the seventh month following the Employee’s separation from service or (ii) the date of the Employee’s death.</w:t>
      </w:r>
    </w:p>
    <w:p>
      <w:pPr>
        <w:pStyle w:val="TextBody"/>
        <w:bidi w:val="0"/>
        <w:spacing w:lineRule="auto" w:line="288" w:before="247"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247"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15975"/>
                <wp:effectExtent l="0" t="0" r="0" b="0"/>
                <wp:wrapNone/>
                <wp:docPr id="74" name="Frame7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Employment Agreement as of the date first written above.</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before="197" w:after="283"/>
        <w:jc w:val="left"/>
        <w:rPr/>
      </w:pPr>
      <w:r>
        <w:rPr/>
      </w:r>
    </w:p>
    <w:p>
      <w:pPr>
        <w:pStyle w:val="TextBody"/>
        <w:bidi w:val="0"/>
        <w:spacing w:lineRule="auto" w:line="28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John Kao    </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Name: John Kao</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88" w:after="283"/>
        <w:jc w:val="left"/>
        <w:rPr/>
      </w:pPr>
      <w:r>
        <w:rPr/>
      </w:r>
    </w:p>
    <w:p>
      <w:pPr>
        <w:pStyle w:val="TextBody"/>
        <w:bidi w:val="0"/>
        <w:spacing w:lineRule="auto" w:line="288" w:before="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Shane Hochradel                </w:t>
      </w:r>
    </w:p>
    <w:p>
      <w:pPr>
        <w:pStyle w:val="TextBody"/>
        <w:bidi w:val="0"/>
        <w:spacing w:lineRule="auto" w:line="288" w:before="20" w:after="283"/>
        <w:jc w:val="left"/>
        <w:rPr>
          <w:rFonts w:ascii="Times New Roman;serif" w:hAnsi="Times New Roman;serif"/>
          <w:b w:val="false"/>
          <w:color w:val="000000"/>
          <w:sz w:val="24"/>
        </w:rPr>
      </w:pPr>
      <w:r>
        <w:rPr>
          <w:rFonts w:ascii="Times New Roman;serif" w:hAnsi="Times New Roman;serif"/>
          <w:b w:val="false"/>
          <w:color w:val="000000"/>
          <w:sz w:val="24"/>
        </w:rPr>
        <w:t>Shane Hochradel, individually</w:t>
      </w:r>
    </w:p>
    <w:p>
      <w:pPr>
        <w:pStyle w:val="TextBody"/>
        <w:bidi w:val="0"/>
        <w:spacing w:before="0" w:after="0"/>
        <w:jc w:val="left"/>
        <w:rPr/>
      </w:pPr>
      <w:r>
        <w:rPr/>
      </w:r>
    </w:p>
    <w:p>
      <w:pPr>
        <w:pStyle w:val="TextBody"/>
        <w:bidi w:val="0"/>
        <w:spacing w:before="242"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15975"/>
                <wp:effectExtent l="0" t="0" r="0" b="0"/>
                <wp:wrapNone/>
                <wp:docPr id="75" name="Frame7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 w:after="283"/>
        <w:jc w:val="left"/>
        <w:rPr/>
      </w:pPr>
      <w:r>
        <w:rPr/>
      </w:r>
    </w:p>
    <w:p>
      <w:pPr>
        <w:pStyle w:val="TextBody"/>
        <w:bidi w:val="0"/>
        <w:spacing w:lineRule="auto" w:line="280" w:before="0" w:after="0"/>
        <w:jc w:val="center"/>
        <w:rPr>
          <w:rFonts w:ascii="Times New Roman;serif" w:hAnsi="Times New Roman;serif"/>
          <w:b/>
          <w:color w:val="000000"/>
          <w:sz w:val="24"/>
        </w:rPr>
      </w:pPr>
      <w:r>
        <w:rPr>
          <w:rFonts w:ascii="Times New Roman;serif" w:hAnsi="Times New Roman;serif"/>
          <w:b/>
          <w:color w:val="000000"/>
          <w:sz w:val="24"/>
        </w:rPr>
        <w:t>EMPLOYMENT AGREEMENT BETWEEN</w:t>
      </w:r>
    </w:p>
    <w:p>
      <w:pPr>
        <w:pStyle w:val="TextBody"/>
        <w:bidi w:val="0"/>
        <w:spacing w:lineRule="auto" w:line="518" w:before="240" w:after="283"/>
        <w:jc w:val="center"/>
        <w:rPr>
          <w:rFonts w:ascii="Times New Roman;serif" w:hAnsi="Times New Roman;serif"/>
          <w:b/>
          <w:color w:val="000000"/>
          <w:sz w:val="24"/>
        </w:rPr>
      </w:pPr>
      <w:r>
        <w:rPr>
          <w:rFonts w:ascii="Times New Roman;serif" w:hAnsi="Times New Roman;serif"/>
          <w:b/>
          <w:color w:val="000000"/>
          <w:sz w:val="24"/>
        </w:rPr>
        <w:t>ALIGNMENT HEALTHCARE USA, LLC 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MARK KENT</w:t>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May 18, 2026</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4"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0" w:before="233" w:after="283"/>
        <w:ind w:left="0" w:right="0" w:firstLine="720"/>
        <w:jc w:val="both"/>
        <w:rPr/>
      </w:pPr>
      <w:r>
        <w:rPr>
          <w:rFonts w:ascii="Times New Roman;serif" w:hAnsi="Times New Roman;serif"/>
          <w:b w:val="false"/>
          <w:color w:val="000000"/>
          <w:sz w:val="24"/>
        </w:rPr>
        <w:t>THIS EMPLOYMENT AGREEMENT is made and entered into effective as of May 18,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Alignment Healthcare USA, LLC, a California corporation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and Mark Kent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lineRule="auto" w:line="280"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Employer desires to employ the Employee, and the Employee desires to accept such employment, on the terms and subject to the conditions hereinafter set forth.</w:t>
      </w:r>
    </w:p>
    <w:p>
      <w:pPr>
        <w:pStyle w:val="TextBody"/>
        <w:bidi w:val="0"/>
        <w:spacing w:lineRule="auto" w:line="280" w:before="234"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contained herein and other good and valuable consideration, the receipt and sufficiency of which are hereby acknowledged, the parties hereto agree as follows.</w:t>
      </w:r>
    </w:p>
    <w:p>
      <w:pPr>
        <w:pStyle w:val="TextBody"/>
        <w:bidi w:val="0"/>
        <w:spacing w:lineRule="auto" w:line="280" w:before="23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Generally, defined terms used in this Agreement are defined in the first instance in which they appear herein. In addition, the following terms and phrases have the following meanings: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when used with reference to a specified Person, (a) any Person who directly or indirectly controls, is controlled by or is under common control with the specified Person, (b) any Person who is an officer, director, partner, member, manager or trustee of, or serves in a similar capacity with respect to, the specified Person, or for which the specified Person is an officer, director, partner, member or manager or trustee or serves in a similar capacity, (c) any Person who, directly or indirectly, is the beneficial owner of 10% or more of any class of equity securities of the specified Person, or of which the specified Person, directly or indirectly, is the owner of 10% or more of any class of equity securities and (d) any member of such specified Person’s immediate family.</w:t>
      </w:r>
    </w:p>
    <w:p>
      <w:pPr>
        <w:pStyle w:val="TextBody"/>
        <w:bidi w:val="0"/>
        <w:spacing w:lineRule="auto" w:line="285" w:before="238" w:after="283"/>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Alignment Healthcare, Inc. or any other Person the Board has appointed or delegated authority.</w:t>
      </w:r>
    </w:p>
    <w:p>
      <w:pPr>
        <w:pStyle w:val="TextBody"/>
        <w:bidi w:val="0"/>
        <w:spacing w:lineRule="auto" w:line="288" w:before="224" w:after="283"/>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Employee’s:</w:t>
      </w:r>
    </w:p>
    <w:p>
      <w:pPr>
        <w:pStyle w:val="TextBody"/>
        <w:bidi w:val="0"/>
        <w:spacing w:lineRule="auto" w:line="276" w:before="245"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(i)failure to devote substantially all Employee’s working time to the business of the Employer and its Affiliates;</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(ii)failure to abide by the code of conduct or other policies (including, without limitation, policies relating to confidentiality and reasonable workplace conduct) of the Employer;</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(iii)violation or breach of the provisions, representations or covenants of Sections 10, 11, 15 or 16(a);</w:t>
      </w:r>
    </w:p>
    <w:p>
      <w:pPr>
        <w:pStyle w:val="TextBody"/>
        <w:bidi w:val="0"/>
        <w:spacing w:lineRule="auto" w:line="276" w:before="245"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(iv)theft, dishonesty, willful or gross misconduct, breach of fiduciary duty, falsification of any Employer documents or records, or misrepresentation(s) to the Employer;</w:t>
      </w:r>
    </w:p>
    <w:p>
      <w:pPr>
        <w:pStyle w:val="TextBody"/>
        <w:bidi w:val="0"/>
        <w:spacing w:lineRule="auto" w:line="288" w:before="244"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(v)Employee’s unauthorized use, misappropriation, destruction or diversion of any tangible or intangible asset or corporate opportunity of the Employer or its Affiliates (including, without limitation, Employee’s improper use or disclosure of the Employer’s or any Affiliates’ confidential or proprietary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2"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(vi)any act by Employee which has a material detrimental effect on the Employer’s reputation or business;</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(vii)Employee’s failure or inability (other than due to Employee’s Disability) to perform any reasonable and lawful assigned duties consistent with Employee’s position ;</w:t>
      </w:r>
    </w:p>
    <w:p>
      <w:pPr>
        <w:pStyle w:val="TextBody"/>
        <w:bidi w:val="0"/>
        <w:spacing w:lineRule="auto" w:line="276"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(viii)material breach by Employee of this Agreement or its exhibits or any other agreement between Employee and the Employer;</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(ix)commission of any act of fraud, theft or financial dishonesty, or any felony or criminal act involving moral turpitude;</w:t>
      </w:r>
    </w:p>
    <w:p>
      <w:pPr>
        <w:pStyle w:val="TextBody"/>
        <w:bidi w:val="0"/>
        <w:spacing w:lineRule="auto" w:line="288" w:before="241" w:after="283"/>
        <w:ind w:left="0" w:right="0" w:hanging="989"/>
        <w:jc w:val="left"/>
        <w:rPr>
          <w:rFonts w:ascii="Times New Roman;serif" w:hAnsi="Times New Roman;serif"/>
          <w:b w:val="false"/>
          <w:color w:val="000000"/>
          <w:sz w:val="24"/>
        </w:rPr>
      </w:pPr>
      <w:r>
        <w:rPr>
          <w:rFonts w:ascii="Times New Roman;serif" w:hAnsi="Times New Roman;serif"/>
          <w:b w:val="false"/>
          <w:color w:val="000000"/>
          <w:sz w:val="24"/>
        </w:rPr>
        <w:t>(x)engaging in any discriminatory or sexually harassing behavior ; or</w:t>
      </w:r>
    </w:p>
    <w:p>
      <w:pPr>
        <w:pStyle w:val="TextBody"/>
        <w:bidi w:val="0"/>
        <w:spacing w:lineRule="auto" w:line="288" w:before="237"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(xi)unlawful use (including being under the influence) of alcohol or drugs or possession of illegal drugs while on the premises of the Employer or any of its Affiliates or while performing duties and responsibilities to the Employer and its Affiliates.</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Solely to the extent that the Board determines in its sole discretion that the Cause conduct is curable, Employee shall have five (5) business days after receipt of written notice (in accordance with Section 26 hereof and stating in reasonable detail the facts or circumstances giving rise to Cause) that the Employer believes it has grounds to terminate Employee’s employment for Cause to entirely cure the Cause conduct under subsections (i) through (viii) above and its consequences to the satisfaction of the Board and thereby avoid termination of Employee’s employment for Cause if so determined by the Board in its sole discretion.</w:t>
      </w:r>
    </w:p>
    <w:p>
      <w:pPr>
        <w:pStyle w:val="TextBody"/>
        <w:bidi w:val="0"/>
        <w:spacing w:lineRule="auto" w:line="288" w:before="239"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any time period when the Employer believes that (or is in the process of investigating whether) Employee may have committed an act of Cause (or has committed an act which could result in constituting Cause under any of the above subsections), the Employer may in its discretion place Employee on a leave of absence and/or preclude Employee from utilizing Employer or Affiliate resources or having access to Employer premises. If after Employee’s termination of employment for any reason other than Cause, the Employer discovers that Employee’s employment could have been terminated for Cause, then the Employer may in its discretion recharacterize such termination as a termination for Cause .Employer will give written notice of such recharacterization in accordance with Section 26 hereof.</w:t>
      </w:r>
    </w:p>
    <w:p>
      <w:pPr>
        <w:pStyle w:val="TextBody"/>
        <w:bidi w:val="0"/>
        <w:spacing w:lineRule="auto" w:line="288" w:before="243" w:after="283"/>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proprietary and other information relating to the business and operations of the Employer and its Affiliates, which has not been specifically designated for release to the public by an authorized representative of the Employer or one of its Affiliates, including, but not limited to the following: (i) information, observations, procedures and data concerning the business or affairs of the Employer or any of its Affiliates; (ii) products or services; (iii) costs and pricing structures; (iv) analyses; (v) drawings, photographs and reports;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 computer software, including operating systems, applications and program listings; (vii) flow charts, manuals and documentation; (viii) data bases; (ix) accounting and business methods; (x) inventions, devices, new developments, methods and processes, whether patentable or unpatentable and whether or not reduced to practice; (xi) customers, vendors, suppliers and customer, vendor and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15975"/>
                <wp:effectExtent l="0" t="0" r="0" b="0"/>
                <wp:wrapNone/>
                <wp:docPr id="78" name="Frame7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supplier lists; (xii) business goals, plans, techniques and strategies; (xiii) other copyrightable works; (xiv) all production methods, processes, technology and trade secrets;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15975"/>
                <wp:effectExtent l="0" t="0" r="0" b="0"/>
                <wp:wrapNone/>
                <wp:docPr id="79" name="Frame7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and (xv) all similar and related information in whatever form. Confidential Information also includes any information that the Employer or any of its Affiliates have received, or may receive hereafter, belonging to customers or other third parties with any understanding, express or implied, that the information would not be disclosed. Confidential Information will not include any information that is or becomes generally available to the public (through no wrongful act of the Employee), is rightfully received from a third party without duty of confidentiality, is independently developed by Employee without use of Employer’s Confidential Information, or is approved for release by Employer in writing. Confidential Information will not be deemed to have been published merely because individual portions of the information have been separately published, but only if all material features comprising such information have been published in combination.</w:t>
      </w:r>
    </w:p>
    <w:p>
      <w:pPr>
        <w:pStyle w:val="TextBody"/>
        <w:bidi w:val="0"/>
        <w:spacing w:lineRule="auto" w:line="288" w:before="238" w:after="283"/>
        <w:ind w:left="0" w:right="0" w:firstLine="144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Employee’s inability, due to physical or mental illness or disability, to perform the essential functions of Employee’s employment with the Employer, even with reasonable accommodation that does not impose an undue hardship on the Employer, for more than 60 consecutive days, or for any 90 days within any one year period, unless a longer period is required by federal or state law, in which case such longer period will be applicable. The Employer reserves the right, in good faith, to make the determination of Disability under this Agreement based on information supplied by the Employee and/or Employee’s medical personnel, as well as information from medical personnel selected by the Employer or its insurers.</w:t>
      </w:r>
    </w:p>
    <w:p>
      <w:pPr>
        <w:pStyle w:val="TextBody"/>
        <w:bidi w:val="0"/>
        <w:spacing w:lineRule="auto" w:line="280" w:before="241" w:after="283"/>
        <w:ind w:left="0" w:right="0" w:firstLine="1440"/>
        <w:jc w:val="both"/>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has the meaning set forth in the preamble;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 xml:space="preserve">Sections </w:t>
      </w:r>
      <w:hyperlink w:anchor="iafb815dcef1c483c9d39ec7e285ef589_4">
        <w:r>
          <w:rPr>
            <w:rStyle w:val="InternetLink"/>
          </w:rPr>
          <w:t>8</w:t>
        </w:r>
      </w:hyperlink>
      <w:r>
        <w:rPr>
          <w:rFonts w:ascii="Times New Roman;serif" w:hAnsi="Times New Roman;serif"/>
          <w:b w:val="false"/>
          <w:color w:val="000000"/>
          <w:sz w:val="24"/>
          <w:u w:val="single"/>
        </w:rPr>
        <w:t xml:space="preserve"> through </w:t>
      </w:r>
      <w:hyperlink w:anchor="iafb815dcef1c483c9d39ec7e285ef589_4">
        <w:r>
          <w:rPr>
            <w:rStyle w:val="InternetLink"/>
          </w:rPr>
          <w:t>15</w:t>
        </w:r>
      </w:hyperlink>
      <w:r>
        <w:rPr>
          <w:rFonts w:ascii="Times New Roman;serif" w:hAnsi="Times New Roman;serif"/>
          <w:b w:val="false"/>
          <w:color w:val="000000"/>
          <w:sz w:val="24"/>
        </w:rPr>
        <w:t>, “Employer” includes Alignment Healthcare, Inc. and all of its Subsidiaries and Affiliates.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exist if, without Employee’s written or oral consent, Employer materially breaches a financial obligation of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Good Reason shall not exist so long as Employee maintains an equivalent salary or title possessed at Employer or any affiliate immediately before any claim of Good Reason, or a higher salary or title at Employer or any affiliate; and provided further that, Good Reason shall not exist if Cause exists . Employee may terminate employment hereunder for Good Reason within sixty (60) days following the occurrence of any condition constituting Good Reason, provided however that Employee has first provided written notice to Employer specifying in reasonable detail and satisfactory to Employer the condition giving rise to Good Reason, Employee has provided Employer with a period of sixty (60) days to remedy the condition (and the notice so specifies), and Employer has failed to remedy the condition within this sixty (60) day period.</w:t>
      </w:r>
    </w:p>
    <w:p>
      <w:pPr>
        <w:pStyle w:val="TextBody"/>
        <w:bidi w:val="0"/>
        <w:spacing w:lineRule="auto" w:line="280" w:before="239" w:after="283"/>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be construed broadly and shall include, without limitation, an individual, a partnership, an investment fund, a limited liability company, a corporation, an association, a joint stock company, a trust, a joint venture, an unincorporated organization and a governmental entity or any department, agency or political subdivision thereof.</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 xml:space="preserve">of any Person means any corporation, partnership, joint venture or other legal entity of which such Person (either alone or through or together with any other Person), owns, directly or indirectly, 50% or more of the stock or other equity interests which are generally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15975"/>
                <wp:effectExtent l="0" t="0" r="0" b="0"/>
                <wp:wrapNone/>
                <wp:docPr id="80" name="Frame8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entitled to vote for the election of the board of directors or other governing body of such corporation or other legal entity.</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15975"/>
                <wp:effectExtent l="0" t="0" r="0" b="0"/>
                <wp:wrapNone/>
                <wp:docPr id="81" name="Frame8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ind w:left="0" w:right="0" w:firstLine="144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means the effective date of the termination of the Employee’s employment hereunder, which (i) in the case of termination due to resignation by the Employee without Good Reason, shall mean the date that is 90 days following the date of the Employee’s written notice to the Employer of Employee’s resignation, or in the case of resignation by the Employee with Good Reason, shall mean the date on which the sixty (60)-day period for Employer to remedy the applicable condition giving rise to Good Reason has lapsed, provided, however, that in each case the Employer may accelerate the Termination Date; provided that such acceleration shall not, by itself, negate Employee’s Good Reason or eligibility for severance or other applicable benefits;(ii) in the case of termination by reason of the Employee’s death, shall mean the date of death; (iii) in the case of termination by reason of Disability, shall mean the date specified in the notice of such termination delivered to the Employee by the Employer; (iv) in the case of a termination by the Employer for Cause or without Cause, shall mean the date specified in the written notice of such termination delivered to the Employee by the Employer, except to the extent set forth in this Agreement; (iv) in the case of termination by mutual agreement, shall mean the date mutually agreed to by the parties hereto; or (v) in the case of termination due to either party’s delivery to the other party of a Notice of Nonrenewal pursuant to </w:t>
      </w:r>
      <w:r>
        <w:rPr>
          <w:rFonts w:ascii="Times New Roman;serif" w:hAnsi="Times New Roman;serif"/>
          <w:b w:val="false"/>
          <w:color w:val="000000"/>
          <w:sz w:val="24"/>
          <w:u w:val="single"/>
        </w:rPr>
        <w:t xml:space="preserve">Section </w:t>
      </w:r>
      <w:hyperlink w:anchor="iafb815dcef1c483c9d39ec7e285ef589_4">
        <w:r>
          <w:rPr>
            <w:rStyle w:val="InternetLink"/>
            <w:rFonts w:ascii="Times New Roman;serif" w:hAnsi="Times New Roman;serif"/>
            <w:b w:val="false"/>
            <w:strike w:val="false"/>
            <w:dstrike w:val="false"/>
            <w:color w:val="000000"/>
            <w:sz w:val="24"/>
            <w:u w:val="none"/>
            <w:effect w:val="none"/>
          </w:rPr>
          <w:t>2</w:t>
        </w:r>
      </w:hyperlink>
      <w:r>
        <w:rPr>
          <w:rFonts w:ascii="Times New Roman;serif" w:hAnsi="Times New Roman;serif"/>
          <w:b w:val="false"/>
          <w:color w:val="000000"/>
          <w:sz w:val="24"/>
        </w:rPr>
        <w:t>, shall mean the next scheduled Renewal Date to which the Notice of Nonrenewal relates.</w:t>
      </w:r>
    </w:p>
    <w:p>
      <w:pPr>
        <w:pStyle w:val="TextBody"/>
        <w:bidi w:val="0"/>
        <w:spacing w:lineRule="auto" w:line="288" w:before="239"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Employment</w:t>
      </w:r>
      <w:r>
        <w:rPr>
          <w:rFonts w:ascii="Times New Roman;serif" w:hAnsi="Times New Roman;serif"/>
          <w:b w:val="false"/>
          <w:color w:val="000000"/>
          <w:sz w:val="24"/>
        </w:rPr>
        <w:t>. The Employer shall employ the Employee, and the Employee accepts employment with the Employer, upon the terms and conditions set forth in this Agreement. The initial term of this Agreement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xml:space="preserve">) shall commence on the Effective Date and end on the first annual anniversary of the Effective Date; </w:t>
      </w:r>
      <w:r>
        <w:rPr>
          <w:rFonts w:ascii="Times New Roman;serif" w:hAnsi="Times New Roman;serif"/>
          <w:b w:val="false"/>
          <w:i/>
          <w:color w:val="000000"/>
          <w:sz w:val="24"/>
        </w:rPr>
        <w:t>provided, however</w:t>
      </w:r>
      <w:r>
        <w:rPr>
          <w:rFonts w:ascii="Times New Roman;serif" w:hAnsi="Times New Roman;serif"/>
          <w:b w:val="false"/>
          <w:color w:val="000000"/>
          <w:sz w:val="24"/>
        </w:rPr>
        <w:t>, that on the first annual anniversary of the Effective Date and each annual anniversary thereafter (each, a “</w:t>
      </w:r>
      <w:r>
        <w:rPr>
          <w:rFonts w:ascii="Times New Roman;serif" w:hAnsi="Times New Roman;serif"/>
          <w:b w:val="false"/>
          <w:color w:val="000000"/>
          <w:sz w:val="24"/>
          <w:u w:val="single"/>
        </w:rPr>
        <w:t>Renewal Date</w:t>
      </w:r>
      <w:r>
        <w:rPr>
          <w:color w:val="000000"/>
        </w:rPr>
        <w:t>”</w:t>
      </w:r>
      <w:r>
        <w:rPr>
          <w:rFonts w:ascii="Times New Roman;serif" w:hAnsi="Times New Roman;serif"/>
          <w:b w:val="false"/>
          <w:color w:val="000000"/>
          <w:sz w:val="24"/>
        </w:rPr>
        <w:t>), the term of this Agreement shall be extended by one additional year (each, an “</w:t>
      </w:r>
      <w:r>
        <w:rPr>
          <w:rFonts w:ascii="Times New Roman;serif" w:hAnsi="Times New Roman;serif"/>
          <w:b w:val="false"/>
          <w:color w:val="000000"/>
          <w:sz w:val="24"/>
          <w:u w:val="single"/>
        </w:rPr>
        <w:t>Extension Term,</w:t>
      </w:r>
      <w:r>
        <w:rPr>
          <w:color w:val="000000"/>
        </w:rPr>
        <w:t xml:space="preserve">” </w:t>
      </w:r>
      <w:r>
        <w:rPr>
          <w:rFonts w:ascii="Times New Roman;serif" w:hAnsi="Times New Roman;serif"/>
          <w:b w:val="false"/>
          <w:color w:val="000000"/>
          <w:sz w:val="24"/>
        </w:rPr>
        <w:t>and collectively with the Initial Term, the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 unless either party gives written notice to the other within 90 days in advance of the next scheduled Renewal Date that it does not wish to extend the Employment Period (such notice, a “</w:t>
      </w:r>
      <w:r>
        <w:rPr>
          <w:rFonts w:ascii="Times New Roman;serif" w:hAnsi="Times New Roman;serif"/>
          <w:b w:val="false"/>
          <w:color w:val="000000"/>
          <w:sz w:val="24"/>
          <w:u w:val="single"/>
        </w:rPr>
        <w:t>Notice of Nonrenewal</w:t>
      </w:r>
      <w:r>
        <w:rPr>
          <w:color w:val="000000"/>
        </w:rPr>
        <w:t>”</w:t>
      </w:r>
      <w:r>
        <w:rPr>
          <w:rFonts w:ascii="Times New Roman;serif" w:hAnsi="Times New Roman;serif"/>
          <w:b w:val="false"/>
          <w:color w:val="000000"/>
          <w:sz w:val="24"/>
        </w:rPr>
        <w:t xml:space="preserve">);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Employment Period may be sooner terminated as provided herein.</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During the Employment Period, the Employee shall be employed by Employer on a full-time basis with the title determined exclusively by the Employer, initially as President - MSO, reporting to the Chief Executive Officer of Employer, or his or her designee as determined in the sole and absolute discretion of the Chief Executive Officer of Employer. Subject to the power and discretion of the Chief Executive Officer of Employer or the Board to modify such duties, position, title, reporting structure, and/or situs of employment, Employee shall have the usual and customary duties, responsibilities, and authority of such position as reasonably may be assigned to Employee by Employer from time to time and perform such other duties and responsibilities on behalf of Employer as reasonably may be directed by the Employer, including, if elected or appointed thereto, serving as an officer and/or member of the board or any Subsidiary or Affiliate of the Employer as reasonably requested by the Employer and its Affiliates, in each case, without additional compensation hereunder. The Employee hereby accepts such employment and positions and agrees to diligently and conscientiously devote Employee’s full and exclusive business time, attention, and best efforts in discharging and fulfilling Employee’s duties and responsibilities hereunder. The Employee shall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15975"/>
                <wp:effectExtent l="0" t="0" r="0" b="0"/>
                <wp:wrapNone/>
                <wp:docPr id="82" name="Frame8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comply with the Employer’s policies and procedures and the direction and instruction of the Board and the Employee shall not engage in any business activity which, in the reasonable judgment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15975"/>
                <wp:effectExtent l="0" t="0" r="0" b="0"/>
                <wp:wrapNone/>
                <wp:docPr id="83" name="Frame8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conflicts with the duties of the Employee hereunder, whether or not such activity is pursued for gain, profit or other pecuniary advantage.</w:t>
      </w:r>
    </w:p>
    <w:p>
      <w:pPr>
        <w:pStyle w:val="TextBody"/>
        <w:bidi w:val="0"/>
        <w:spacing w:lineRule="auto" w:line="288" w:before="239" w:after="283"/>
        <w:ind w:left="0" w:right="0" w:hanging="719"/>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0" w:before="233"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During the Employment Period, the Employer shall pay the Employee base salary at the rate of $650,000 per annum (as may be increased from time to time at the discretion of the Employer,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less applicable deductions and withholdings.</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 Bonus</w:t>
      </w:r>
      <w:r>
        <w:rPr>
          <w:rFonts w:ascii="Times New Roman;serif" w:hAnsi="Times New Roman;serif"/>
          <w:b w:val="false"/>
          <w:color w:val="000000"/>
          <w:sz w:val="24"/>
        </w:rPr>
        <w:t>. In addition to the Base Salary, during the Employment Period, the Employee shall be eligible to receive a cash bonus (the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 with respect to each calendar year. The amount of the Bonus, if any, payable in respect of any calendar year will be determined based on the achievement of the Employer’s performance metrics, achievement of performance goals established for the Employee, or a combination of the foregoing. The target Bonus amount (the “Target Bonus Percentage”) and the maximum Bonus amount (the “Maximum Bonus Percentage”) in respect of each calendar year will equal at least 85% and up to 170%, respectively, of the Base Salary payable to the Employee for such year, subject to increase but not decrease during the Employment Period, The Bonus in respect to any calendar year shall be prorated for partial years. A Bonus will not be paid for the calendar year in which the Employee initiates employment with the Employer if the Employee’s start date occurs on or after October 1. Employee understands that the Bonus is payable under the terms of the Employer’s annual incentive plan, the terms of which are subject to approval annually by the Board. Among other things, the Board may determine that a portion of the Bonus shall be withheld and not paid on the initial Bonus payment date and that all or some portion of such withheld amount shall paid out on a later date, subject to the achievement of certain corporate, departmental or individual performance goals. As a condition to receiving the Bonus, the Employee must be an employee of Employer in good standing as of the applicable Bonus payment date.</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Initial Equity Grant</w:t>
      </w:r>
      <w:r>
        <w:rPr>
          <w:rFonts w:ascii="Times New Roman;serif" w:hAnsi="Times New Roman;serif"/>
          <w:b w:val="false"/>
          <w:color w:val="000000"/>
          <w:sz w:val="24"/>
        </w:rPr>
        <w:t>. The Employee will also be eligible to receive on the Grant Date (defined below) (i) a number of restricted stock units of Alignment Healthcare,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equal to One Million Two Hundred Fifty Thousand Dollars ($1,250,000) divided by the closing per share price of Parent’s common stock on the Nasdaq Stock Market on the Grant Date (the “</w:t>
      </w:r>
      <w:r>
        <w:rPr>
          <w:rFonts w:ascii="Times New Roman;serif" w:hAnsi="Times New Roman;serif"/>
          <w:b w:val="false"/>
          <w:color w:val="000000"/>
          <w:sz w:val="24"/>
          <w:u w:val="single"/>
        </w:rPr>
        <w:t>RSU Grant</w:t>
      </w:r>
      <w:r>
        <w:rPr>
          <w:color w:val="000000"/>
        </w:rPr>
        <w:t>”</w:t>
      </w:r>
      <w:r>
        <w:rPr>
          <w:rFonts w:ascii="Times New Roman;serif" w:hAnsi="Times New Roman;serif"/>
          <w:b w:val="false"/>
          <w:color w:val="000000"/>
          <w:sz w:val="24"/>
        </w:rPr>
        <w:t>) and (ii) a number of performance share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of Parent equal to One Million Two Hundred Fifty Thousand Dollars ($1,250,000) divided by the closing per share price of Parent’s common stock on the Nasdaq Stock Market on the Grant Date (the “</w:t>
      </w:r>
      <w:r>
        <w:rPr>
          <w:rFonts w:ascii="Times New Roman;serif" w:hAnsi="Times New Roman;serif"/>
          <w:b w:val="false"/>
          <w:color w:val="000000"/>
          <w:sz w:val="24"/>
          <w:u w:val="single"/>
        </w:rPr>
        <w:t>PSU Grant</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Grant Date</w:t>
      </w:r>
      <w:r>
        <w:rPr>
          <w:color w:val="000000"/>
        </w:rPr>
        <w:t xml:space="preserve">” </w:t>
      </w:r>
      <w:r>
        <w:rPr>
          <w:rFonts w:ascii="Times New Roman;serif" w:hAnsi="Times New Roman;serif"/>
          <w:b w:val="false"/>
          <w:color w:val="000000"/>
          <w:sz w:val="24"/>
        </w:rPr>
        <w:t>for the foregoing awards will be the first Wednesday of the calendar month following the Employee’s start date (or on the next trading day thereafter if Parent’s stock does not trade on the Nasdaq Stock Market on such date). The RSU Grant will vest in approximately equal installments of thirty-three and one third percent (33</w:t>
      </w:r>
      <w:r>
        <w:rPr>
          <w:rFonts w:ascii="Times New Roman;serif" w:hAnsi="Times New Roman;serif"/>
          <w:b w:val="false"/>
          <w:color w:val="000000"/>
          <w:sz w:val="16"/>
        </w:rPr>
        <w:t>1/3</w:t>
      </w:r>
      <w:r>
        <w:rPr>
          <w:rFonts w:ascii="Times New Roman;serif" w:hAnsi="Times New Roman;serif"/>
          <w:b w:val="false"/>
          <w:color w:val="000000"/>
          <w:sz w:val="24"/>
        </w:rPr>
        <w:t xml:space="preserve">%) on each of March 13, 2027, 2028 and 2029. The PSU Grant will have the same performance metrics as the performance awards granted to other senior executives in March 2026 (which metrics are summarized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attached hereto but will be more specifically set out in a form of award agreement to be provided by the Company); provided, however, that notwithstanding the date of certification of achievement of the performance metrics by the Board, the vesting date for the PSU Grant will be March 13, 2029. The foregoing equity awards shall be subject to approval by the Board (or a committee thereof) and shall be further subject to the terms of the Equity Plan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15975"/>
                <wp:effectExtent l="0" t="0" r="0" b="0"/>
                <wp:wrapNone/>
                <wp:docPr id="84" name="Frame8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and the terms of the applicable award agreement; provided such awards shall provide that if Employee is terminated without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15975"/>
                <wp:effectExtent l="0" t="0" r="0" b="0"/>
                <wp:wrapNone/>
                <wp:docPr id="85" name="Frame8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Cause, resigns for Good Reason, dies, or becomes Disabled, then (i) any unvested RSUs shall vest pro rata based on service through the Termination Date and (ii) any unvested PSUs which shall have been granted more than eighteen (18) months prior to the Termination Date shall remain outstanding and eligible to vest pro rata based on actual performance, in each case subject to the Release.</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Annual Equity Grant</w:t>
      </w:r>
      <w:r>
        <w:rPr>
          <w:rFonts w:ascii="Times New Roman;serif" w:hAnsi="Times New Roman;serif"/>
          <w:b w:val="false"/>
          <w:color w:val="000000"/>
          <w:sz w:val="24"/>
        </w:rPr>
        <w:t>. The Employee shall be eligible to receive an annual equity grant (the “Annual Equity Grant”) with an initial target value of Two Million Five Hundred Thousand Dollars ($2,500,000), subject to review and approval by the Board or a committee thereof, at the same time or times as other senior management and consistent in form with those applicable to such senior management; The specific form, terms, and conditions of the Annual Equity Grant, including but not limited to the type of equity (e.g., stock options, restricted stock units, performance share units or other equity instruments), the vesting schedule, and any performance criteria, shall be consistent with annual equity grants awarded to other members of senior management and as determined at the sole discretion of the Board and shall be granted in accordance with the Equity Plan and any other policies or guidelines established by the Board. The target value of the Annual Equity Grant shall be reviewed annually by the Board and may be adjusted, at the Board’s discretion, based on the Employee’s performance, the Company’s performance, and other factors deemed relevant by the Board. The Employee acknowledges and agrees that the target value of the Annual Equity Grant does not constitute a guarantee of any specific grant amount or value, and that the final determination of the Annual Equity Grant shall be subject to the Board’s approval.</w:t>
      </w:r>
    </w:p>
    <w:p>
      <w:pPr>
        <w:pStyle w:val="TextBody"/>
        <w:bidi w:val="0"/>
        <w:spacing w:lineRule="auto" w:line="288" w:before="242"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During the Employment Period, the Employee and his eligible dependents and beneficiaries will be eligible to participate in the Employer’s retirement, health and welfare benefits plans, which shall be subject to the Employer’s policies and practices and the terms of the applicable benefit plans and arrangements as in effect from time to time. The Employee shall accrue paid time off at the rate of five (5) weeks per twelve (12) months of employment, and upon termination for any reason, accrued but unused paid time off shall be paid out to the extent permitted by applicable law and Employer policy applied consistently to senior executives.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Reimbursements</w:t>
      </w:r>
      <w:r>
        <w:rPr>
          <w:rFonts w:ascii="Times New Roman;serif" w:hAnsi="Times New Roman;serif"/>
          <w:b w:val="false"/>
          <w:color w:val="000000"/>
          <w:sz w:val="24"/>
        </w:rPr>
        <w:t>. The Employer shall reimburse the Employee for all reasonable and necessary business-related expenses incurred by Employee in the course of performing Employee’s duties under this Agreement which are consistent with the Employer’s policies in effect from time to time with respect to travel, entertainment and other business expenses, subject to the Employer’s requirements with respect to reporting and documentation of such expenses, and any such reimbursement shall be made within 30 days of submission of appropriate documentation.</w:t>
      </w:r>
    </w:p>
    <w:p>
      <w:pPr>
        <w:pStyle w:val="TextBody"/>
        <w:bidi w:val="0"/>
        <w:spacing w:lineRule="auto" w:line="280" w:before="244"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Deductions and Withholding</w:t>
      </w:r>
      <w:r>
        <w:rPr>
          <w:rFonts w:ascii="Times New Roman;serif" w:hAnsi="Times New Roman;serif"/>
          <w:b w:val="false"/>
          <w:color w:val="000000"/>
          <w:sz w:val="24"/>
        </w:rPr>
        <w:t>. The Employer shall deduct from any payments to be made by it to or on behalf of the Employee under this Agreement any amounts required to be withheld in respect of any federal, state or local income or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15975"/>
                <wp:effectExtent l="0" t="0" r="0" b="0"/>
                <wp:wrapNone/>
                <wp:docPr id="86" name="Frame8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Annual Review of Base Salary and Bonus Percentages</w:t>
      </w:r>
      <w:r>
        <w:rPr>
          <w:rFonts w:ascii="Times New Roman;serif" w:hAnsi="Times New Roman;serif"/>
          <w:b w:val="false"/>
          <w:color w:val="000000"/>
          <w:sz w:val="24"/>
        </w:rPr>
        <w:t>. The Board (or the Compensation Committee of the Board) shall undertake a review of rate of Base Salary and the Target Bonus Percentage and Maximum Bonus Percentage (the “Bonus Percentages”) not less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15975"/>
                <wp:effectExtent l="0" t="0" r="0" b="0"/>
                <wp:wrapNone/>
                <wp:docPr id="87" name="Frame8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frequently than annually during the Employment Period and may increase, but not decrease, the rate of Base Salary and the Bonus Percentages from those then in effect.</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Review of Executive Employment Agreements</w:t>
      </w:r>
      <w:r>
        <w:rPr>
          <w:rFonts w:ascii="Times New Roman;serif" w:hAnsi="Times New Roman;serif"/>
          <w:b w:val="false"/>
          <w:color w:val="000000"/>
          <w:sz w:val="24"/>
        </w:rPr>
        <w:t>. In the event the Compensation Committee of the Board shall (i) undertake a general review of executive employment agreements and (ii) provide for amendments to such agreements, this Agreement shall also be amended by the Employer in a manner consistent with such amendments.</w:t>
      </w:r>
    </w:p>
    <w:p>
      <w:pPr>
        <w:pStyle w:val="TextBody"/>
        <w:bidi w:val="0"/>
        <w:spacing w:lineRule="auto" w:line="280" w:before="241" w:after="283"/>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The Employee’s employment under this Agreement shall be terminated upon the earliest to occur of the following events: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The Employer may in its sole discretion terminate this Agreement and the Employee’s employment hereunder for Cause at any time and with or without advance notice to the Employee. Written notice (in accordance with Section 26 hereof) shall be provided to Employee within 30 calendar days after the Termination Date, and shall state in reasonable detail the facts or circumstances giving rise to Cause.</w:t>
      </w:r>
    </w:p>
    <w:p>
      <w:pPr>
        <w:pStyle w:val="TextBody"/>
        <w:bidi w:val="0"/>
        <w:spacing w:lineRule="auto" w:line="280" w:before="238"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Employer may terminate this Agreement and the Employee’s employment hereunder without Cause at any time, with or without notice , for any reason or no reason (and no reason need be given).</w:t>
      </w:r>
    </w:p>
    <w:p>
      <w:pPr>
        <w:pStyle w:val="TextBody"/>
        <w:bidi w:val="0"/>
        <w:spacing w:lineRule="auto" w:line="280" w:before="23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Mutual Agreement</w:t>
      </w:r>
      <w:r>
        <w:rPr>
          <w:rFonts w:ascii="Times New Roman;serif" w:hAnsi="Times New Roman;serif"/>
          <w:b w:val="false"/>
          <w:color w:val="000000"/>
          <w:sz w:val="24"/>
        </w:rPr>
        <w:t>. This Agreement and the Employee’s employment hereunder may be terminated by the mutual written agreement of the Employer and the Employee.</w:t>
      </w:r>
    </w:p>
    <w:p>
      <w:pPr>
        <w:pStyle w:val="TextBody"/>
        <w:bidi w:val="0"/>
        <w:spacing w:lineRule="auto" w:line="280" w:before="235"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by Death or Disability</w:t>
      </w:r>
      <w:r>
        <w:rPr>
          <w:rFonts w:ascii="Times New Roman;serif" w:hAnsi="Times New Roman;serif"/>
          <w:b w:val="false"/>
          <w:color w:val="000000"/>
          <w:sz w:val="24"/>
        </w:rPr>
        <w:t>. This Agreement and the Employee’s employment hereunder shall automatically terminate upon the Employee’s death or Disability.</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Resignation</w:t>
      </w:r>
      <w:r>
        <w:rPr>
          <w:rFonts w:ascii="Times New Roman;serif" w:hAnsi="Times New Roman;serif"/>
          <w:b w:val="false"/>
          <w:color w:val="000000"/>
          <w:sz w:val="24"/>
        </w:rPr>
        <w:t>. The Employee may terminate this Agreement and Employee’s employment hereunder without Good Reason upon 90 days advance written notice to the Employer. In addition, the Employee may terminate this Agreement and Employee’s employment hereunder with Good Reason as set forth in this Agreement.</w:t>
      </w:r>
    </w:p>
    <w:p>
      <w:pPr>
        <w:pStyle w:val="TextBody"/>
        <w:bidi w:val="0"/>
        <w:spacing w:lineRule="auto" w:line="28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Nonrenewal</w:t>
      </w:r>
      <w:r>
        <w:rPr>
          <w:rFonts w:ascii="Times New Roman;serif" w:hAnsi="Times New Roman;serif"/>
          <w:b w:val="false"/>
          <w:color w:val="000000"/>
          <w:sz w:val="24"/>
        </w:rPr>
        <w:t>. If either party delivers to the other a Notice of Nonrenewal, the Agreement and the Employee’s employment hereunder shall automatically terminate as of the next scheduled Renewal Date to which the Notice of Nonrenewal relates.</w:t>
      </w:r>
    </w:p>
    <w:p>
      <w:pPr>
        <w:pStyle w:val="TextBody"/>
        <w:bidi w:val="0"/>
        <w:spacing w:lineRule="auto" w:line="288" w:before="235" w:after="283"/>
        <w:ind w:left="0" w:right="0" w:hanging="719"/>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80" w:before="238"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of the Employee’s termination of employment for any reason, the Employee or Employee’s estate or beneficiaries shall have the right to receive the following:</w:t>
      </w:r>
    </w:p>
    <w:p>
      <w:pPr>
        <w:pStyle w:val="TextBody"/>
        <w:bidi w:val="0"/>
        <w:spacing w:lineRule="auto" w:line="285" w:before="229"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(i)the unpaid portion of the Base Salary and paid time off accrued, but unused, and payable through the Termination Date;</w:t>
      </w:r>
    </w:p>
    <w:p>
      <w:pPr>
        <w:pStyle w:val="TextBody"/>
        <w:bidi w:val="0"/>
        <w:spacing w:lineRule="auto" w:line="285" w:before="238" w:after="283"/>
        <w:ind w:left="0" w:right="0" w:firstLine="1440"/>
        <w:jc w:val="left"/>
        <w:rPr/>
      </w:pPr>
      <w:r>
        <w:rPr>
          <w:rFonts w:ascii="Times New Roman;serif" w:hAnsi="Times New Roman;serif"/>
          <w:b w:val="false"/>
          <w:color w:val="000000"/>
          <w:sz w:val="24"/>
        </w:rPr>
        <w:t xml:space="preserve">reimbursement for any expenses for which the Employee shall not have been previously reimbursed, as provided in </w:t>
      </w:r>
      <w:r>
        <w:rPr>
          <w:rFonts w:ascii="Times New Roman;serif" w:hAnsi="Times New Roman;serif"/>
          <w:b w:val="false"/>
          <w:color w:val="000000"/>
          <w:sz w:val="24"/>
          <w:u w:val="single"/>
        </w:rPr>
        <w:t xml:space="preserve">Section </w:t>
      </w:r>
      <w:hyperlink w:anchor="iafb815dcef1c483c9d39ec7e285ef589_4">
        <w:r>
          <w:rPr>
            <w:rStyle w:val="InternetLink"/>
          </w:rPr>
          <w:t>4(f)</w:t>
        </w:r>
      </w:hyperlink>
      <w:r>
        <w:rPr>
          <w:rFonts w:ascii="Times New Roman;serif" w:hAnsi="Times New Roman;serif"/>
          <w:b w:val="false"/>
          <w:color w:val="000000"/>
          <w:sz w:val="24"/>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15975"/>
                <wp:effectExtent l="0" t="0" r="0" b="0"/>
                <wp:wrapNone/>
                <wp:docPr id="88" name="Frame8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80"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(ii)continuation of health insurance coverage rights, if any, as required</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under applicable law.</w:t>
      </w:r>
    </w:p>
    <w:p>
      <w:pPr>
        <w:pStyle w:val="TextBody"/>
        <w:bidi w:val="0"/>
        <w:spacing w:lineRule="auto" w:line="280" w:before="238"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for Cause; Resignation without Good Reason; Mutual</w:t>
      </w:r>
      <w:r>
        <w:rPr>
          <w:color w:val="000000"/>
        </w:rPr>
        <w:t xml:space="preserve"> </w:t>
      </w:r>
      <w:r>
        <w:rPr>
          <w:rFonts w:ascii="Times New Roman;serif" w:hAnsi="Times New Roman;serif"/>
          <w:b w:val="false"/>
          <w:color w:val="000000"/>
          <w:sz w:val="24"/>
          <w:u w:val="single"/>
        </w:rPr>
        <w:t>Agreement; Nonrenewal by the Employee; Death or Disability</w:t>
      </w:r>
      <w:r>
        <w:rPr>
          <w:rFonts w:ascii="Times New Roman;serif" w:hAnsi="Times New Roman;serif"/>
          <w:b w:val="false"/>
          <w:color w:val="000000"/>
          <w:sz w:val="24"/>
        </w:rPr>
        <w:t>.</w:t>
      </w:r>
    </w:p>
    <w:p>
      <w:pPr>
        <w:pStyle w:val="TextBody"/>
        <w:bidi w:val="0"/>
        <w:spacing w:lineRule="auto" w:line="288" w:before="235" w:after="283"/>
        <w:ind w:left="0" w:right="0" w:firstLine="2160"/>
        <w:jc w:val="both"/>
        <w:rPr/>
      </w:pPr>
      <w:r>
        <w:rPr>
          <w:rFonts w:ascii="Times New Roman;serif" w:hAnsi="Times New Roman;serif"/>
          <w:b w:val="false"/>
          <w:color w:val="000000"/>
          <w:sz w:val="24"/>
        </w:rPr>
        <w:t xml:space="preserve">(i)In the event of the Employee’s termination of employment by reason of (A) a termination by the Employer for Cause, (B) resignation by the Employee without Good Reason or (C) mutual agreement,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 xml:space="preserve">Section </w:t>
      </w:r>
      <w:hyperlink w:anchor="iafb815dcef1c483c9d39ec7e285ef589_4">
        <w:r>
          <w:rPr>
            <w:rStyle w:val="InternetLink"/>
          </w:rPr>
          <w:t>6(a)</w:t>
        </w:r>
      </w:hyperlink>
      <w:r>
        <w:rPr>
          <w:rFonts w:ascii="Times New Roman;serif" w:hAnsi="Times New Roman;serif"/>
          <w:b w:val="false"/>
          <w:color w:val="000000"/>
          <w:sz w:val="24"/>
        </w:rPr>
        <w:t>.</w:t>
      </w:r>
    </w:p>
    <w:p>
      <w:pPr>
        <w:pStyle w:val="TextBody"/>
        <w:bidi w:val="0"/>
        <w:spacing w:lineRule="auto" w:line="288" w:before="238" w:after="283"/>
        <w:ind w:left="0" w:right="0" w:firstLine="2160"/>
        <w:jc w:val="both"/>
        <w:rPr/>
      </w:pPr>
      <w:r>
        <w:rPr>
          <w:rFonts w:ascii="Times New Roman;serif" w:hAnsi="Times New Roman;serif"/>
          <w:b w:val="false"/>
          <w:color w:val="000000"/>
          <w:sz w:val="24"/>
        </w:rPr>
        <w:t xml:space="preserve">(ii)In the event of the Employee’s termination of employment by reason of (A) the Employee’s death, (B) the Employee’s Disability or (C) delivery by the Employee of a Notice of Nonrenewal,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 xml:space="preserve">Section </w:t>
      </w:r>
      <w:hyperlink w:anchor="iafb815dcef1c483c9d39ec7e285ef589_4">
        <w:r>
          <w:rPr>
            <w:rStyle w:val="InternetLink"/>
          </w:rPr>
          <w:t>6(a)</w:t>
        </w:r>
      </w:hyperlink>
      <w:r>
        <w:rPr>
          <w:color w:val="000000"/>
        </w:rPr>
        <w:t xml:space="preserve"> </w:t>
      </w:r>
      <w:r>
        <w:rPr>
          <w:rFonts w:ascii="Times New Roman;serif" w:hAnsi="Times New Roman;serif"/>
          <w:b w:val="false"/>
          <w:color w:val="000000"/>
          <w:sz w:val="24"/>
        </w:rPr>
        <w:t>and payment of any Bonus for any calendar year preceding the calendar year in which termination occurs which has not yet been paid, payable at the time bonuses for such calendar year are otherwise payable to senior executives of the Employer (“</w:t>
      </w:r>
      <w:r>
        <w:rPr>
          <w:rFonts w:ascii="Times New Roman;serif" w:hAnsi="Times New Roman;serif"/>
          <w:b w:val="false"/>
          <w:color w:val="000000"/>
          <w:sz w:val="24"/>
          <w:u w:val="single"/>
        </w:rPr>
        <w:t>Prior Year Bonus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of the Employee’s termination of employment by reason of (A) the Employee’s death or (B) the Employee’s Disability, the Employer shall pay or provide to the Employee payment of any (i) Prior Year Bonus and (ii) a pro rata amount of the Bonus, if any, which would have been payable to the Employee for the calendar year in which the Termination Date occurs, determined after the end of the calendar year in which such Termination Date occurs and equal to the amount which would have been payable to the Employee if Employee’s employment had not been terminated during such calendar year multiplied by the fraction, the numerator of which is the number of whole months the Employee was employed by the Employer during such calendar year and the denominator of which is 12; it being understood that any pro rata bonus payable under this clause</w:t>
      </w:r>
    </w:p>
    <w:p>
      <w:pPr>
        <w:pStyle w:val="TextBody"/>
        <w:bidi w:val="0"/>
        <w:spacing w:lineRule="auto" w:line="285" w:before="2" w:after="283"/>
        <w:jc w:val="both"/>
        <w:rPr>
          <w:rFonts w:ascii="Times New Roman;serif" w:hAnsi="Times New Roman;serif"/>
          <w:b w:val="false"/>
          <w:color w:val="000000"/>
          <w:sz w:val="24"/>
        </w:rPr>
      </w:pPr>
      <w:r>
        <w:rPr>
          <w:rFonts w:ascii="Times New Roman;serif" w:hAnsi="Times New Roman;serif"/>
          <w:b w:val="false"/>
          <w:color w:val="000000"/>
          <w:sz w:val="24"/>
        </w:rPr>
        <w:t>(ii) shall be paid in a lump sum at the time bonuses for such calendar year are otherwise payable to senior executives of the Employer.</w:t>
      </w:r>
    </w:p>
    <w:p>
      <w:pPr>
        <w:pStyle w:val="TextBody"/>
        <w:bidi w:val="0"/>
        <w:spacing w:lineRule="auto" w:line="288" w:before="223"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without Cause, Resignation with Good Reason or Nonrenewal</w:t>
      </w:r>
      <w:r>
        <w:rPr>
          <w:color w:val="000000"/>
        </w:rPr>
        <w:t xml:space="preserve"> </w:t>
      </w:r>
      <w:r>
        <w:rPr>
          <w:rFonts w:ascii="Times New Roman;serif" w:hAnsi="Times New Roman;serif"/>
          <w:b w:val="false"/>
          <w:color w:val="000000"/>
          <w:sz w:val="24"/>
          <w:u w:val="single"/>
        </w:rPr>
        <w:t>by the Employer</w:t>
      </w:r>
      <w:r>
        <w:rPr>
          <w:rFonts w:ascii="Times New Roman;serif" w:hAnsi="Times New Roman;serif"/>
          <w:b w:val="false"/>
          <w:color w:val="000000"/>
          <w:sz w:val="24"/>
        </w:rPr>
        <w:t>. In the event of the Employee’s termination of employment hereunder at any time on or after the date that is ninety (90) days after the Effective Date, by reason of (i) a termination by the Employer without Cause, (ii) resignation by the Employee with Good Reason or</w:t>
      </w:r>
    </w:p>
    <w:p>
      <w:pPr>
        <w:pStyle w:val="TextBody"/>
        <w:bidi w:val="0"/>
        <w:spacing w:lineRule="auto" w:line="288" w:before="0" w:after="0"/>
        <w:jc w:val="both"/>
        <w:rPr/>
      </w:pPr>
      <w:r>
        <w:rPr>
          <w:rFonts w:ascii="Times New Roman;serif" w:hAnsi="Times New Roman;serif"/>
          <w:b w:val="false"/>
          <w:color w:val="000000"/>
          <w:sz w:val="24"/>
        </w:rPr>
        <w:t xml:space="preserve">(iii) delivery by the Employer of a Notice of Nonrenewal, the Employer shall pay or provide to the Employee the payments and benefits set forth in </w:t>
      </w:r>
      <w:r>
        <w:rPr>
          <w:rFonts w:ascii="Times New Roman;serif" w:hAnsi="Times New Roman;serif"/>
          <w:b w:val="false"/>
          <w:color w:val="000000"/>
          <w:sz w:val="24"/>
          <w:u w:val="single"/>
        </w:rPr>
        <w:t xml:space="preserve">Section </w:t>
      </w:r>
      <w:hyperlink w:anchor="iafb815dcef1c483c9d39ec7e285ef589_4">
        <w:r>
          <w:rPr>
            <w:rStyle w:val="InternetLink"/>
          </w:rPr>
          <w:t>6(a)</w:t>
        </w:r>
      </w:hyperlink>
      <w:r>
        <w:rPr>
          <w:color w:val="000000"/>
        </w:rPr>
        <w:t xml:space="preserve"> </w:t>
      </w:r>
      <w:r>
        <w:rPr>
          <w:rFonts w:ascii="Times New Roman;serif" w:hAnsi="Times New Roman;serif"/>
          <w:b w:val="false"/>
          <w:color w:val="000000"/>
          <w:sz w:val="24"/>
        </w:rPr>
        <w:t>and payment of any Prior Year Bonus. In addition, in the event of any such termination on or after the date that is ninety (90) days after the Effective Date, subject to the Employee’s execution and non-revocation of a customary general waiver and release of claims in such form as provided by the Employer (a “Release”) in accordance with Section 6(d) and the Employee’s continued full performance of obligations under Sections 10 and 11 (subject to any limitations under applicable law), and in lieu of any severance benefits that may be payable to the Employee under a separate severance agreement or an executive severance plan as a result of such termination, the Employer shall pay or provide to the Employee the following (the “Severance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15975"/>
                <wp:effectExtent l="0" t="0" r="0" b="0"/>
                <wp:wrapNone/>
                <wp:docPr id="89" name="Frame8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(i)severance pay in an aggregate amount equal to one and one</w:t>
        <w:noBreakHyphen/>
        <w:t>half (1.5) times the sum of (1) Base Salary, plus (2) the Target Bonus Percentage, paid in substantially equal installments over the eighteen (18)</w:t>
        <w:noBreakHyphen/>
        <w:t>month period following the Termination Date in accordance with the Employer’s normal payroll practices;</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(ii)a pro rata amount of the Bonus, if any, which would have been payable to the Employee for the calendar year in which the Termination Date occurs, determined after the end of the calendar year in which such Termination Date occurs and equal to the amount which would have been payable to the Employee if Employee’s employment had not been terminated during such calendar year multiplied by the fraction, the numerator of which is the number of whole months the Employee was employed by the Employer during such calendar year and the denominator of which is 12; it being understood that any pro rata bonus payable under this clause (ii) shall be paid in a lump sum at the time bonuses for such calendar year are otherwise payable to senior executives of the Employer; and</w:t>
      </w:r>
    </w:p>
    <w:p>
      <w:pPr>
        <w:pStyle w:val="TextBody"/>
        <w:bidi w:val="0"/>
        <w:spacing w:lineRule="auto" w:line="288" w:before="238"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(iii)if the Employee elects COBRA benefits, the Employer shall pay or reimburse the Employee’s share of the premium for such COBRA benefits until the earlier of (A) the first annual anniversary of the Termination Date; or (B) the date that the Employee is eligible to receive health benefits through new employment; it being understood that (x) the Employee is required to notify the Employer immediately if Employee begins new employment during such period and to repay promptly any excess benefits contributions made by the Employer; and</w:t>
      </w:r>
    </w:p>
    <w:p>
      <w:pPr>
        <w:pStyle w:val="TextBody"/>
        <w:bidi w:val="0"/>
        <w:spacing w:lineRule="auto" w:line="280" w:before="1" w:after="283"/>
        <w:jc w:val="both"/>
        <w:rPr>
          <w:rFonts w:ascii="Times New Roman;serif" w:hAnsi="Times New Roman;serif"/>
          <w:b w:val="false"/>
          <w:color w:val="000000"/>
          <w:sz w:val="24"/>
        </w:rPr>
      </w:pPr>
      <w:r>
        <w:rPr>
          <w:rFonts w:ascii="Times New Roman;serif" w:hAnsi="Times New Roman;serif"/>
          <w:b w:val="false"/>
          <w:color w:val="000000"/>
          <w:sz w:val="24"/>
        </w:rPr>
        <w:t>(y) after the Employer’s payment or reimbursement obligation ends, the Employee may continue benefits coverage for the remainder of the COBRA period, if any, by paying the full premium cost of such benefits.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Release Condition</w:t>
      </w:r>
      <w:r>
        <w:rPr>
          <w:rFonts w:ascii="Times New Roman;serif" w:hAnsi="Times New Roman;serif"/>
          <w:b w:val="false"/>
          <w:color w:val="000000"/>
          <w:sz w:val="24"/>
        </w:rPr>
        <w:t>. Notwithstanding anything to the contrary in this Agreement, to the extent that any payments due under this Agreement as a result of the termination of the Employee’s employment are subject to the Employee’s execution and delivery of a Release,</w:t>
      </w:r>
    </w:p>
    <w:p>
      <w:pPr>
        <w:pStyle w:val="TextBody"/>
        <w:bidi w:val="0"/>
        <w:spacing w:lineRule="auto" w:line="288" w:before="0" w:after="0"/>
        <w:jc w:val="both"/>
        <w:rPr/>
      </w:pPr>
      <w:r>
        <w:rPr>
          <w:rFonts w:ascii="Times New Roman;serif" w:hAnsi="Times New Roman;serif"/>
          <w:b w:val="false"/>
          <w:color w:val="000000"/>
          <w:sz w:val="24"/>
        </w:rPr>
        <w:t xml:space="preserve">(i) no such payments shall be made prior to the first normal payroll date of the Employer occurring on or after the Release Effective Date, (ii) the Employer shall deliver the Release to the Employee within ten business days following the Termination Date, (iii) if the Employee fails to execute the Release on or prior to the Release Expiration Date (as defined below) or the Employee timely revokes Employee’s acceptance of the Release within the seven day period following the Release Expiration Date, the Employee shall not be entitled to the Severance Benefits otherwise conditioned on the Release, and (iv) if the Employee executes the Release on or prior to the Release Expiration Date and does not timely revoke Employee’s acceptance of the Release within the seven day period following the Release Expiration Date, any Severance Benefits that would otherwise have been paid to the Employee prior to the first normal payroll date of the Employer occurring on or after the Release Effective Date but for clause (i) above shall be paid on the first normal payroll date of the Employer occurring on or after the Release Effective Date. For purposes of this </w:t>
      </w:r>
      <w:r>
        <w:rPr>
          <w:rFonts w:ascii="Times New Roman;serif" w:hAnsi="Times New Roman;serif"/>
          <w:b w:val="false"/>
          <w:color w:val="000000"/>
          <w:sz w:val="24"/>
          <w:u w:val="single"/>
        </w:rPr>
        <w:t xml:space="preserve">Section </w:t>
      </w:r>
      <w:hyperlink w:anchor="iafb815dcef1c483c9d39ec7e285ef589_4">
        <w:r>
          <w:rPr>
            <w:rStyle w:val="InternetLink"/>
          </w:rPr>
          <w:t>6(d)</w:t>
        </w:r>
      </w:hyperlink>
      <w:r>
        <w:rPr>
          <w:rFonts w:ascii="Times New Roman;serif" w:hAnsi="Times New Roman;serif"/>
          <w:b w:val="false"/>
          <w:color w:val="000000"/>
          <w:sz w:val="24"/>
        </w:rPr>
        <w:t>,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 xml:space="preserve">shall mean the date that is 21 days following the date upon which the Employer timely delivers the Release to the Employee, or, in the event that termination of the Employee’s employment is “in connection with an exit incentive or other employment termination program” (as such phrase is defined in the Age Discrimination in Employment Act of 1967),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15975"/>
                <wp:effectExtent l="0" t="0" r="0" b="0"/>
                <wp:wrapNone/>
                <wp:docPr id="90" name="Frame9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that is 45 days following such delivery date, and “</w:t>
      </w:r>
      <w:r>
        <w:rPr>
          <w:rFonts w:ascii="Times New Roman;serif" w:hAnsi="Times New Roman;serif"/>
          <w:b w:val="false"/>
          <w:color w:val="000000"/>
          <w:sz w:val="24"/>
          <w:u w:val="single"/>
        </w:rPr>
        <w:t>Release Effective Date</w:t>
      </w:r>
      <w:r>
        <w:rPr>
          <w:color w:val="000000"/>
        </w:rPr>
        <w:t xml:space="preserve">” </w:t>
      </w:r>
      <w:r>
        <w:rPr>
          <w:rFonts w:ascii="Times New Roman;serif" w:hAnsi="Times New Roman;serif"/>
          <w:b w:val="false"/>
          <w:color w:val="000000"/>
          <w:sz w:val="24"/>
        </w:rPr>
        <w:t>shall mean the eighth day following the Release Expiration Date, provided that the Employee executes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15975"/>
                <wp:effectExtent l="0" t="0" r="0" b="0"/>
                <wp:wrapNone/>
                <wp:docPr id="91" name="Frame9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the Release on or prior to the Release Expiration Date and does not timely revoke Employee’s acceptance of the Release within the seven day period following the Release Expiration Date.</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The rights of the Employee set forth in this Section 6 are intended to be the Employee’s exclusive remedy for termination and any severance benefits related thereto and, to the greatest extent permitted by applicable law, the Employee waives all other remedies, provided, however, that nothing herein waives statutory rights, entitlement to vested benefits, or rights to indemnification and advancement.</w:t>
      </w:r>
    </w:p>
    <w:p>
      <w:pPr>
        <w:pStyle w:val="TextBody"/>
        <w:bidi w:val="0"/>
        <w:spacing w:lineRule="auto" w:line="288" w:before="238"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Insurance</w:t>
      </w:r>
      <w:r>
        <w:rPr>
          <w:rFonts w:ascii="Times New Roman;serif" w:hAnsi="Times New Roman;serif"/>
          <w:b w:val="false"/>
          <w:color w:val="000000"/>
          <w:sz w:val="24"/>
        </w:rPr>
        <w:t>. The Employer or one of its Affiliates may, for its own benefit, maintain “key man” life and disability insurance policies covering the Employee. The Employee will cooperate with the Employer or its Affiliates and provide such information or other assistance, in each case, as they may reasonably request in connection with obtaining and maintaining such policies, provided that such cooperation shall not unreasonably interfere with Employee’s then</w:t>
        <w:noBreakHyphen/>
        <w:t>current employment or business activities and Employer shall reimburse related reasonable out</w:t>
        <w:noBreakHyphen/>
        <w:t>of</w:t>
        <w:noBreakHyphen/>
        <w:t>pocket expenses.</w:t>
      </w:r>
    </w:p>
    <w:p>
      <w:pPr>
        <w:pStyle w:val="TextBody"/>
        <w:bidi w:val="0"/>
        <w:spacing w:lineRule="auto" w:line="288" w:before="244"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The Employee’s Termination Obligations</w:t>
      </w:r>
      <w:r>
        <w:rPr>
          <w:rFonts w:ascii="Times New Roman;serif" w:hAnsi="Times New Roman;serif"/>
          <w:b w:val="false"/>
          <w:color w:val="000000"/>
          <w:sz w:val="24"/>
        </w:rPr>
        <w:t>. The Employee hereby acknowledges and agrees that all personal property and equipment furnished to or prepared by the Employee in the course of or incident to Employee’s employment hereunder belongs to the Employer and shall be promptly returned to the Employer upon termination of the Employee’s employment or, at any event, at the Employer’s request. The term “personal property” includes, without limitation, all office equipment, laptop computers, cell phones, books, manuals, records, reports, notes, contracts, requests for proposals, bids, lists, blueprints, and other documents, or materials, or copies thereof (including computer files), and all other proprietary and non-proprietary information relating to the business of the Employer. Following termination of Employee’s employment hereunder, the Employee will not retain any written or other tangible material containing any proprietary or non-proprietary information of the Employer.</w:t>
      </w:r>
    </w:p>
    <w:p>
      <w:pPr>
        <w:pStyle w:val="TextBody"/>
        <w:bidi w:val="0"/>
        <w:spacing w:lineRule="auto" w:line="288" w:before="239"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Acknowledgment of Protectable Interests</w:t>
      </w:r>
      <w:r>
        <w:rPr>
          <w:rFonts w:ascii="Times New Roman;serif" w:hAnsi="Times New Roman;serif"/>
          <w:b w:val="false"/>
          <w:color w:val="000000"/>
          <w:sz w:val="24"/>
        </w:rPr>
        <w:t>. The Employee acknowledges and agrees that Employee’s employment with the Employer involves building and maintaining business relationships and good will on behalf of the Employer with customers, patients, physicians and other professional contractors, employees and staff, and various providers and users of health care services; that Employee is entrusted with proprietary, strategic and other confidential information which is of special value to the Employer; and that the foregoing matters are significant interests that the Employer is entitled to protect.</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xml:space="preserve">. All Confidential Information that comes or has come into the Employee’s possession by reason of Employee’s employment hereunder is the property of the Employer and shall not be used except in the course of employment by the Employer and for the Employer’s exclusive benefit. Further, the Employee shall not, during Employee’s employment or thereafter, disclose or acknowledge the content of any Confidential Information to any person who is not an employee of the Employer authorized to possess such Confidential Information, except as required by law, regulation, subpoena, or court order, or to the extent necessary to exercise rights under this Agreement or to obtain legal, tax, or financial advice (provided the recipient agrees to keep such information confidential).Upon 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15975"/>
                <wp:effectExtent l="0" t="0" r="0" b="0"/>
                <wp:wrapNone/>
                <wp:docPr id="92" name="Frame9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employment, the Employee shall deliver to the Employer all documents, writings, electronic storage devices, and other tangible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15975"/>
                <wp:effectExtent l="0" t="0" r="0" b="0"/>
                <wp:wrapNone/>
                <wp:docPr id="93" name="Frame9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things containing any Confidential Information and the Employee shall not make or retain copies, excerpts, or notes of such information.</w:t>
      </w:r>
    </w:p>
    <w:p>
      <w:pPr>
        <w:pStyle w:val="TextBody"/>
        <w:bidi w:val="0"/>
        <w:spacing w:lineRule="auto" w:line="288" w:before="239" w:after="283"/>
        <w:ind w:left="0" w:right="0" w:hanging="719"/>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88" w:before="233" w:after="283"/>
        <w:ind w:left="0" w:right="0" w:firstLine="1440"/>
        <w:jc w:val="both"/>
        <w:rPr/>
      </w:pPr>
      <w:r>
        <w:rPr>
          <w:rFonts w:ascii="Times New Roman;serif" w:hAnsi="Times New Roman;serif"/>
          <w:b w:val="false"/>
          <w:color w:val="000000"/>
          <w:sz w:val="24"/>
        </w:rPr>
        <w:t xml:space="preserve">(a)During the Employment Period, the Employee shall not, directly or indirectly, without written approval by the Board , accept or perform any work, consulting, or other services for any other business entity or for remuneration of any kind .Without limiting the foregoing, during the Employment Period, the Employee shall not, directly or indirectly, without written approval by the Board, engage in activities or businesses (including, without limitation, owning any interest in, managing, controlling, participating in, consulting with, advising, rendering services for, or in any manner engaging in the business of owning, operating or managing any business) that are principally or primarily involved in holding, managing or acquiring investments in the healthcare industry or other similar business in which the Employer is engaged (or so engage with, for or on behalf of any customer of the Employer),provided, however, that neither (i) the passive ownership by the Employee of not more than 2.0% of the outstanding equity securities of a publicly traded company nor (ii) the Employee’s ownership of the securities or interests described on </w:t>
      </w:r>
      <w:r>
        <w:rPr>
          <w:rFonts w:ascii="Times New Roman;serif" w:hAnsi="Times New Roman;serif"/>
          <w:b w:val="false"/>
          <w:color w:val="000000"/>
          <w:sz w:val="24"/>
          <w:u w:val="single"/>
        </w:rPr>
        <w:t>Schedule 2</w:t>
      </w:r>
      <w:r>
        <w:rPr>
          <w:color w:val="000000"/>
        </w:rPr>
        <w:t xml:space="preserve"> </w:t>
      </w:r>
      <w:r>
        <w:rPr>
          <w:rFonts w:ascii="Times New Roman;serif" w:hAnsi="Times New Roman;serif"/>
          <w:b w:val="false"/>
          <w:color w:val="000000"/>
          <w:sz w:val="24"/>
        </w:rPr>
        <w:t xml:space="preserve">shall constitute a violation of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provided that the Employee does not otherwise violate this Agreement. If the Employee acquires knowledge of a business venture which may be a business venture or prospective business venture (“</w:t>
      </w:r>
      <w:r>
        <w:rPr>
          <w:rFonts w:ascii="Times New Roman;serif" w:hAnsi="Times New Roman;serif"/>
          <w:b w:val="false"/>
          <w:color w:val="000000"/>
          <w:sz w:val="24"/>
          <w:u w:val="single"/>
        </w:rPr>
        <w:t>Corporate Opportunity</w:t>
      </w:r>
      <w:r>
        <w:rPr>
          <w:color w:val="000000"/>
        </w:rPr>
        <w:t>”</w:t>
      </w:r>
      <w:r>
        <w:rPr>
          <w:rFonts w:ascii="Times New Roman;serif" w:hAnsi="Times New Roman;serif"/>
          <w:b w:val="false"/>
          <w:color w:val="000000"/>
          <w:sz w:val="24"/>
        </w:rPr>
        <w:t>) in which the Employer would reasonably be expected to have an interest or expectancy, or otherwise is exploiting any Corporate Opportunity, the Employee shall promptly bring such opportunity to the Employer. The Employee shall not have the right to hold any such Corporate Opportunity for Employee’s own account or benefit (or for the account or benefit of Employee’s agents’, partners’ or Affiliates’), or to recommend, assign or otherwise transfer or deal in such Corporate Opportunity with Persons other than the Employer.</w:t>
      </w:r>
    </w:p>
    <w:p>
      <w:pPr>
        <w:pStyle w:val="TextBody"/>
        <w:bidi w:val="0"/>
        <w:spacing w:lineRule="auto" w:line="288" w:before="245"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(b)During and after the Employment Period, the Employee shall not use or disclose the Employer’s Confidential Information to solicit, induce, or encourage any other employee of the Employer to leave their employment, to the extent such solicitation would involve the use or disclosure of the Employer’s trade secrets or other Confidential Information.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(c)During the Employment Period and for a period of one year thereafter, the Employee shall not, directly or indirectly, use the Employer’s Confidential Information to induce, attempt to induce or knowingly encourage any Customer (as defined below) of the Employer to divert any business or income from the Employer, or to stop or alter the manner in which it is then doing business with the Employer. The term “</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with respect to the Employer shall mean any individual or business firm that is, or within the prior 24 months was, a customer or client of the Employer, or whose business was actively solicited by the Employer at any time, regardless of whether such customer or client was generated, in whole or in part, by the Employee’s efforts.</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During the Employment Period and for two years thereafter, the Employer and its executive officers, on the one hand, and the Employee, on the other hand (hereinafter referred to as “Protected Persons”), shall not make any defamatory or disparaging statement concerning (i)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15975"/>
                <wp:effectExtent l="0" t="0" r="0" b="0"/>
                <wp:wrapNone/>
                <wp:docPr id="94" name="Frame9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in the case of the Employee, the Employer or its Affiliates, or their respective predecessors and successors, or any of the current or former directors, employees, officers, managers, shareholders, partners, members, agents or representatives of any of the foregoing, and</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15975"/>
                <wp:effectExtent l="0" t="0" r="0" b="0"/>
                <wp:wrapNone/>
                <wp:docPr id="95" name="Frame9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(ii) in the case of the Employer and its executive officers, the Employee to the extent such statement could be reasonably likely to damage the reputation and/or financial position of any of the Protected Persons. Notwithstanding the foregoing, nothing herein shall or shall be deemed to prevent or impair the Employee from (i) testifying truthfully in any legal or administrative proceeding if such testimony is compelled or requested, (ii) making competitive-type statements that are normal and customary for the industry in the context of product or service comparisons and the like, (iii) making good faith statements in the good faith performance of the Employee’s duties for the Employer or its Affiliates, or (iv) engaging in protected concerted activity or exercising rights under the National Labor Relations Act.</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 xml:space="preserve">(d)The Employee acknowledges that the provisions of </w:t>
      </w:r>
      <w:r>
        <w:rPr>
          <w:rFonts w:ascii="Times New Roman;serif" w:hAnsi="Times New Roman;serif"/>
          <w:b w:val="false"/>
          <w:color w:val="000000"/>
          <w:sz w:val="24"/>
          <w:u w:val="single"/>
        </w:rPr>
        <w:t xml:space="preserve">Sections </w:t>
      </w:r>
      <w:hyperlink w:anchor="iafb815dcef1c483c9d39ec7e285ef589_4">
        <w:r>
          <w:rPr>
            <w:rStyle w:val="InternetLink"/>
          </w:rPr>
          <w:t>10</w:t>
        </w:r>
      </w:hyperlink>
      <w:r>
        <w:rPr>
          <w:rFonts w:ascii="Times New Roman;serif" w:hAnsi="Times New Roman;serif"/>
          <w:b w:val="false"/>
          <w:color w:val="000000"/>
          <w:sz w:val="24"/>
          <w:u w:val="single"/>
        </w:rPr>
        <w:t xml:space="preserve"> and </w:t>
      </w:r>
      <w:hyperlink w:anchor="iafb815dcef1c483c9d39ec7e285ef589_4">
        <w:r>
          <w:rPr>
            <w:rStyle w:val="InternetLink"/>
          </w:rPr>
          <w:t>11</w:t>
        </w:r>
      </w:hyperlink>
      <w:r>
        <w:rPr>
          <w:color w:val="000000"/>
        </w:rPr>
        <w:t xml:space="preserve"> </w:t>
      </w:r>
      <w:r>
        <w:rPr>
          <w:rFonts w:ascii="Times New Roman;serif" w:hAnsi="Times New Roman;serif"/>
          <w:b w:val="false"/>
          <w:color w:val="000000"/>
          <w:sz w:val="24"/>
        </w:rPr>
        <w:t xml:space="preserve">are reasonable and necessary to protect the continuing interests of the Employer, and any violation of </w:t>
      </w:r>
      <w:r>
        <w:rPr>
          <w:rFonts w:ascii="Times New Roman;serif" w:hAnsi="Times New Roman;serif"/>
          <w:b w:val="false"/>
          <w:color w:val="000000"/>
          <w:sz w:val="24"/>
          <w:u w:val="single"/>
        </w:rPr>
        <w:t xml:space="preserve">Sections </w:t>
      </w:r>
      <w:hyperlink w:anchor="iafb815dcef1c483c9d39ec7e285ef589_4">
        <w:r>
          <w:rPr>
            <w:rStyle w:val="InternetLink"/>
          </w:rPr>
          <w:t>10</w:t>
        </w:r>
      </w:hyperlink>
      <w:r>
        <w:rPr>
          <w:rFonts w:ascii="Times New Roman;serif" w:hAnsi="Times New Roman;serif"/>
          <w:b w:val="false"/>
          <w:color w:val="000000"/>
          <w:sz w:val="24"/>
          <w:u w:val="single"/>
        </w:rPr>
        <w:t xml:space="preserve"> and </w:t>
      </w:r>
      <w:hyperlink w:anchor="iafb815dcef1c483c9d39ec7e285ef589_4">
        <w:r>
          <w:rPr>
            <w:rStyle w:val="InternetLink"/>
          </w:rPr>
          <w:t>11</w:t>
        </w:r>
      </w:hyperlink>
      <w:r>
        <w:rPr>
          <w:color w:val="000000"/>
        </w:rPr>
        <w:t xml:space="preserve"> </w:t>
      </w:r>
      <w:r>
        <w:rPr>
          <w:rFonts w:ascii="Times New Roman;serif" w:hAnsi="Times New Roman;serif"/>
          <w:b w:val="false"/>
          <w:color w:val="000000"/>
          <w:sz w:val="24"/>
        </w:rPr>
        <w:t xml:space="preserve">will result in irreparable injury to the Employer, the exact amount of which will be difficult to ascertain, and that the remedies at law for any such violation would not reasonably or adequately compensate the Employer for such violation. Accordingly, the Employee agrees that if the Employee violates any of the provision of </w:t>
      </w:r>
      <w:r>
        <w:rPr>
          <w:rFonts w:ascii="Times New Roman;serif" w:hAnsi="Times New Roman;serif"/>
          <w:b w:val="false"/>
          <w:color w:val="000000"/>
          <w:sz w:val="24"/>
          <w:u w:val="single"/>
        </w:rPr>
        <w:t xml:space="preserve">Sections </w:t>
      </w:r>
      <w:hyperlink w:anchor="iafb815dcef1c483c9d39ec7e285ef589_4">
        <w:r>
          <w:rPr>
            <w:rStyle w:val="InternetLink"/>
          </w:rPr>
          <w:t>10</w:t>
        </w:r>
      </w:hyperlink>
      <w:r>
        <w:rPr>
          <w:rFonts w:ascii="Times New Roman;serif" w:hAnsi="Times New Roman;serif"/>
          <w:b w:val="false"/>
          <w:color w:val="000000"/>
          <w:sz w:val="24"/>
          <w:u w:val="single"/>
        </w:rPr>
        <w:t xml:space="preserve"> and </w:t>
      </w:r>
      <w:hyperlink w:anchor="iafb815dcef1c483c9d39ec7e285ef589_4">
        <w:r>
          <w:rPr>
            <w:rStyle w:val="InternetLink"/>
          </w:rPr>
          <w:t>11</w:t>
        </w:r>
      </w:hyperlink>
      <w:r>
        <w:rPr>
          <w:rFonts w:ascii="Times New Roman;serif" w:hAnsi="Times New Roman;serif"/>
          <w:b w:val="false"/>
          <w:color w:val="000000"/>
          <w:sz w:val="24"/>
        </w:rPr>
        <w:t>, in addition to any other remedy that may be available at law or in equity, the Employer shall be entitled to seek specific performance and injunctive relief, without the necessity of proving actual damages or posting of a bond or other security.</w:t>
      </w:r>
    </w:p>
    <w:p>
      <w:pPr>
        <w:pStyle w:val="TextBody"/>
        <w:bidi w:val="0"/>
        <w:spacing w:lineRule="auto" w:line="288" w:before="244"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Damages For Improper Termination With Cause</w:t>
      </w:r>
      <w:r>
        <w:rPr>
          <w:rFonts w:ascii="Times New Roman;serif" w:hAnsi="Times New Roman;serif"/>
          <w:b w:val="false"/>
          <w:color w:val="000000"/>
          <w:sz w:val="24"/>
        </w:rPr>
        <w:t xml:space="preserve">. If the Employer terminates this Agreement and the Employee’s employment hereunder for Cause, but it subsequently is determined by a court of competent jurisdiction, as the case may be, that the Employer did not have Cause for the termination, then for purposes of this Agreement, the Employer’s decision to terminate shall be deemed to have been a termination without Cause, and the Employer shall be obligated to pay the Severance Benefits specified under </w:t>
      </w:r>
      <w:r>
        <w:rPr>
          <w:rFonts w:ascii="Times New Roman;serif" w:hAnsi="Times New Roman;serif"/>
          <w:b w:val="false"/>
          <w:color w:val="000000"/>
          <w:sz w:val="24"/>
          <w:u w:val="single"/>
        </w:rPr>
        <w:t xml:space="preserve">Section </w:t>
      </w:r>
      <w:hyperlink w:anchor="iafb815dcef1c483c9d39ec7e285ef589_4">
        <w:r>
          <w:rPr>
            <w:rStyle w:val="InternetLink"/>
          </w:rPr>
          <w:t>6(c)</w:t>
        </w:r>
      </w:hyperlink>
      <w:r>
        <w:rPr>
          <w:rFonts w:ascii="Times New Roman;serif" w:hAnsi="Times New Roman;serif"/>
          <w:b w:val="false"/>
          <w:color w:val="000000"/>
          <w:sz w:val="24"/>
        </w:rPr>
        <w:t xml:space="preserve">, and, subject to </w:t>
      </w:r>
      <w:r>
        <w:rPr>
          <w:rFonts w:ascii="Times New Roman;serif" w:hAnsi="Times New Roman;serif"/>
          <w:b w:val="false"/>
          <w:color w:val="000000"/>
          <w:sz w:val="24"/>
          <w:u w:val="single"/>
        </w:rPr>
        <w:t xml:space="preserve">Section </w:t>
      </w:r>
      <w:hyperlink w:anchor="iafb815dcef1c483c9d39ec7e285ef589_4">
        <w:r>
          <w:rPr>
            <w:rStyle w:val="InternetLink"/>
          </w:rPr>
          <w:t>24</w:t>
        </w:r>
      </w:hyperlink>
      <w:r>
        <w:rPr>
          <w:color w:val="000000"/>
        </w:rPr>
        <w:t xml:space="preserve"> </w:t>
      </w:r>
      <w:r>
        <w:rPr>
          <w:rFonts w:ascii="Times New Roman;serif" w:hAnsi="Times New Roman;serif"/>
          <w:b w:val="false"/>
          <w:color w:val="000000"/>
          <w:sz w:val="24"/>
        </w:rPr>
        <w:t>hereof, only that amount.</w:t>
      </w:r>
    </w:p>
    <w:p>
      <w:pPr>
        <w:pStyle w:val="TextBody"/>
        <w:bidi w:val="0"/>
        <w:spacing w:lineRule="auto" w:line="288" w:before="243" w:after="283"/>
        <w:ind w:left="0" w:right="0" w:hanging="719"/>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Except as provided in Section 13(b) below and except for any claim or claims that cannot be arbitrated as a matter of law, any controversy or dispute arising out of, based upon, or relating to this Agreement, its enforcement or interpretation, or because of an alleged breach, default, or misrepresentation in connection with any of its provisions, or arising out of, based upon, or relating in any way to the Employee’s employment or association with the Employer, or termination of the same, including, without limiting the generality of the foregoing, any questions regarding whether a particular dispute is arbitrable, and any alleged violation of statute, common law or public policy, including, but not limited to, any state or federal statutory claims, shall be submitted to final and binding arbitration in Orange County, California, in accordance with the JAMS Employment Arbitration Rules and Procedures , before a single neutral arbitrator selected from the JAMS panel, or if JAMS is no longer able to supply the arbitrator, such arbitrator shall be selected from the American Arbitration Association, in accordance with its National Rules for the Resolution of Employment Disputes(the arbitrator selected hereunder,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Provisional injunctive relief may, but need not, be sought by either party to this Agreement in a court of law while arbitration proceedings are pending, pursuant to California Code of Civil Procedure section 1281.8,and any provisional injunctive relief granted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15975"/>
                <wp:effectExtent l="0" t="0" r="0" b="0"/>
                <wp:wrapNone/>
                <wp:docPr id="96" name="Frame9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court shall remain effective until the matter is finally determined by the Arbitrator. Final resolution of any</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15975"/>
                <wp:effectExtent l="0" t="0" r="0" b="0"/>
                <wp:wrapNone/>
                <wp:docPr id="97" name="Frame9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 xml:space="preserve">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To the extent permitted by law, the arbitrator’s fees and arbitration expenses and any other costs associated with the arbitration or arbitration hearing that are unique to arbitration will be borne equally by each party. The parties shall each pay their own deposition, witness, expert and attorneys’ fees and other expenses as and to the same extent as if the matter were being heard in court,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arbitrator may in its discretion award such costs to the prevailing party if it determines that to be appropriate in accordance with applicable law.</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 xml:space="preserve">(e)Notwithstanding the foregoing, the Employee agrees that it would be difficult to measure any damages caused to the Employer which might result from any breach by the Employee of the covenants set forth in </w:t>
      </w:r>
      <w:r>
        <w:rPr>
          <w:rFonts w:ascii="Times New Roman;serif" w:hAnsi="Times New Roman;serif"/>
          <w:b w:val="false"/>
          <w:color w:val="000000"/>
          <w:sz w:val="24"/>
          <w:u w:val="single"/>
        </w:rPr>
        <w:t xml:space="preserve">Sections </w:t>
      </w:r>
      <w:hyperlink w:anchor="iafb815dcef1c483c9d39ec7e285ef589_4">
        <w:r>
          <w:rPr>
            <w:rStyle w:val="InternetLink"/>
          </w:rPr>
          <w:t>10</w:t>
        </w:r>
      </w:hyperlink>
      <w:r>
        <w:rPr>
          <w:rFonts w:ascii="Times New Roman;serif" w:hAnsi="Times New Roman;serif"/>
          <w:b w:val="false"/>
          <w:color w:val="000000"/>
          <w:sz w:val="24"/>
        </w:rPr>
        <w:t xml:space="preserve">, </w:t>
      </w:r>
      <w:hyperlink w:anchor="iafb815dcef1c483c9d39ec7e285ef589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afb815dcef1c483c9d39ec7e285ef589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afb815dcef1c483c9d39ec7e285ef589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xml:space="preserve">, and that in any event, money damages would be an inadequate remedy for any such breach. Accordingly, if the Employee has breached, breaches, or proposes to breach </w:t>
      </w:r>
      <w:r>
        <w:rPr>
          <w:rFonts w:ascii="Times New Roman;serif" w:hAnsi="Times New Roman;serif"/>
          <w:b w:val="false"/>
          <w:color w:val="000000"/>
          <w:sz w:val="24"/>
          <w:u w:val="single"/>
        </w:rPr>
        <w:t xml:space="preserve">Sections </w:t>
      </w:r>
      <w:hyperlink w:anchor="iafb815dcef1c483c9d39ec7e285ef589_4">
        <w:r>
          <w:rPr>
            <w:rStyle w:val="InternetLink"/>
          </w:rPr>
          <w:t>10</w:t>
        </w:r>
      </w:hyperlink>
      <w:r>
        <w:rPr>
          <w:rFonts w:ascii="Times New Roman;serif" w:hAnsi="Times New Roman;serif"/>
          <w:b w:val="false"/>
          <w:color w:val="000000"/>
          <w:sz w:val="24"/>
        </w:rPr>
        <w:t xml:space="preserve">, </w:t>
      </w:r>
      <w:hyperlink w:anchor="iafb815dcef1c483c9d39ec7e285ef589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afb815dcef1c483c9d39ec7e285ef589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afb815dcef1c483c9d39ec7e285ef589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the Employer shall be entitled, in addition to all other remedies such party may have, to a temporary, preliminary or permanent injunction or other appropriate equitable relief to restrain any such breach without showing or proving any actual damage to the non-breaching party from any court having competent jurisdiction over either party.</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parties hereto expressly agree that each may bring and pursue Claims against the other only in their individual capacities, and not on behalf of, with respect to, joined with, and/or as a part of, any class action, collective action, and/or representative action, except as expressly set forth herein or unless such waiver is not permitted by applicable law. The parties hereto agree that in the event Employee brings a Claim under the California Private Attorneys General Act of 2004, Employee may pursue Claims and seek remedies as a representative of the California Labor &amp; Workforce Development Agency, but only based on alleged violations of law personally suffered by Employee, and any such individual PAGA Claims must be arbitrated consistent with this Arbitration provision. If Employee suffered an alleged violation of law, Employee may request that the arbitrator award any remedies available under the law for the violation personally experienced by Employee. However, Employee may not seek to represent other employees, or join the Claims of other employees, or obtain remedies for alleged legal violations suffered by other employees, even if Employee claims to have suffered the same type of alleged legal violations. The parties hereto further agree that Employee may not participate in, or seek to be covered by or benefit from, a class action, collective action, or representative action asserting Claims covered by this Arbitration provision if filed by another employee. If any Party brings a Claim as a plaintiff, or participates as a member of or person to be covered by a class action, collective action, or representative action, or challenges the enforceability of this provision, the parties hereto agree that a court, not an arbitrator, shall determine what Claims are subject to the duty to arbitrate and whether any Claims must proceed on a class, collective, joint, and/or representative basis. If the court determines that any Claims must proceed on a class or collective basis, or that any Claims arising from alleged unlawful acts or violations not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15975"/>
                <wp:effectExtent l="0" t="0" r="0" b="0"/>
                <wp:wrapNone/>
                <wp:docPr id="98" name="Frame9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personally committed against or suffered by Employee have been asserted, then those Claims, if allowed, may only proceed in court, not in arbitration. Such Claims shall be dismissed by the court to the fullest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15975"/>
                <wp:effectExtent l="0" t="0" r="0" b="0"/>
                <wp:wrapNone/>
                <wp:docPr id="99" name="Frame9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76" w:before="82" w:after="283"/>
        <w:jc w:val="left"/>
        <w:rPr>
          <w:rFonts w:ascii="Times New Roman;serif" w:hAnsi="Times New Roman;serif"/>
          <w:b w:val="false"/>
          <w:color w:val="000000"/>
          <w:sz w:val="24"/>
        </w:rPr>
      </w:pPr>
      <w:r>
        <w:rPr>
          <w:rFonts w:ascii="Times New Roman;serif" w:hAnsi="Times New Roman;serif"/>
          <w:b w:val="false"/>
          <w:color w:val="000000"/>
          <w:sz w:val="24"/>
        </w:rPr>
        <w:t>extent allowed by law; if the Claims cannot be dismissed by the court, the Claims will be stayed pending the conclusion of the arbitration between the parties hereto.</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parties hereto voluntarily agree that Employer is engaged in transactions involving interstate commerce, and this Arbitration provision shall be subject to the substantive and procedural provisions of the Federal Arbitration Act, 9 U.S.C. §§ 1, et seq.</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(g)THE PARTIESHERETO HEREBY IRREVOCABLY WAIVE ALL RIGHT TO TRIAL, INCLUDING ANY RIGHTS TO TRIAL BY JURY, IN ANY ACTION, PROCEEDING OR COUNTERCLAIM BROUGHT BY EITHER OF THE PARTIES AGAINST THE OTHER IN CONNECTION WITH ANY MATTER WHATSOEVER ARISING OUT OF OR IN ANY WAY CONNECTED WITH THIS AGREEMENT OR THE PROVISION OF SERVICES UNDER THIS AGREEMENT.</w:t>
      </w:r>
    </w:p>
    <w:p>
      <w:pPr>
        <w:pStyle w:val="TextBody"/>
        <w:bidi w:val="0"/>
        <w:spacing w:before="3"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Upon the receipt of reasonable notice from the Employer (including from outside counsel to the Employer), the Employee agrees that while employed by the Employer and for up to two years after the termination of the Employee’s employment for any reason, the Employee will respond and provide information with regard to matters in which the Employee has knowledge as a result of the Employee’s employment with the Employer, and will provide reasonable assistance to the Employer, its Affiliates and their respective representatives in defense of any claims that may be made against the Employer or its Affiliates, and will assist the Employer and its Affiliates in the prosecution of any claims that may be made by the Employer or its Affiliates, to the extent that such claims may relate to the period of the Employee’s employment with the Employer;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that with respect to periods after the termination of the Employee’s employment, the Employer shall reimburse the Employee for any reasonable out-of-pocket expenses incurred in providing such assistance and, with respect to any period in which the Employee is required to provide more than ten hours of assistance per week after Employee’s termination of employment but is not receiving severance payments from the Employer or its Affiliates, and is not testifying, the Employer shall pay the Employee a reasonable amount of money for Employee’s services at a reasonable rate agreed to between the Employer and the Employee; and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i/>
          <w:color w:val="000000"/>
          <w:sz w:val="24"/>
          <w:u w:val="single"/>
        </w:rPr>
        <w:t>further</w:t>
      </w:r>
      <w:r>
        <w:rPr>
          <w:color w:val="000000"/>
        </w:rPr>
        <w:t xml:space="preserve"> </w:t>
      </w:r>
      <w:r>
        <w:rPr>
          <w:rFonts w:ascii="Times New Roman;serif" w:hAnsi="Times New Roman;serif"/>
          <w:b w:val="false"/>
          <w:color w:val="000000"/>
          <w:sz w:val="24"/>
        </w:rPr>
        <w:t>that after the Employee’s termination of employment with the Employer, such assistance shall not unreasonably interfere with the Employee’s business or personal obligations. The Employee agrees to promptly inform the Employer if the Employee becomes aware of any lawsuits involving such claims that may be filed or threatened against the Employer or its Affiliates. The Employee also agrees to promptly inform the Employer (to the extent the Employee is legally permitted to do so) if the Employee is asked to assist in any investigation of the Employer or its Affiliates (or their actions), regardless of whether a lawsuit or other proceeding has then been filed against the Employer or its Affiliates with respect to such investigation, and shall not do so unless legally required.</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Disclosure and Assignment of Inventions and Improvements</w:t>
      </w:r>
      <w:r>
        <w:rPr>
          <w:rFonts w:ascii="Times New Roman;serif" w:hAnsi="Times New Roman;serif"/>
          <w:b w:val="false"/>
          <w:color w:val="000000"/>
          <w:sz w:val="24"/>
        </w:rPr>
        <w:t xml:space="preserve">. Without prejudice to any other duties express or implied imposed on the Employee hereunder it shall be part of the Employee’s normal duties to consider in what manner and by what methods or devices the products, services, processes, equipment or systems of the Employer and any customer or vendor of the Employer would reasonably be expected to be improved and promptly to give to the Chief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15975"/>
                <wp:effectExtent l="0" t="0" r="0" b="0"/>
                <wp:wrapNone/>
                <wp:docPr id="100" name="Frame10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Executive Officer of the Employer or Employee’s designee full details of any improvement, invention, research, development, discovery, design, code, model, suggestion or innovation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15975"/>
                <wp:effectExtent l="0" t="0" r="0" b="0"/>
                <wp:wrapNone/>
                <wp:docPr id="101" name="Frame10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(collectively called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which the Employee (alone or with others) may make, discover, create or conceive in the course of the Employee’s employment. The Employee acknowledges that the Work Product is the property of the Employer. To the extent that any of the Work Product is capable of protection by copyright, the Employee acknowledges that it is created within the scope of the Employee’s employment and is a work made for hire. To the extent that any such material may not be a work made for hire, the Employee hereby assigns to the Employer all rights in such material. To the extent that any of the Work Product is an invention, discovery, process or other potentially patentable subject matter (the “Inventions”), the Employee hereby assigns to the Employer all right, title, and interest in and to all Inventions . The Employer acknowledges that the assignment in the preceding sentence does not apply to an Invention that the Employee develops entirely on Employee’s own time without using the Employer’s equipment, supplies, facilities or trade secret information, except for those Inventions that either:</w:t>
      </w:r>
    </w:p>
    <w:p>
      <w:pPr>
        <w:pStyle w:val="TextBody"/>
        <w:bidi w:val="0"/>
        <w:spacing w:lineRule="auto" w:line="280"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(i)relate at the time of conception or reduction to practice of the Invention to the Employer’s business, or actual or demonstrably anticipated research or development of the Employer, or</w:t>
      </w:r>
    </w:p>
    <w:p>
      <w:pPr>
        <w:pStyle w:val="TextBody"/>
        <w:bidi w:val="0"/>
        <w:spacing w:lineRule="auto" w:line="288" w:before="235"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(ii)result from any work performed by the Employee for the Employer.</w:t>
      </w:r>
    </w:p>
    <w:p>
      <w:pPr>
        <w:pStyle w:val="TextBody"/>
        <w:bidi w:val="0"/>
        <w:spacing w:lineRule="auto" w:line="288" w:before="237" w:after="283"/>
        <w:jc w:val="both"/>
        <w:rPr/>
      </w:pPr>
      <w:r>
        <w:rPr>
          <w:rFonts w:ascii="Times New Roman;serif" w:hAnsi="Times New Roman;serif"/>
          <w:b w:val="false"/>
          <w:color w:val="000000"/>
          <w:sz w:val="24"/>
        </w:rPr>
        <w:t xml:space="preserve">Execution of this Agreement constitutes the Employee’s acknowledgment of receipt of written notification of this </w:t>
      </w:r>
      <w:r>
        <w:rPr>
          <w:rFonts w:ascii="Times New Roman;serif" w:hAnsi="Times New Roman;serif"/>
          <w:b w:val="false"/>
          <w:color w:val="000000"/>
          <w:sz w:val="24"/>
          <w:u w:val="single"/>
        </w:rPr>
        <w:t xml:space="preserve">Section </w:t>
      </w:r>
      <w:hyperlink w:anchor="iafb815dcef1c483c9d39ec7e285ef589_4">
        <w:r>
          <w:rPr>
            <w:rStyle w:val="InternetLink"/>
          </w:rPr>
          <w:t>15</w:t>
        </w:r>
      </w:hyperlink>
      <w:r>
        <w:rPr>
          <w:color w:val="000000"/>
        </w:rPr>
        <w:t xml:space="preserve"> </w:t>
      </w:r>
      <w:r>
        <w:rPr>
          <w:rFonts w:ascii="Times New Roman;serif" w:hAnsi="Times New Roman;serif"/>
          <w:b w:val="false"/>
          <w:color w:val="000000"/>
          <w:sz w:val="24"/>
        </w:rPr>
        <w:t>and of notice of the general exception to assignments of Inventions provided under the Uniform Employee Patents Act, in the form adopted by the state having jurisdiction over this Agreement or provision, or any comparable applicable law.</w:t>
      </w:r>
    </w:p>
    <w:p>
      <w:pPr>
        <w:pStyle w:val="TextBody"/>
        <w:bidi w:val="0"/>
        <w:spacing w:lineRule="auto" w:line="288" w:before="245" w:after="283"/>
        <w:ind w:left="0" w:right="0" w:hanging="719"/>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Representations and Warranties; Advice of Counsel</w:t>
      </w:r>
      <w:r>
        <w:rPr>
          <w:rFonts w:ascii="Times New Roman;serif" w:hAnsi="Times New Roman;serif"/>
          <w:b w:val="false"/>
          <w:color w:val="000000"/>
          <w:sz w:val="24"/>
        </w:rPr>
        <w:t>.</w:t>
      </w:r>
    </w:p>
    <w:p>
      <w:pPr>
        <w:pStyle w:val="TextBody"/>
        <w:bidi w:val="0"/>
        <w:spacing w:lineRule="auto" w:line="288" w:before="23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(a)The Employee represents and warrants that (i) Employee is under no contractual or other obligation that would prevent Employee from accepting the Employer’s offer of employment as set forth herein, (ii) Employee has the full right, authority and capacity to enter into this Agreement and to perform Employee’s obligations hereunder, (iii) the execution of this Agreement and the performance of Employee’s obligations hereunder will not breach or be in conflict with any other agreement to which the Employee is a party or is bound, and (iv) the Employee is not now subject to, and has not previously violated, any covenants against competition, solicitation, hire or similar covenants, any court order or other legal obligation, or other agreement that would affect the performance of Employee’s obligations hereunder or would otherwise conflict with, prevent or restrict the full performance of Employee’s duties and obligations to the Employer or any of its Affiliates before, during or after the Employment Period. The Employee covenants that Employee will not disclose or use on behalf of the Employer or its Affiliates any proprietary information of a third party without such party’s consent.</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execution of this Agreement, the Employee was advised by the Employer of the Employee’s right to seek independent advice from an attorney of the Employee’s own selection regarding this Agreement. The Employee acknowledges that the Employee has entered into this Agreement knowingly and voluntarily and with full knowledge and understanding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15975"/>
                <wp:effectExtent l="0" t="0" r="0" b="0"/>
                <wp:wrapNone/>
                <wp:docPr id="102" name="Frame10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provisions of this Agreement after being given the opportunity to consult with counsel. The Employee further represents that in entering into this Agreement, the Employee is not relying on any statements or representations made by any of the directors, officers, employees or agents of the</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15975"/>
                <wp:effectExtent l="0" t="0" r="0" b="0"/>
                <wp:wrapNone/>
                <wp:docPr id="103" name="Frame10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both"/>
        <w:rPr>
          <w:rFonts w:ascii="Times New Roman;serif" w:hAnsi="Times New Roman;serif"/>
          <w:b w:val="false"/>
          <w:color w:val="000000"/>
          <w:sz w:val="24"/>
        </w:rPr>
      </w:pPr>
      <w:r>
        <w:rPr>
          <w:rFonts w:ascii="Times New Roman;serif" w:hAnsi="Times New Roman;serif"/>
          <w:b w:val="false"/>
          <w:color w:val="000000"/>
          <w:sz w:val="24"/>
        </w:rPr>
        <w:t>Employer or any of its Affiliates which are not expressly set forth herein, and that the Employee is relying only upon the Employee’s own judgment and any advice provided by the Employee’s attorney.</w:t>
      </w:r>
    </w:p>
    <w:p>
      <w:pPr>
        <w:pStyle w:val="TextBody"/>
        <w:bidi w:val="0"/>
        <w:spacing w:lineRule="auto" w:line="288" w:before="229"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documents memorializing the equity awards) are intended by the parties to be the final expression of their agreement with respect to the employment of the Employee by the Employer and may not be contradicted by evidence of any prior or contemporaneous agreement (including, without limitation any term sheet, offer letter or similar agreement entered into between the Employer or any Affiliate and the Employee). The parties further intend that this Agreement (and the documents memorializing the equity awards)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288" w:before="244"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No Other Representations</w:t>
      </w:r>
      <w:r>
        <w:rPr>
          <w:rFonts w:ascii="Times New Roman;serif" w:hAnsi="Times New Roman;serif"/>
          <w:b w:val="false"/>
          <w:color w:val="000000"/>
          <w:sz w:val="24"/>
        </w:rPr>
        <w:t>. Except as expressly provided in this Agreement, (i) no person or entity has made or has the authority to make any representations or promises on behalf of any of the parties which are inconsistent with the representations or promises contained in this Agreement, and (ii) this Agreement has not been executed in reliance on any representations or promises not set forth herein. Specifically, no promises, warranties or representations have been made by anyone on any topic or subject matter related to the Employee’s relationship with the Employer or any of its Affiliates or any of their executives or employees, including but not limited to any promises, warranties or representations regarding future employment, compensation, benefits, any entitlement to equity interests in the Employer or any of its Affiliates or regarding the termination of the Employee’s employment. In this regard, the Employee agrees that no promises, warranties or representations shall be deemed to be made in the future unless they are set forth in writing and signed by an authorized representative of the Employer.</w:t>
      </w:r>
    </w:p>
    <w:p>
      <w:pPr>
        <w:pStyle w:val="TextBody"/>
        <w:bidi w:val="0"/>
        <w:spacing w:lineRule="auto" w:line="280" w:before="241"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modified only by agreement of the parties by a written instrument executed by the parties that is designated as an amendment to this Agreement.</w:t>
      </w:r>
    </w:p>
    <w:p>
      <w:pPr>
        <w:pStyle w:val="TextBody"/>
        <w:bidi w:val="0"/>
        <w:spacing w:lineRule="auto" w:line="288" w:before="23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Severability and Non-Waiver/Survival</w:t>
      </w:r>
      <w:r>
        <w:rPr>
          <w:rFonts w:ascii="Times New Roman;serif" w:hAnsi="Times New Roman;serif"/>
          <w:b w:val="false"/>
          <w:color w:val="000000"/>
          <w:sz w:val="24"/>
        </w:rPr>
        <w:t xml:space="preserve">. Any provision of this Agreement (or portion thereof) which is deemed invalid, illegal or unenforceable in any jurisdiction shall, as to that jurisdiction and subject to this </w:t>
      </w:r>
      <w:r>
        <w:rPr>
          <w:rFonts w:ascii="Times New Roman;serif" w:hAnsi="Times New Roman;serif"/>
          <w:b w:val="false"/>
          <w:color w:val="000000"/>
          <w:sz w:val="24"/>
          <w:u w:val="single"/>
        </w:rPr>
        <w:t>Section 20</w:t>
      </w:r>
      <w:r>
        <w:rPr>
          <w:rFonts w:ascii="Times New Roman;serif" w:hAnsi="Times New Roman;serif"/>
          <w:b w:val="false"/>
          <w:color w:val="000000"/>
          <w:sz w:val="24"/>
        </w:rPr>
        <w:t>, be ineffective to the extent of such invalidity, illegality or unenforceability, without affecting in any way the remaining provisions thereof in such jurisdiction or rendering such provision or any other provision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Employer shall be implied by the Employer’s forbearance or failure to take action. The expiration or termination of the Employment Period and this Agreement shall not impair the rights or obligations of any party hereto which shall have accrued hereunder prior to such expiration or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15975"/>
                <wp:effectExtent l="0" t="0" r="0" b="0"/>
                <wp:wrapNone/>
                <wp:docPr id="104" name="Frame10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Successor/Assigns</w:t>
      </w:r>
      <w:r>
        <w:rPr>
          <w:rFonts w:ascii="Times New Roman;serif" w:hAnsi="Times New Roman;serif"/>
          <w:b w:val="false"/>
          <w:color w:val="000000"/>
          <w:sz w:val="24"/>
        </w:rPr>
        <w:t>. This Agreement shall be binding upon and inure to the benefit of the parties and their respective heirs, representatives, executors, administrators, successors, and</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15975"/>
                <wp:effectExtent l="0" t="0" r="0" b="0"/>
                <wp:wrapNone/>
                <wp:docPr id="105" name="Frame10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assigns, provided, however, that the Employee may not assign any or all of Employee’s rights or duties hereunder. The Employee shall be entitled, to the extent permitted under applicable law, to select and change a beneficiary or beneficiaries to receive any compensation or benefit hereunder following the Employee’s death by giving written notice thereof. In the event of the Employee’s death or a judicial determination of Employee’s incompetence, references in this Agreement to the Employee shall be deemed, where appropriate, to refer to Employee’s beneficiary, estate or other legal representative.</w:t>
      </w:r>
    </w:p>
    <w:p>
      <w:pPr>
        <w:pStyle w:val="TextBody"/>
        <w:bidi w:val="0"/>
        <w:spacing w:lineRule="auto" w:line="280" w:before="238"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Voluntary and Knowledgeable Act</w:t>
      </w:r>
      <w:r>
        <w:rPr>
          <w:rFonts w:ascii="Times New Roman;serif" w:hAnsi="Times New Roman;serif"/>
          <w:b w:val="false"/>
          <w:color w:val="000000"/>
          <w:sz w:val="24"/>
        </w:rPr>
        <w:t>. The Employee represents and warrants that the Employee has read and understands each and every provision of this Agreement and has freely and voluntarily entered into this Agreement.</w:t>
      </w:r>
    </w:p>
    <w:p>
      <w:pPr>
        <w:pStyle w:val="TextBody"/>
        <w:bidi w:val="0"/>
        <w:spacing w:lineRule="auto" w:line="280" w:before="234"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construed and enforced under and be governed as to its validity and effect by the laws of the State of California without regard to the conflict of laws principles thereof.</w:t>
      </w:r>
    </w:p>
    <w:p>
      <w:pPr>
        <w:pStyle w:val="TextBody"/>
        <w:bidi w:val="0"/>
        <w:spacing w:lineRule="auto" w:line="288" w:before="230"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any dispute between the parties should result in litigation or arbitration, the prevailing party in such dispute shall be entitled to recover from the other party all reasonable out-of-pocket fees, costs and expenses of enforcing any right of the prevailing party, including without limitation, reasonable attorneys’ fees and expenses, all of which shall be deemed to have accrued upon the commencement of such action and shall be paid whether or not such action is prosecuted to judgment, to the extent permitted by law. Any judgment or order entered in such action shall contain a specific provision providing for the recovery of attorneys’ fees and costs incurred in enforcing such judgment and an award of prejudgment interest from the date of the breach at the maximum rate of interest allowed by law. For the purposes of this </w:t>
      </w:r>
      <w:r>
        <w:rPr>
          <w:rFonts w:ascii="Times New Roman;serif" w:hAnsi="Times New Roman;serif"/>
          <w:b w:val="false"/>
          <w:color w:val="000000"/>
          <w:sz w:val="24"/>
          <w:u w:val="single"/>
        </w:rPr>
        <w:t xml:space="preserve">Section </w:t>
      </w:r>
      <w:hyperlink w:anchor="iafb815dcef1c483c9d39ec7e285ef589_4">
        <w:r>
          <w:rPr>
            <w:rStyle w:val="InternetLink"/>
          </w:rPr>
          <w:t>24</w:t>
        </w:r>
      </w:hyperlink>
      <w:r>
        <w:rPr>
          <w:rFonts w:ascii="Times New Roman;serif" w:hAnsi="Times New Roman;serif"/>
          <w:b w:val="false"/>
          <w:color w:val="000000"/>
          <w:sz w:val="24"/>
        </w:rPr>
        <w:t>: (a) attorneys’ fees include, without limitation, fees incurred in the following: (i) post-judgment motions; (ii) contempt proceedings; (iii) garnishment, levy, and debtor and third party examinations; (iv) discovery and (v) bankruptcy litigation, and (b) “prevailing party” means the party who is determined in the proceeding to have prevailed or who prevails by dismissal, default or otherwise.</w:t>
      </w:r>
    </w:p>
    <w:p>
      <w:pPr>
        <w:pStyle w:val="TextBody"/>
        <w:bidi w:val="0"/>
        <w:spacing w:lineRule="auto" w:line="280" w:before="242"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to be an original, but both of which together shall constitute one and the same instrument.</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Notices</w:t>
      </w:r>
      <w:r>
        <w:rPr>
          <w:rFonts w:ascii="Times New Roman;serif" w:hAnsi="Times New Roman;serif"/>
          <w:b w:val="false"/>
          <w:color w:val="000000"/>
          <w:sz w:val="24"/>
        </w:rPr>
        <w:t>. Except as otherwise provided for herein, all notices and other communications provided for hereunder shall be in writing (including facsimile communication and electronic mail) and mailed (via registered or certified mail), telecopied or delivered to the party for whom it is intended at the address, telecopier number or e-mail address set forth below or, as to each party, at such other address as designated by that party in a written notice to the other parties. All notices and communications shall be deemed to have been validly served, given or delivered (i) if personally delivered, upon receipt or refusal to accept delivery, (ii) if sent via facsimile, upon mechanical confirmation of successful transmission thereof generated by the sending facsimile machine and a same</w:t>
        <w:noBreakHyphen/>
        <w:t xml:space="preserve">day copy by email, (iii) if sent by a commercial overnight courier for delivery on the next business day, on the first business day after deposit with such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15975"/>
                <wp:effectExtent l="0" t="0" r="0" b="0"/>
                <wp:wrapNone/>
                <wp:docPr id="106" name="Frame10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courier service (or the second business day if sent to an address not in the United States), (iv) if sent by registered or certified mail, three days after deposit thereof in the United States mail, or</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15975"/>
                <wp:effectExtent l="0" t="0" r="0" b="0"/>
                <wp:wrapNone/>
                <wp:docPr id="107" name="Frame10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both"/>
        <w:rPr>
          <w:rFonts w:ascii="Times New Roman;serif" w:hAnsi="Times New Roman;serif"/>
          <w:b w:val="false"/>
          <w:color w:val="000000"/>
          <w:sz w:val="24"/>
        </w:rPr>
      </w:pPr>
      <w:r>
        <w:rPr>
          <w:rFonts w:ascii="Times New Roman;serif" w:hAnsi="Times New Roman;serif"/>
          <w:b w:val="false"/>
          <w:color w:val="000000"/>
          <w:sz w:val="24"/>
        </w:rPr>
        <w:t>(v)if sent by electronic mail, one business day after transmission when directed to the appropriate e-mail address (provided that the party giving notice must verify the e-mail address of the recipient prior to transmission):</w:t>
      </w:r>
    </w:p>
    <w:p>
      <w:pPr>
        <w:pStyle w:val="TextBody"/>
        <w:bidi w:val="0"/>
        <w:spacing w:lineRule="auto" w:line="285" w:before="229"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(a)if to the Employee, to Employee at Employee’s most recent address in the Employer’s records,</w:t>
      </w:r>
    </w:p>
    <w:p>
      <w:pPr>
        <w:pStyle w:val="TextBody"/>
        <w:bidi w:val="0"/>
        <w:spacing w:lineRule="auto" w:line="288" w:before="229"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(b)If to the Employer, to:</w:t>
      </w:r>
    </w:p>
    <w:p>
      <w:pPr>
        <w:pStyle w:val="TextBody"/>
        <w:bidi w:val="0"/>
        <w:spacing w:lineRule="atLeast" w:line="275" w:before="237"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1100 Town &amp; Country Road, Suite 1600 Orange, CA 92868</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Facsimile: (844) 320-2247</w:t>
      </w:r>
    </w:p>
    <w:p>
      <w:pPr>
        <w:pStyle w:val="TextBody"/>
        <w:bidi w:val="0"/>
        <w:spacing w:lineRule="auto" w:line="280" w:before="2" w:after="283"/>
        <w:jc w:val="left"/>
        <w:rPr>
          <w:rFonts w:ascii="Times New Roman;serif" w:hAnsi="Times New Roman;serif"/>
          <w:b w:val="false"/>
          <w:color w:val="000000"/>
          <w:sz w:val="24"/>
        </w:rPr>
      </w:pPr>
      <w:r>
        <w:rPr>
          <w:rFonts w:ascii="Times New Roman;serif" w:hAnsi="Times New Roman;serif"/>
          <w:b w:val="false"/>
          <w:color w:val="000000"/>
          <w:sz w:val="24"/>
        </w:rPr>
        <w:t>E-mail: LegalNotices@ahcusa.com Attention: Legal Department</w:t>
      </w:r>
    </w:p>
    <w:p>
      <w:pPr>
        <w:pStyle w:val="TextBody"/>
        <w:bidi w:val="0"/>
        <w:spacing w:lineRule="auto" w:line="280" w:before="235" w:after="283"/>
        <w:jc w:val="left"/>
        <w:rPr>
          <w:rFonts w:ascii="Times New Roman;serif" w:hAnsi="Times New Roman;serif"/>
          <w:b w:val="false"/>
          <w:color w:val="000000"/>
          <w:sz w:val="24"/>
        </w:rPr>
      </w:pPr>
      <w:r>
        <w:rPr>
          <w:rFonts w:ascii="Times New Roman;serif" w:hAnsi="Times New Roman;serif"/>
          <w:b w:val="false"/>
          <w:color w:val="000000"/>
          <w:sz w:val="24"/>
        </w:rPr>
        <w:t>or to such other address as the recipient party to whom notice is to be given may have furnished to the other party in writing in accordance herewith.</w:t>
      </w:r>
    </w:p>
    <w:p>
      <w:pPr>
        <w:pStyle w:val="TextBody"/>
        <w:bidi w:val="0"/>
        <w:spacing w:lineRule="auto" w:line="288" w:before="234"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Descriptive Headings; Nouns and Pronouns</w:t>
      </w:r>
      <w:r>
        <w:rPr>
          <w:rFonts w:ascii="Times New Roman;serif" w:hAnsi="Times New Roman;serif"/>
          <w:b w:val="false"/>
          <w:color w:val="000000"/>
          <w:sz w:val="24"/>
        </w:rPr>
        <w:t>. Descriptive headings are for convenience only and shall not control or affect the meaning or construction of any provision of this Agreement. Whenever the context may require, any pronouns used herein shall include the corresponding masculine, feminine or neuter forms, and the singular form of nouns and pronouns shall include the plural and vice-versa.</w:t>
      </w:r>
    </w:p>
    <w:p>
      <w:pPr>
        <w:pStyle w:val="TextBody"/>
        <w:bidi w:val="0"/>
        <w:spacing w:lineRule="auto" w:line="288" w:before="238" w:after="283"/>
        <w:ind w:left="0" w:right="0" w:firstLine="1440"/>
        <w:jc w:val="both"/>
        <w:rPr/>
      </w:pPr>
      <w:r>
        <w:rPr>
          <w:rFonts w:ascii="Times New Roman;serif" w:hAnsi="Times New Roman;serif"/>
          <w:b w:val="false"/>
          <w:color w:val="000000"/>
          <w:sz w:val="24"/>
          <w:u w:val="single"/>
        </w:rPr>
        <w:t>Non-Qualified Deferred Compensation</w:t>
      </w:r>
      <w:r>
        <w:rPr>
          <w:rFonts w:ascii="Times New Roman;serif" w:hAnsi="Times New Roman;serif"/>
          <w:b w:val="false"/>
          <w:color w:val="000000"/>
          <w:sz w:val="24"/>
        </w:rPr>
        <w:t xml:space="preserve">. To the extent applicable, this Agreement shall be interpreted in accordance with Section 409A of the U.S. Internal Revenue Code of 1986, as amended (the “Code”), and Department of Treasury regulations and other interpretive guidance issued thereunder, including without limitation any such regulations or other guidance that may be issued after the date hereof; provided that no amendment or action shall accelerate or defer any payment in a manner that would violate Section 409A, and Employer shall use commercially reasonable efforts to administer and structure payments to comply with or be exempt from Section 409A.For purposes of Section 409A of the Code, each of the payments that may be made hereunder is designated as a separate payment and, for the avoidance of doubt and without limiting the foregoing, the Employee’s right to receive installment payments pursuant to </w:t>
      </w:r>
      <w:r>
        <w:rPr>
          <w:rFonts w:ascii="Times New Roman;serif" w:hAnsi="Times New Roman;serif"/>
          <w:b w:val="false"/>
          <w:color w:val="000000"/>
          <w:sz w:val="24"/>
          <w:u w:val="single"/>
        </w:rPr>
        <w:t xml:space="preserve">Section </w:t>
      </w:r>
      <w:hyperlink w:anchor="iafb815dcef1c483c9d39ec7e285ef589_4">
        <w:r>
          <w:rPr>
            <w:rStyle w:val="InternetLink"/>
          </w:rPr>
          <w:t>6(c)</w:t>
        </w:r>
      </w:hyperlink>
      <w:r>
        <w:rPr>
          <w:color w:val="000000"/>
        </w:rPr>
        <w:t xml:space="preserve"> </w:t>
      </w:r>
      <w:r>
        <w:rPr>
          <w:rFonts w:ascii="Times New Roman;serif" w:hAnsi="Times New Roman;serif"/>
          <w:b w:val="false"/>
          <w:color w:val="000000"/>
          <w:sz w:val="24"/>
        </w:rPr>
        <w:t xml:space="preserve">shall be treated as a right to receive a series of separate and distinct payments. To the extent that any reimbursement of expenses or in-kind benefits constitutes “deferred compensation” under Section 409A of the Code, such reimbursement or benefit shall be provided no later than December 31 of the year following the year in which the expense was incurred. The reimbursements under this Agreement are not subject to liquidation or exchange for another benefit, and the amount of expenses reimbursed in one taxable year shall not affect the amount eligible for reimbursement in any other taxable year. Notwithstanding any provision of this Agreement to the contrary, in the event that the Employer determines that any amounts payable hereunder will be immediately taxable to the Employee under Section 409A of the Code and related Department of Treasury guidance, the Employer reserves the right (without any obligation to do so or to indemnify the Employee for failure to do so) to (a) adopt such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15975"/>
                <wp:effectExtent l="0" t="0" r="0" b="0"/>
                <wp:wrapNone/>
                <wp:docPr id="108" name="Frame10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8" w:after="283"/>
        <w:jc w:val="both"/>
        <w:rPr>
          <w:rFonts w:ascii="Times New Roman;serif" w:hAnsi="Times New Roman;serif"/>
          <w:b w:val="false"/>
          <w:color w:val="000000"/>
          <w:sz w:val="24"/>
        </w:rPr>
      </w:pPr>
      <w:r>
        <w:rPr>
          <w:rFonts w:ascii="Times New Roman;serif" w:hAnsi="Times New Roman;serif"/>
          <w:b w:val="false"/>
          <w:color w:val="000000"/>
          <w:sz w:val="24"/>
        </w:rPr>
        <w:t>amendments to this Agreement and appropriate policies and procedures, including amendments and policies with retroactive effect, that the Employer</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15975"/>
                <wp:effectExtent l="0" t="0" r="0" b="0"/>
                <wp:wrapNone/>
                <wp:docPr id="109" name="Frame10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determines necessary or appropriate to preserve the intended tax treatment of the benefits provided by this Agreement, to preserve the economic benefits of this Agreement and to avoid less favorable accounting or tax consequences for the Employer and/or (b) take such other actions as the Employer determine necessary or appropriate to exempt the amounts payable hereunder from Section 409A of the Code and related Department of Treasury guidance, or to comply with the requirements of Section 409A of the Code and related Department of Treasury guidance, including such Department of Treasury guidance and other interpretive materials as may be issued after the date hereof, and avoid the applicable of penalty taxes thereunder. No provision of this Agreement shall be interpreted or construed to transfer any liability for failure to comply with the requirements of Section 409A of the Code from the Employee or any other individual to the Employer or any of its Affiliates, employees or agents. To the extent any amounts under this Agreement are payable by reference to Employee’s “termination of employment,” such term and similar terms shall be deemed to refer to Employee’s “separation from service,” within the meaning of Section 409A of the Code. Notwithstanding any other provision in this Agreement, to the extent any payments hereunder constitute nonqualified deferred compensation, within the meaning of Section 409A of the Code, then if the Employee is a specified employee (within the meaning of Section 409A of the Code) as of the date of Employee’s separation from service, each such payment that is payable upon the Employee’s separation from service and would have been paid prior to the six-month anniversary of Employee’s separation from service, shall be delayed until the earlier to occur of</w:t>
      </w:r>
    </w:p>
    <w:p>
      <w:pPr>
        <w:pStyle w:val="TextBody"/>
        <w:bidi w:val="0"/>
        <w:spacing w:lineRule="auto" w:line="285" w:before="0" w:after="0"/>
        <w:jc w:val="both"/>
        <w:rPr>
          <w:rFonts w:ascii="Times New Roman;serif" w:hAnsi="Times New Roman;serif"/>
          <w:b w:val="false"/>
          <w:color w:val="000000"/>
          <w:sz w:val="24"/>
        </w:rPr>
      </w:pPr>
      <w:r>
        <w:rPr>
          <w:rFonts w:ascii="Times New Roman;serif" w:hAnsi="Times New Roman;serif"/>
          <w:b w:val="false"/>
          <w:color w:val="000000"/>
          <w:sz w:val="24"/>
        </w:rPr>
        <w:t>(i) the first day of the seventh month following the Employee’s separation from service or (ii) the date of the Employee’s death.</w:t>
      </w:r>
    </w:p>
    <w:p>
      <w:pPr>
        <w:pStyle w:val="TextBody"/>
        <w:bidi w:val="0"/>
        <w:spacing w:lineRule="auto" w:line="288" w:before="228"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15975"/>
                <wp:effectExtent l="0" t="0" r="0" b="0"/>
                <wp:wrapNone/>
                <wp:docPr id="110" name="Frame11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Employment Agreement as of the date first written above.</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before="197" w:after="283"/>
        <w:jc w:val="left"/>
        <w:rPr/>
      </w:pPr>
      <w:r>
        <w:rPr/>
      </w:r>
    </w:p>
    <w:p>
      <w:pPr>
        <w:pStyle w:val="TextBody"/>
        <w:bidi w:val="0"/>
        <w:spacing w:lineRule="auto" w:line="280"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John Kao    </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Name: John Kao</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99" w:after="283"/>
        <w:jc w:val="left"/>
        <w:rPr/>
      </w:pPr>
      <w:r>
        <w:rPr/>
      </w:r>
    </w:p>
    <w:p>
      <w:pPr>
        <w:pStyle w:val="TextBody"/>
        <w:bidi w:val="0"/>
        <w:spacing w:lineRule="auto" w:line="288" w:before="17"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Mark Kent                    </w:t>
      </w:r>
    </w:p>
    <w:p>
      <w:pPr>
        <w:pStyle w:val="TextBody"/>
        <w:bidi w:val="0"/>
        <w:spacing w:lineRule="auto" w:line="288" w:before="17" w:after="283"/>
        <w:jc w:val="left"/>
        <w:rPr>
          <w:rFonts w:ascii="Times New Roman;serif" w:hAnsi="Times New Roman;serif"/>
          <w:b w:val="false"/>
          <w:color w:val="000000"/>
          <w:sz w:val="24"/>
        </w:rPr>
      </w:pPr>
      <w:r>
        <w:rPr>
          <w:rFonts w:ascii="Times New Roman;serif" w:hAnsi="Times New Roman;serif"/>
          <w:b w:val="false"/>
          <w:color w:val="000000"/>
          <w:sz w:val="24"/>
        </w:rPr>
        <w:t>Mark Kent, individually</w:t>
      </w:r>
    </w:p>
    <w:p>
      <w:pPr>
        <w:pStyle w:val="TextBody"/>
        <w:bidi w:val="0"/>
        <w:spacing w:before="17"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15975"/>
                <wp:effectExtent l="0" t="0" r="0" b="0"/>
                <wp:wrapNone/>
                <wp:docPr id="111" name="Frame11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 w:after="283"/>
        <w:jc w:val="left"/>
        <w:rPr/>
      </w:pPr>
      <w:r>
        <w:rPr/>
      </w:r>
    </w:p>
    <w:p>
      <w:pPr>
        <w:pStyle w:val="TextBody"/>
        <w:bidi w:val="0"/>
        <w:spacing w:lineRule="auto" w:line="280" w:before="0" w:after="0"/>
        <w:jc w:val="center"/>
        <w:rPr>
          <w:rFonts w:ascii="Times New Roman;serif" w:hAnsi="Times New Roman;serif"/>
          <w:b/>
          <w:color w:val="000000"/>
          <w:sz w:val="24"/>
        </w:rPr>
      </w:pPr>
      <w:r>
        <w:rPr>
          <w:rFonts w:ascii="Times New Roman;serif" w:hAnsi="Times New Roman;serif"/>
          <w:b/>
          <w:color w:val="000000"/>
          <w:sz w:val="24"/>
        </w:rPr>
        <w:t>EMPLOYMENT AGREEMENT BETWEEN</w:t>
      </w:r>
    </w:p>
    <w:p>
      <w:pPr>
        <w:pStyle w:val="TextBody"/>
        <w:bidi w:val="0"/>
        <w:spacing w:lineRule="auto" w:line="518" w:before="240" w:after="283"/>
        <w:jc w:val="center"/>
        <w:rPr>
          <w:rFonts w:ascii="Times New Roman;serif" w:hAnsi="Times New Roman;serif"/>
          <w:b/>
          <w:color w:val="000000"/>
          <w:sz w:val="24"/>
        </w:rPr>
      </w:pPr>
      <w:r>
        <w:rPr>
          <w:rFonts w:ascii="Times New Roman;serif" w:hAnsi="Times New Roman;serif"/>
          <w:b/>
          <w:color w:val="000000"/>
          <w:sz w:val="24"/>
        </w:rPr>
        <w:t>ALIGNMENT HEALTHCARE USA, LLC 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JOSEPH S. KONOWIECKI</w:t>
      </w:r>
    </w:p>
    <w:p>
      <w:pPr>
        <w:pStyle w:val="TextBody"/>
        <w:bidi w:val="0"/>
        <w:spacing w:lineRule="auto" w:line="288"/>
        <w:jc w:val="center"/>
        <w:rPr>
          <w:rFonts w:ascii="Times New Roman;serif" w:hAnsi="Times New Roman;serif"/>
          <w:b/>
          <w:color w:val="000000"/>
          <w:sz w:val="24"/>
        </w:rPr>
      </w:pPr>
      <w:r>
        <w:rPr>
          <w:rFonts w:ascii="Times New Roman;serif" w:hAnsi="Times New Roman;serif"/>
          <w:b/>
          <w:color w:val="000000"/>
          <w:sz w:val="24"/>
        </w:rPr>
        <w:t>May 12, 2026</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84"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EMPLOYMENT AGREEMENT</w:t>
      </w:r>
    </w:p>
    <w:p>
      <w:pPr>
        <w:pStyle w:val="TextBody"/>
        <w:bidi w:val="0"/>
        <w:spacing w:lineRule="auto" w:line="280" w:before="233" w:after="283"/>
        <w:ind w:left="0" w:right="0" w:firstLine="720"/>
        <w:jc w:val="both"/>
        <w:rPr/>
      </w:pPr>
      <w:r>
        <w:rPr>
          <w:rFonts w:ascii="Times New Roman;serif" w:hAnsi="Times New Roman;serif"/>
          <w:b w:val="false"/>
          <w:color w:val="000000"/>
          <w:sz w:val="24"/>
        </w:rPr>
        <w:t>THIS EMPLOYMENT AGREEMENT is made and entered into effective as of May 12,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by and between Alignment Healthcare USA, LLC, a California corporation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and Joseph S. Konowiecki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lineRule="auto" w:line="280"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Employer desires to employ the Employee, and the Employee desires to accept such employment, on the terms and subject to the conditions hereinafter set forth.</w:t>
      </w:r>
    </w:p>
    <w:p>
      <w:pPr>
        <w:pStyle w:val="TextBody"/>
        <w:bidi w:val="0"/>
        <w:spacing w:lineRule="auto" w:line="280" w:before="234"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covenants contained herein and other good and valuable consideration, the receipt and sufficiency of which are hereby acknowledged, the parties hereto agree as follows.</w:t>
      </w:r>
    </w:p>
    <w:p>
      <w:pPr>
        <w:pStyle w:val="TextBody"/>
        <w:bidi w:val="0"/>
        <w:spacing w:lineRule="auto" w:line="280" w:before="23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Generally, defined terms used in this Agreement are defined in the first instance in which they appear herein. In addition, the following terms and phrases have the following meanings: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when used with reference to a specified Person, (a) any Person who directly or indirectly controls, is controlled by or is under common control with the specified Person, (b) any Person who is an officer, director, partner, member, manager or trustee of, or serves in a similar capacity with respect to, the specified Person, or for which the specified Person is an officer, director, partner, member or manager or trustee or serves in a similar capacity, (c) any Person who, directly or indirectly, is the beneficial owner of 10% or more of any class of equity securities of the specified Person, or of which the specified Person, directly or indirectly, is the owner of 10% or more of any class of equity securities and (d) any member of such specified Person’s immediate family.</w:t>
      </w:r>
    </w:p>
    <w:p>
      <w:pPr>
        <w:pStyle w:val="TextBody"/>
        <w:bidi w:val="0"/>
        <w:spacing w:lineRule="auto" w:line="285" w:before="238" w:after="283"/>
        <w:ind w:left="0" w:right="0" w:firstLine="1440"/>
        <w:jc w:val="both"/>
        <w:rPr/>
      </w:pP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Alignment Healthcare, Inc. or any other Person the Board has appointed or delegated authority.</w:t>
      </w:r>
    </w:p>
    <w:p>
      <w:pPr>
        <w:pStyle w:val="TextBody"/>
        <w:bidi w:val="0"/>
        <w:spacing w:lineRule="auto" w:line="288" w:before="224" w:after="283"/>
        <w:jc w:val="left"/>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the Employee’s:</w:t>
      </w:r>
    </w:p>
    <w:p>
      <w:pPr>
        <w:pStyle w:val="TextBody"/>
        <w:bidi w:val="0"/>
        <w:spacing w:lineRule="auto" w:line="276" w:before="245"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(i)failure to devote substantially all Employee’s working time to the business of the Employer and its Affiliates;</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(ii)failure to abide by the code of conduct or other policies (including, without limitation, policies relating to confidentiality and reasonable workplace conduct) of the Employer;</w:t>
      </w:r>
    </w:p>
    <w:p>
      <w:pPr>
        <w:pStyle w:val="TextBody"/>
        <w:bidi w:val="0"/>
        <w:spacing w:lineRule="auto" w:line="276" w:before="246"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(iii)violation or breach of the provisions, representations or covenants of Sections 10, 11, 15 or 16(a);</w:t>
      </w:r>
    </w:p>
    <w:p>
      <w:pPr>
        <w:pStyle w:val="TextBody"/>
        <w:bidi w:val="0"/>
        <w:spacing w:lineRule="auto" w:line="276" w:before="245"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(iv)theft, dishonesty, willful or gross misconduct, breach of fiduciary duty, falsification of any Employer documents or records, or misrepresentation(s) to the Employer;</w:t>
      </w:r>
    </w:p>
    <w:p>
      <w:pPr>
        <w:pStyle w:val="TextBody"/>
        <w:bidi w:val="0"/>
        <w:spacing w:lineRule="auto" w:line="288" w:before="244"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(v)Employee’s unauthorized use, misappropriation, destruction or diversion of any tangible or intangible asset or corporate opportunity of the Employer or its Affiliates (including, without limitation, Employee’s improper use or disclosure of the Employer’s or any Affiliates’ confidential or proprietary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2"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(vi)any act by Employee which has a material detrimental effect on the Employer’s reputation or business;</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(vii)Employee’s failure or inability (other than due to Employee’s Disability) to perform any reasonable and lawful assigned duties consistent with Employee’s position ;</w:t>
      </w:r>
    </w:p>
    <w:p>
      <w:pPr>
        <w:pStyle w:val="TextBody"/>
        <w:bidi w:val="0"/>
        <w:spacing w:lineRule="auto" w:line="276"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(viii)material breach by Employee of this Agreement or its exhibits or any other agreement between Employee and the Employer;</w:t>
      </w:r>
    </w:p>
    <w:p>
      <w:pPr>
        <w:pStyle w:val="TextBody"/>
        <w:bidi w:val="0"/>
        <w:spacing w:lineRule="auto" w:line="288" w:before="243"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(ix)commission of any act of fraud, theft or financial dishonesty, or any felony or criminal act involving moral turpitude;</w:t>
      </w:r>
    </w:p>
    <w:p>
      <w:pPr>
        <w:pStyle w:val="TextBody"/>
        <w:bidi w:val="0"/>
        <w:spacing w:lineRule="auto" w:line="288" w:before="241" w:after="283"/>
        <w:ind w:left="0" w:right="0" w:hanging="989"/>
        <w:jc w:val="left"/>
        <w:rPr>
          <w:rFonts w:ascii="Times New Roman;serif" w:hAnsi="Times New Roman;serif"/>
          <w:b w:val="false"/>
          <w:color w:val="000000"/>
          <w:sz w:val="24"/>
        </w:rPr>
      </w:pPr>
      <w:r>
        <w:rPr>
          <w:rFonts w:ascii="Times New Roman;serif" w:hAnsi="Times New Roman;serif"/>
          <w:b w:val="false"/>
          <w:color w:val="000000"/>
          <w:sz w:val="24"/>
        </w:rPr>
        <w:t>(x)engaging in any discriminatory or sexually harassing behavior ; or</w:t>
      </w:r>
    </w:p>
    <w:p>
      <w:pPr>
        <w:pStyle w:val="TextBody"/>
        <w:bidi w:val="0"/>
        <w:spacing w:lineRule="auto" w:line="288" w:before="237" w:after="283"/>
        <w:ind w:left="0" w:right="0" w:firstLine="1171"/>
        <w:jc w:val="both"/>
        <w:rPr>
          <w:rFonts w:ascii="Times New Roman;serif" w:hAnsi="Times New Roman;serif"/>
          <w:b w:val="false"/>
          <w:color w:val="000000"/>
          <w:sz w:val="24"/>
        </w:rPr>
      </w:pPr>
      <w:r>
        <w:rPr>
          <w:rFonts w:ascii="Times New Roman;serif" w:hAnsi="Times New Roman;serif"/>
          <w:b w:val="false"/>
          <w:color w:val="000000"/>
          <w:sz w:val="24"/>
        </w:rPr>
        <w:t>(xi)unlawful use (including being under the influence) of alcohol or drugs or possession of illegal drugs while on the premises of the Employer or any of its Affiliates or while performing duties and responsibilities to the Employer and its Affiliates.</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Solely to the extent that the Board determines in its sole discretion that the Cause conduct is curable, Employee shall have five (5) business days after receipt of written notice (in accordance with Section 26 hereof and stating in reasonable detail the facts or circumstances giving rise to Cause) that the Employer believes it has grounds to terminate Employee’s employment for Cause to entirely cure the Cause conduct under subsections (i) through (viii) above and its consequences to the satisfaction of the Board and thereby avoid termination of Employee’s employment for Cause if so determined by the Board in its sole discretion.</w:t>
      </w:r>
    </w:p>
    <w:p>
      <w:pPr>
        <w:pStyle w:val="TextBody"/>
        <w:bidi w:val="0"/>
        <w:spacing w:lineRule="auto" w:line="288" w:before="239"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any time period when the Employer believes that (or is in the process of investigating whether) Employee may have committed an act of Cause (or has committed an act which could result in constituting Cause under any of the above subsections), the Employer may in its discretion place Employee on a leave of absence and/or preclude Employee from utilizing Employer or Affiliate resources or having access to Employer premises. If after Employee’s termination of employment for any reason other than Cause, the Employer discovers that Employee’s employment could have been terminated for Cause, then the Employer may in its discretion recharacterize such termination as a termination for Cause .Employer will give written notice of such recharacterization in accordance with Section 26 hereof.</w:t>
      </w:r>
    </w:p>
    <w:p>
      <w:pPr>
        <w:pStyle w:val="TextBody"/>
        <w:bidi w:val="0"/>
        <w:spacing w:lineRule="auto" w:line="288" w:before="243" w:after="283"/>
        <w:ind w:left="0" w:right="0" w:firstLine="144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proprietary and other information relating to the business and operations of the Employer and its Affiliates, which has not been specifically designated for release to the public by an authorized representative of the Employer or one of its Affiliates, including, but not limited to the following: (i) information, observations, procedures and data concerning the business or affairs of the Employer or any of its Affiliates; (ii) products or services; (iii) costs and pricing structures; (iv) analyses; (v) drawings, photographs and reports;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 computer software, including operating systems, applications and program listings; (vii) flow charts, manuals and documentation; (viii) data bases; (ix) accounting and business methods; (x) inventions, devices, new developments, methods and processes, whether patentable or unpatentable and whether or not reduced to practice; (xi) customers, vendors, suppliers and customer, vendor and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15975"/>
                <wp:effectExtent l="0" t="0" r="0" b="0"/>
                <wp:wrapNone/>
                <wp:docPr id="114" name="Frame11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supplier lists; (xii) business goals, plans, techniques and strategies; (xiii) other copyrightable works; (xiv) all production methods, processes, technology and trade secrets;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15975"/>
                <wp:effectExtent l="0" t="0" r="0" b="0"/>
                <wp:wrapNone/>
                <wp:docPr id="115" name="Frame11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and (xv) all similar and related information in whatever form. Confidential Information also includes any information that the Employer or any of its Affiliates have received, or may receive hereafter, belonging to customers or other third parties with any understanding, express or implied, that the information would not be disclosed. Confidential Information will not include any information that has been published in a form generally available to the public prior to the date the Employee proposes to disclose or use such information (through no wrongful act of the Employee). Confidential Information will not be deemed to have been published merely because individual portions of the information have been separately published, but only if all material features comprising such information have been published in combination.</w:t>
      </w:r>
    </w:p>
    <w:p>
      <w:pPr>
        <w:pStyle w:val="TextBody"/>
        <w:bidi w:val="0"/>
        <w:spacing w:lineRule="auto" w:line="288" w:before="238" w:after="283"/>
        <w:ind w:left="0" w:right="0" w:firstLine="144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Employee’s inability, due to physical or mental illness or disability, to perform the essential functions of Employee’s employment with the Employer, even with reasonable accommodation that does not impose an undue hardship on the Employer, for more than 60 consecutive days, or for any 90 days within any one year period, unless a longer period is required by federal or state law, in which case such longer period will be applicable. The Employer reserves the right, in good faith, to make the determination of Disability under this Agreement based on information supplied by the Employee and/or Employee’s medical personnel, as well as information from medical personnel selected by the Employer or its insurers.</w:t>
      </w:r>
    </w:p>
    <w:p>
      <w:pPr>
        <w:pStyle w:val="TextBody"/>
        <w:bidi w:val="0"/>
        <w:spacing w:lineRule="auto" w:line="280" w:before="241" w:after="283"/>
        <w:ind w:left="0" w:right="0" w:firstLine="1440"/>
        <w:jc w:val="both"/>
        <w:rPr/>
      </w:pPr>
      <w:r>
        <w:rPr>
          <w:color w:val="000000"/>
        </w:rPr>
        <w:t>“</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 xml:space="preserve">has the meaning set forth in the preamble;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purposes of </w:t>
      </w:r>
      <w:r>
        <w:rPr>
          <w:rFonts w:ascii="Times New Roman;serif" w:hAnsi="Times New Roman;serif"/>
          <w:b w:val="false"/>
          <w:color w:val="000000"/>
          <w:sz w:val="24"/>
          <w:u w:val="single"/>
        </w:rPr>
        <w:t xml:space="preserve">Sections </w:t>
      </w:r>
      <w:hyperlink w:anchor="i90e2b82dc0ee4eb8a8143e6afcdd99ce_4">
        <w:r>
          <w:rPr>
            <w:rStyle w:val="InternetLink"/>
          </w:rPr>
          <w:t>8</w:t>
        </w:r>
      </w:hyperlink>
      <w:r>
        <w:rPr>
          <w:rFonts w:ascii="Times New Roman;serif" w:hAnsi="Times New Roman;serif"/>
          <w:b w:val="false"/>
          <w:color w:val="000000"/>
          <w:sz w:val="24"/>
          <w:u w:val="single"/>
        </w:rPr>
        <w:t xml:space="preserve"> through </w:t>
      </w:r>
      <w:hyperlink w:anchor="i90e2b82dc0ee4eb8a8143e6afcdd99ce_4">
        <w:r>
          <w:rPr>
            <w:rStyle w:val="InternetLink"/>
          </w:rPr>
          <w:t>15</w:t>
        </w:r>
      </w:hyperlink>
      <w:r>
        <w:rPr>
          <w:rFonts w:ascii="Times New Roman;serif" w:hAnsi="Times New Roman;serif"/>
          <w:b w:val="false"/>
          <w:color w:val="000000"/>
          <w:sz w:val="24"/>
        </w:rPr>
        <w:t>, “Employer” includes Alignment Healthcare, Inc. and all of its Subsidiaries and Affiliates.</w:t>
      </w:r>
    </w:p>
    <w:p>
      <w:pPr>
        <w:pStyle w:val="TextBody"/>
        <w:bidi w:val="0"/>
        <w:spacing w:lineRule="auto" w:line="288" w:before="235" w:after="283"/>
        <w:ind w:left="0" w:right="0" w:firstLine="1440"/>
        <w:jc w:val="both"/>
        <w:rPr/>
      </w:pP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shall exist if, without Employee’s written or oral consent, Employer materially breaches a financial obligation of this Agreement; </w:t>
      </w:r>
      <w:r>
        <w:rPr>
          <w:rFonts w:ascii="Times New Roman;serif" w:hAnsi="Times New Roman;serif"/>
          <w:b w:val="false"/>
          <w:i/>
          <w:color w:val="000000"/>
          <w:sz w:val="24"/>
        </w:rPr>
        <w:t>provided, however</w:t>
      </w:r>
      <w:r>
        <w:rPr>
          <w:rFonts w:ascii="Times New Roman;serif" w:hAnsi="Times New Roman;serif"/>
          <w:b w:val="false"/>
          <w:color w:val="000000"/>
          <w:sz w:val="24"/>
        </w:rPr>
        <w:t>, that Good Reason shall not exist so long as Employee maintains an equivalent salary or title possessed at Employer or any affiliate immediately before any claim of Good Reason, or a higher salary or title at Employer or any affiliate; and provided further that, Good Reason shall not exist if Cause exists . Employee may terminate employment hereunder for Good Reason within sixty (60) days following the occurrence of any condition constituting Good Reason, provided however that Employee has first provided written notice to Employer specifying in reasonable detail and satisfactory to Employer the condition giving rise to Good Reason, Employee has provided Employer with a period of sixty (60) days to remedy the condition (and the notice so specifies), and Employer has failed to remedy the condition within this sixty (60) day period.</w:t>
      </w:r>
    </w:p>
    <w:p>
      <w:pPr>
        <w:pStyle w:val="TextBody"/>
        <w:bidi w:val="0"/>
        <w:spacing w:lineRule="auto" w:line="280" w:before="239" w:after="283"/>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be construed broadly and shall include, without limitation, an individual, a partnership, an investment fund, a limited liability company, a corporation, an association, a joint stock company, a trust, a joint venture, an unincorporated organization and a governmental entity or any department, agency or political subdivision thereof.</w: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Subsidiaries</w:t>
      </w:r>
      <w:r>
        <w:rPr>
          <w:color w:val="000000"/>
        </w:rPr>
        <w:t xml:space="preserve">” </w:t>
      </w:r>
      <w:r>
        <w:rPr>
          <w:rFonts w:ascii="Times New Roman;serif" w:hAnsi="Times New Roman;serif"/>
          <w:b w:val="false"/>
          <w:color w:val="000000"/>
          <w:sz w:val="24"/>
        </w:rPr>
        <w:t>of any Person means any corporation, partnership, joint venture or other legal entity of which such Person (either alone or through or together with any other Person), owns, directly or indirectly, 50% or more of the stock or other equity interests which are generally entitled to vote for the election of the board of directors or other governing body of such corporation or other legal entity.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15975"/>
                <wp:effectExtent l="0" t="0" r="0" b="0"/>
                <wp:wrapNone/>
                <wp:docPr id="116" name="Frame11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ind w:left="0" w:right="0" w:firstLine="144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means the effective date of the termination of the Employee’s employment hereunder, which (i) in the case of termination due to resignation by the Employee without Good Reason, shall mean the date that is 90 days following the date of the Employee’s written notice to the Employer of Employee’s resignation, or in the case of resignation by the Employee with Good Reason, shall mean the date on which the sixty (60)-day period for Employer to remedy the applicable condition giving rise to Good Reason has lapsed, provided, however, that in each case the Employer may accelerate the Termination Date; ii) in the case of termination by reason of the Employee’s death, shall mean the date of death; (iii) in the case of termination by reason of Disability, shall mean the date specified in the notice of such termination delivered to the Employee by the Employer; (iv) in the case of a termination by the Employer for Cause or without Cause, shall mean the date specified in the written notice of such termination delivered to the Employee by the Employer, except to the extent set forth in this Agreement; (iv) in the case of termination by mutual agreement, shall mean the date mutually agreed to by the parties hereto; or</w:t>
      </w:r>
    </w:p>
    <w:p>
      <w:pPr>
        <w:pStyle w:val="TextBody"/>
        <w:bidi w:val="0"/>
        <w:spacing w:lineRule="auto" w:line="280" w:before="0" w:after="0"/>
        <w:jc w:val="both"/>
        <w:rPr/>
      </w:pPr>
      <w:r>
        <w:rPr>
          <w:rFonts w:ascii="Times New Roman;serif" w:hAnsi="Times New Roman;serif"/>
          <w:b w:val="false"/>
          <w:color w:val="000000"/>
          <w:sz w:val="24"/>
        </w:rPr>
        <w:t xml:space="preserve">(v) in the case of termination due to either party’s delivery to the other party of a Notice of Nonrenewal pursuant to </w:t>
      </w:r>
      <w:r>
        <w:rPr>
          <w:rFonts w:ascii="Times New Roman;serif" w:hAnsi="Times New Roman;serif"/>
          <w:b w:val="false"/>
          <w:color w:val="000000"/>
          <w:sz w:val="24"/>
          <w:u w:val="single"/>
        </w:rPr>
        <w:t xml:space="preserve">Section </w:t>
      </w:r>
      <w:hyperlink w:anchor="i90e2b82dc0ee4eb8a8143e6afcdd99ce_4">
        <w:r>
          <w:rPr>
            <w:rStyle w:val="InternetLink"/>
            <w:rFonts w:ascii="Times New Roman;serif" w:hAnsi="Times New Roman;serif"/>
            <w:b w:val="false"/>
            <w:strike w:val="false"/>
            <w:dstrike w:val="false"/>
            <w:color w:val="000000"/>
            <w:sz w:val="24"/>
            <w:u w:val="none"/>
            <w:effect w:val="none"/>
          </w:rPr>
          <w:t>2</w:t>
        </w:r>
      </w:hyperlink>
      <w:r>
        <w:rPr>
          <w:rFonts w:ascii="Times New Roman;serif" w:hAnsi="Times New Roman;serif"/>
          <w:b w:val="false"/>
          <w:color w:val="000000"/>
          <w:sz w:val="24"/>
        </w:rPr>
        <w:t>, shall mean the next scheduled Renewal Date to which the Notice of Nonrenewal relates.</w:t>
      </w:r>
    </w:p>
    <w:p>
      <w:pPr>
        <w:pStyle w:val="TextBody"/>
        <w:bidi w:val="0"/>
        <w:spacing w:lineRule="auto" w:line="288" w:before="233"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Employment</w:t>
      </w:r>
      <w:r>
        <w:rPr>
          <w:rFonts w:ascii="Times New Roman;serif" w:hAnsi="Times New Roman;serif"/>
          <w:b w:val="false"/>
          <w:color w:val="000000"/>
          <w:sz w:val="24"/>
        </w:rPr>
        <w:t>. The Employer shall employ the Employee, and the Employee accepts employment with the Employer, upon the terms and conditions set forth in this Agreement. The initial term of this Agreement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xml:space="preserve">) shall commence on the Effective Date and end on the first annual anniversary of the Effective Date; </w:t>
      </w:r>
      <w:r>
        <w:rPr>
          <w:rFonts w:ascii="Times New Roman;serif" w:hAnsi="Times New Roman;serif"/>
          <w:b w:val="false"/>
          <w:i/>
          <w:color w:val="000000"/>
          <w:sz w:val="24"/>
        </w:rPr>
        <w:t>provided, however</w:t>
      </w:r>
      <w:r>
        <w:rPr>
          <w:rFonts w:ascii="Times New Roman;serif" w:hAnsi="Times New Roman;serif"/>
          <w:b w:val="false"/>
          <w:color w:val="000000"/>
          <w:sz w:val="24"/>
        </w:rPr>
        <w:t>, that on the first annual anniversary of the Effective Date and each annual anniversary thereafter (each, a “</w:t>
      </w:r>
      <w:r>
        <w:rPr>
          <w:rFonts w:ascii="Times New Roman;serif" w:hAnsi="Times New Roman;serif"/>
          <w:b w:val="false"/>
          <w:color w:val="000000"/>
          <w:sz w:val="24"/>
          <w:u w:val="single"/>
        </w:rPr>
        <w:t>Renewal Date</w:t>
      </w:r>
      <w:r>
        <w:rPr>
          <w:color w:val="000000"/>
        </w:rPr>
        <w:t>”</w:t>
      </w:r>
      <w:r>
        <w:rPr>
          <w:rFonts w:ascii="Times New Roman;serif" w:hAnsi="Times New Roman;serif"/>
          <w:b w:val="false"/>
          <w:color w:val="000000"/>
          <w:sz w:val="24"/>
        </w:rPr>
        <w:t>), the term of this Agreement shall be extended by one additional year (each, an “</w:t>
      </w:r>
      <w:r>
        <w:rPr>
          <w:rFonts w:ascii="Times New Roman;serif" w:hAnsi="Times New Roman;serif"/>
          <w:b w:val="false"/>
          <w:color w:val="000000"/>
          <w:sz w:val="24"/>
          <w:u w:val="single"/>
        </w:rPr>
        <w:t>Extension Term,</w:t>
      </w:r>
      <w:r>
        <w:rPr>
          <w:color w:val="000000"/>
        </w:rPr>
        <w:t xml:space="preserve">” </w:t>
      </w:r>
      <w:r>
        <w:rPr>
          <w:rFonts w:ascii="Times New Roman;serif" w:hAnsi="Times New Roman;serif"/>
          <w:b w:val="false"/>
          <w:color w:val="000000"/>
          <w:sz w:val="24"/>
        </w:rPr>
        <w:t>and collectively with the Initial Term, the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 unless either party gives written notice to the other within 90 days in advance of the next scheduled Renewal Date that it does not wish to extend the Employment Period (such notice, a “</w:t>
      </w:r>
      <w:r>
        <w:rPr>
          <w:rFonts w:ascii="Times New Roman;serif" w:hAnsi="Times New Roman;serif"/>
          <w:b w:val="false"/>
          <w:color w:val="000000"/>
          <w:sz w:val="24"/>
          <w:u w:val="single"/>
        </w:rPr>
        <w:t>Notice of Nonrenewal</w:t>
      </w:r>
      <w:r>
        <w:rPr>
          <w:color w:val="000000"/>
        </w:rPr>
        <w:t>”</w:t>
      </w:r>
      <w:r>
        <w:rPr>
          <w:rFonts w:ascii="Times New Roman;serif" w:hAnsi="Times New Roman;serif"/>
          <w:b w:val="false"/>
          <w:color w:val="000000"/>
          <w:sz w:val="24"/>
        </w:rPr>
        <w:t xml:space="preserve">);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Employment Period may be sooner terminated as provided herein.</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Position and Duties</w:t>
      </w:r>
      <w:r>
        <w:rPr>
          <w:rFonts w:ascii="Times New Roman;serif" w:hAnsi="Times New Roman;serif"/>
          <w:b w:val="false"/>
          <w:color w:val="000000"/>
          <w:sz w:val="24"/>
        </w:rPr>
        <w:t xml:space="preserve">. During the Employment Period, the Employee shall be employed by Employer on a full-time basis with the title determined exclusively by the Employer, initially as Executive Vice President – Corporate Affairs, reporting to the Chief Executive Officer of Employer, or his or her designee as determined in the sole and absolute discretion of the Chief Executive Officer of Employer. Subject to the power and discretion of the Chief Executive Officer of Employer or the Board to modify such duties, position, title, reporting structure, and/or situs of employment, Employee shall have the usual and customary duties, responsibilities, and authority of such position as reasonably may be assigned to Employee by Employer from time to time and perform such other duties and responsibilities on behalf of Employer as reasonably may be directed by the Employer, including, if elected or appointed thereto, serving as an officer and/or member of the board or any Subsidiary or Affiliate of the Employer as reasonably requested by the Employer and its Affiliates, in each case, without additional compensation hereunder. The Employee hereby accepts such employment and positions and agrees to diligently and conscientiously devote Employee’s full and exclusive business time, attention, and best efforts in discharging and fulfilling Employee’s duties and responsibilities hereunder. The Employee shall comply with the Employer’s policies and procedures and the direction and instruction of the Board and the Employee shall not engage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15975"/>
                <wp:effectExtent l="0" t="0" r="0" b="0"/>
                <wp:wrapNone/>
                <wp:docPr id="117" name="Frame11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business activity which, in the reasonable judgment of the Board, conflicts with the duties of the Employee hereunder, whether or not such activity is pursued for gain, profit or other pecuniary advantage.</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15975"/>
                <wp:effectExtent l="0" t="0" r="0" b="0"/>
                <wp:wrapNone/>
                <wp:docPr id="118" name="Frame11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4" w:after="283"/>
        <w:ind w:left="0" w:right="0" w:hanging="719"/>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0" w:before="233"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Salary</w:t>
      </w:r>
      <w:r>
        <w:rPr>
          <w:rFonts w:ascii="Times New Roman;serif" w:hAnsi="Times New Roman;serif"/>
          <w:b w:val="false"/>
          <w:color w:val="000000"/>
          <w:sz w:val="24"/>
        </w:rPr>
        <w:t>. During the Employment Period, the Employer shall pay the Employee base salary at the rate of $700,000 per annum (as may be increased from time to time at the discretion of the Employer, the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less applicable deductions and withholdings.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 Bonus</w:t>
      </w:r>
      <w:r>
        <w:rPr>
          <w:rFonts w:ascii="Times New Roman;serif" w:hAnsi="Times New Roman;serif"/>
          <w:b w:val="false"/>
          <w:color w:val="000000"/>
          <w:sz w:val="24"/>
        </w:rPr>
        <w:t>. In addition to the Base Salary, during the Employment Period, the Employee shall be eligible to receive a cash bonus (the “</w:t>
      </w:r>
      <w:r>
        <w:rPr>
          <w:rFonts w:ascii="Times New Roman;serif" w:hAnsi="Times New Roman;serif"/>
          <w:b w:val="false"/>
          <w:color w:val="000000"/>
          <w:sz w:val="24"/>
          <w:u w:val="single"/>
        </w:rPr>
        <w:t>Bonus</w:t>
      </w:r>
      <w:r>
        <w:rPr>
          <w:color w:val="000000"/>
        </w:rPr>
        <w:t>”</w:t>
      </w:r>
      <w:r>
        <w:rPr>
          <w:rFonts w:ascii="Times New Roman;serif" w:hAnsi="Times New Roman;serif"/>
          <w:b w:val="false"/>
          <w:color w:val="000000"/>
          <w:sz w:val="24"/>
        </w:rPr>
        <w:t>) with respect to each calendar year. The amount of the Bonus, if any, payable in respect of any calendar year will be determined based on the achievement of the Employer’s performance metrics, achievement of performance goals established for the Employee, or a combination of the foregoing. The target Bonus amount (the “</w:t>
      </w:r>
      <w:r>
        <w:rPr>
          <w:rFonts w:ascii="Times New Roman;serif" w:hAnsi="Times New Roman;serif"/>
          <w:b w:val="false"/>
          <w:color w:val="000000"/>
          <w:sz w:val="24"/>
          <w:u w:val="single"/>
        </w:rPr>
        <w:t>Target Bonus Percentage</w:t>
      </w:r>
      <w:r>
        <w:rPr>
          <w:color w:val="000000"/>
        </w:rPr>
        <w:t>”</w:t>
      </w:r>
      <w:r>
        <w:rPr>
          <w:rFonts w:ascii="Times New Roman;serif" w:hAnsi="Times New Roman;serif"/>
          <w:b w:val="false"/>
          <w:color w:val="000000"/>
          <w:sz w:val="24"/>
        </w:rPr>
        <w:t>) and the maximum Bonus amount (the “</w:t>
      </w:r>
      <w:r>
        <w:rPr>
          <w:rFonts w:ascii="Times New Roman;serif" w:hAnsi="Times New Roman;serif"/>
          <w:b w:val="false"/>
          <w:color w:val="000000"/>
          <w:sz w:val="24"/>
          <w:u w:val="single"/>
        </w:rPr>
        <w:t>Maximum</w:t>
      </w:r>
      <w:r>
        <w:rPr>
          <w:color w:val="000000"/>
        </w:rPr>
        <w:t xml:space="preserve"> </w:t>
      </w:r>
      <w:r>
        <w:rPr>
          <w:rFonts w:ascii="Times New Roman;serif" w:hAnsi="Times New Roman;serif"/>
          <w:b w:val="false"/>
          <w:color w:val="000000"/>
          <w:sz w:val="24"/>
          <w:u w:val="single"/>
        </w:rPr>
        <w:t>Bonus Percentage</w:t>
      </w:r>
      <w:r>
        <w:rPr>
          <w:color w:val="000000"/>
        </w:rPr>
        <w:t>”</w:t>
      </w:r>
      <w:r>
        <w:rPr>
          <w:rFonts w:ascii="Times New Roman;serif" w:hAnsi="Times New Roman;serif"/>
          <w:b w:val="false"/>
          <w:color w:val="000000"/>
          <w:sz w:val="24"/>
        </w:rPr>
        <w:t>) in respect of each calendar year will equal 85% and 170%, respectively, of the Base Salary payable to the Employee for such year. The Bonus in respect to any calendar year shall be prorated for partial years. A Bonus will not be paid for the calendar year in which the Employee initiates employment with the Employer if the Employee’s start date occurs on or after October 1. Employee understands that the Bonus is payable under the terms of the Employer’s annual incentive plan, the terms of which are subject to approval annually by the Board. Among other things, the Board may determine that a portion of the Bonus shall be withheld and not paid on the initial Bonus payment date and that all or some portion of such withheld amount shall paid out on a later date, subject to the achievement of certain corporate, departmental or individual performance goals. As a condition to receiving the Bonus, the Employee must be an employee of Employer in good standing as of the applicable Bonus payment date.</w:t>
      </w:r>
    </w:p>
    <w:p>
      <w:pPr>
        <w:pStyle w:val="TextBody"/>
        <w:bidi w:val="0"/>
        <w:spacing w:lineRule="auto" w:line="288" w:before="239"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Initial Equity Grant</w:t>
      </w:r>
      <w:r>
        <w:rPr>
          <w:rFonts w:ascii="Times New Roman;serif" w:hAnsi="Times New Roman;serif"/>
          <w:b w:val="false"/>
          <w:color w:val="000000"/>
          <w:sz w:val="24"/>
        </w:rPr>
        <w:t>. The Employee will also be eligible to receive on the Grant Date (defined below) (i) a number of restricted stock units of Alignment Healthcare, Inc.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equal to One Million Seven Hundred Fifty Thousand Dollars ($1,750,000) divided by the closing per share price of Parent’s common stock on the Nasdaq Stock Market on the Grant Date (the “</w:t>
      </w:r>
      <w:r>
        <w:rPr>
          <w:rFonts w:ascii="Times New Roman;serif" w:hAnsi="Times New Roman;serif"/>
          <w:b w:val="false"/>
          <w:color w:val="000000"/>
          <w:sz w:val="24"/>
          <w:u w:val="single"/>
        </w:rPr>
        <w:t>RSU Grant</w:t>
      </w:r>
      <w:r>
        <w:rPr>
          <w:color w:val="000000"/>
        </w:rPr>
        <w:t>”</w:t>
      </w:r>
      <w:r>
        <w:rPr>
          <w:rFonts w:ascii="Times New Roman;serif" w:hAnsi="Times New Roman;serif"/>
          <w:b w:val="false"/>
          <w:color w:val="000000"/>
          <w:sz w:val="24"/>
        </w:rPr>
        <w:t>) and (ii) a number of performance share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of Parent equal to One Million Seven Hundred Fifty Thousand Dollars ($1,750,000) divided by the closing per share price of Parent’s common stock on the Nasdaq Stock Market on the Grant Date (the “</w:t>
      </w:r>
      <w:r>
        <w:rPr>
          <w:rFonts w:ascii="Times New Roman;serif" w:hAnsi="Times New Roman;serif"/>
          <w:b w:val="false"/>
          <w:color w:val="000000"/>
          <w:sz w:val="24"/>
          <w:u w:val="single"/>
        </w:rPr>
        <w:t>PSU Grant</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Grant Date</w:t>
      </w:r>
      <w:r>
        <w:rPr>
          <w:color w:val="000000"/>
        </w:rPr>
        <w:t xml:space="preserve">” </w:t>
      </w:r>
      <w:r>
        <w:rPr>
          <w:rFonts w:ascii="Times New Roman;serif" w:hAnsi="Times New Roman;serif"/>
          <w:b w:val="false"/>
          <w:color w:val="000000"/>
          <w:sz w:val="24"/>
        </w:rPr>
        <w:t>for the foregoing awards will be the first Wednesday of the calendar month following the Employee’s start date (or on the next trading day thereafter if Parent’s stock does not trade on the Nasdaq Stock Market on such date). The RSU Grant will vest in approximately equal installments of thirty-three and one third percent (33</w:t>
      </w:r>
      <w:r>
        <w:rPr>
          <w:rFonts w:ascii="Times New Roman;serif" w:hAnsi="Times New Roman;serif"/>
          <w:b w:val="false"/>
          <w:color w:val="000000"/>
          <w:sz w:val="16"/>
        </w:rPr>
        <w:t>1/3</w:t>
      </w:r>
      <w:r>
        <w:rPr>
          <w:rFonts w:ascii="Times New Roman;serif" w:hAnsi="Times New Roman;serif"/>
          <w:b w:val="false"/>
          <w:color w:val="000000"/>
          <w:sz w:val="24"/>
        </w:rPr>
        <w:t xml:space="preserve">%) on each of March 13, 2027, 2028 and 2029. The PSU Grant will have the same performance metrics as the performance awards granted to other senior executives in March 2026 (which metrics are summarized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attached hereto but will be more specifically set out in a form of award agreement to be provided by the Company); provided, however, that notwithstanding the date of certification of achievement of the performance metrics by the Board, the vesting date for the PSU Grant will be March 13, 2029. The foregoing equity awards shall be subject to approval by the Board (or a committee thereof) and shall be further subject to the terms of the Equity Plan and the terms of the applicable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15975"/>
                <wp:effectExtent l="0" t="0" r="0" b="0"/>
                <wp:wrapNone/>
                <wp:docPr id="119" name="Frame11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Annual Equity Grant</w:t>
      </w:r>
      <w:r>
        <w:rPr>
          <w:rFonts w:ascii="Times New Roman;serif" w:hAnsi="Times New Roman;serif"/>
          <w:b w:val="false"/>
          <w:color w:val="000000"/>
          <w:sz w:val="24"/>
        </w:rPr>
        <w:t>. The Employee shall be eligible to receive an annual equity grant (the “Annual Equity Grant”) with an initial target value of Two Million Five Hundred Thousand Dollars ($3,500,000), subject to review and approval by the Board or a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15975"/>
                <wp:effectExtent l="0" t="0" r="0" b="0"/>
                <wp:wrapNone/>
                <wp:docPr id="120" name="Frame12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thereof, at the same time or times as other senior management; The specific form, terms, and conditions of the Annual Equity Grant, including but not limited to the type of equity (e.g., stock options, restricted stock units, performance share units or other equity instruments), the vesting schedule, and any performance criteria, shall be consistent with annual equity grants awarded to other members of senior management and as determined at the sole discretion of the Board and shall be granted in accordance with the Equity Plan and any other policies or guidelines established by the Board. The target value of the Annual Equity Grant shall be reviewed annually by the Board and may be adjusted, at the Board’s discretion, based on the Employee’s performance, the Company’s performance, and other factors deemed relevant by the Board. The Employee acknowledges and agrees that the target value of the Annual Equity Grant does not constitute a guarantee of any specific grant amount or value, and that the final determination of the Annual Equity Grant shall be subject to the Board’s approval.</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During the Employment Period, the Employee and his eligible dependents and beneficiaries will be eligible to participate in the Employer’s retirement, health and welfare benefits plans, which shall be subject to the Employer’s policies and practices and the terms of the applicable benefit plans and arrangements as in effect from time to time. The Employee shall accrue paid time off at the rate of five (5) weeks per twelve (12) months of employment.</w:t>
      </w:r>
    </w:p>
    <w:p>
      <w:pPr>
        <w:pStyle w:val="TextBody"/>
        <w:bidi w:val="0"/>
        <w:spacing w:lineRule="auto" w:line="288" w:before="241"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Reimbursements</w:t>
      </w:r>
      <w:r>
        <w:rPr>
          <w:rFonts w:ascii="Times New Roman;serif" w:hAnsi="Times New Roman;serif"/>
          <w:b w:val="false"/>
          <w:color w:val="000000"/>
          <w:sz w:val="24"/>
        </w:rPr>
        <w:t>. The Employer shall reimburse the Employee for all reasonable and necessary business-related expenses incurred by Employee in the course of performing Employee’s duties under this Agreement which are consistent with the Employer’s policies in effect from time to time with respect to travel, entertainment and other business expenses, subject to the Employer’s requirements with respect to reporting and documentation of such expenses.</w:t>
      </w:r>
    </w:p>
    <w:p>
      <w:pPr>
        <w:pStyle w:val="TextBody"/>
        <w:bidi w:val="0"/>
        <w:spacing w:lineRule="auto" w:line="280"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Deductions and Withholding</w:t>
      </w:r>
      <w:r>
        <w:rPr>
          <w:rFonts w:ascii="Times New Roman;serif" w:hAnsi="Times New Roman;serif"/>
          <w:b w:val="false"/>
          <w:color w:val="000000"/>
          <w:sz w:val="24"/>
        </w:rPr>
        <w:t>. The Employer shall deduct from any payments to be made by it to or on behalf of the Employee under this Agreement any amounts required to be withheld in respect of any federal, state or local income or other taxes.</w:t>
      </w:r>
    </w:p>
    <w:p>
      <w:pPr>
        <w:pStyle w:val="TextBody"/>
        <w:bidi w:val="0"/>
        <w:spacing w:lineRule="auto" w:line="288" w:before="23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Annual Review of Base Salary and Bonus Percentages</w:t>
      </w:r>
      <w:r>
        <w:rPr>
          <w:rFonts w:ascii="Times New Roman;serif" w:hAnsi="Times New Roman;serif"/>
          <w:b w:val="false"/>
          <w:color w:val="000000"/>
          <w:sz w:val="24"/>
        </w:rPr>
        <w:t>. The Board (or the Compensation Committee of the Board) shall undertake a review of rate of Base Salary and the Target Bonus Percentage and Maximum Bonus Percentage (the “Bonus Percentages”) not less frequently than annually during the Employment Period and may increase, but not decrease, the rate of Base Salary and the Bonus Percentages from those then in effect.</w:t>
      </w:r>
    </w:p>
    <w:p>
      <w:pPr>
        <w:pStyle w:val="TextBody"/>
        <w:bidi w:val="0"/>
        <w:spacing w:lineRule="auto" w:line="280" w:before="243" w:after="283"/>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The Employee’s employment under this Agreement shall be terminated upon the earliest to occur of the following events:</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 The Employer may in its sole discretion terminate this Agreement and the Employee’s employment hereunder for Cause at any time and with or without advance notice to the Employee. Written notice (in accordance with Section 26 hereof) shall be provided to Employee within 30 calendar days after the Termination Date, and shall state in reasonable detail the facts or circumstances giving rise to Cause.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15975"/>
                <wp:effectExtent l="0" t="0" r="0" b="0"/>
                <wp:wrapNone/>
                <wp:docPr id="121" name="Frame12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w:t>
      </w:r>
      <w:r>
        <w:rPr>
          <w:rFonts w:ascii="Times New Roman;serif" w:hAnsi="Times New Roman;serif"/>
          <w:b w:val="false"/>
          <w:color w:val="000000"/>
          <w:sz w:val="24"/>
        </w:rPr>
        <w:t>. The Employer may terminate this Agreement and the Employee’s employment hereunder without Cause at any time, with or without notice , for any reason or no reason (and no reason need be given).</w:t>
      </w:r>
    </w:p>
    <w:p>
      <w:pPr>
        <w:pStyle w:val="TextBody"/>
        <w:bidi w:val="0"/>
        <w:spacing w:lineRule="auto" w:line="285" w:before="229"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Mutual Agreement</w:t>
      </w:r>
      <w:r>
        <w:rPr>
          <w:rFonts w:ascii="Times New Roman;serif" w:hAnsi="Times New Roman;serif"/>
          <w:b w:val="false"/>
          <w:color w:val="000000"/>
          <w:sz w:val="24"/>
        </w:rPr>
        <w:t>. This Agreement and the Employee’s employment hereunder may be terminated by the mutual written agreement of the Employer and the Employee.</w:t>
      </w:r>
    </w:p>
    <w:p>
      <w:pPr>
        <w:pStyle w:val="TextBody"/>
        <w:bidi w:val="0"/>
        <w:spacing w:lineRule="auto" w:line="285" w:before="22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by Death or Disability</w:t>
      </w:r>
      <w:r>
        <w:rPr>
          <w:rFonts w:ascii="Times New Roman;serif" w:hAnsi="Times New Roman;serif"/>
          <w:b w:val="false"/>
          <w:color w:val="000000"/>
          <w:sz w:val="24"/>
        </w:rPr>
        <w:t>. This Agreement and the Employee’s employment hereunder shall automatically terminate upon the Employee’s death or Disability.</w:t>
      </w:r>
    </w:p>
    <w:p>
      <w:pPr>
        <w:pStyle w:val="TextBody"/>
        <w:bidi w:val="0"/>
        <w:spacing w:lineRule="auto" w:line="280" w:before="224"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Resignation</w:t>
      </w:r>
      <w:r>
        <w:rPr>
          <w:rFonts w:ascii="Times New Roman;serif" w:hAnsi="Times New Roman;serif"/>
          <w:b w:val="false"/>
          <w:color w:val="000000"/>
          <w:sz w:val="24"/>
        </w:rPr>
        <w:t>. The Employee may terminate this Agreement and Employee’s employment hereunder without Good Reason upon 90 days advance written notice to the Employer. In addition, the Employee may terminate this Agreement and Employee’s employment hereunder with Good Reason as set forth in this Agreement.</w:t>
      </w:r>
    </w:p>
    <w:p>
      <w:pPr>
        <w:pStyle w:val="TextBody"/>
        <w:bidi w:val="0"/>
        <w:spacing w:lineRule="auto" w:line="280" w:before="22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Nonrenewal</w:t>
      </w:r>
      <w:r>
        <w:rPr>
          <w:rFonts w:ascii="Times New Roman;serif" w:hAnsi="Times New Roman;serif"/>
          <w:b w:val="false"/>
          <w:color w:val="000000"/>
          <w:sz w:val="24"/>
        </w:rPr>
        <w:t>. If either party delivers to the other a Notice of Nonrenewal, the Agreement and the Employee’s employment hereunder shall automatically terminate as of the next scheduled Renewal Date to which the Notice of Nonrenewal relates.</w:t>
      </w:r>
    </w:p>
    <w:p>
      <w:pPr>
        <w:pStyle w:val="TextBody"/>
        <w:bidi w:val="0"/>
        <w:spacing w:lineRule="auto" w:line="288" w:before="240" w:after="283"/>
        <w:ind w:left="0" w:right="0" w:hanging="719"/>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Compensation upon Termination</w:t>
      </w:r>
      <w:r>
        <w:rPr>
          <w:rFonts w:ascii="Times New Roman;serif" w:hAnsi="Times New Roman;serif"/>
          <w:b w:val="false"/>
          <w:color w:val="000000"/>
          <w:sz w:val="24"/>
        </w:rPr>
        <w:t>.</w:t>
      </w:r>
    </w:p>
    <w:p>
      <w:pPr>
        <w:pStyle w:val="TextBody"/>
        <w:bidi w:val="0"/>
        <w:spacing w:lineRule="auto" w:line="280" w:before="232"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In the event of the Employee’s termination of employment for any reason, the Employee or Employee’s estate or beneficiaries shall have the right to receive the following:</w:t>
      </w:r>
    </w:p>
    <w:p>
      <w:pPr>
        <w:pStyle w:val="TextBody"/>
        <w:bidi w:val="0"/>
        <w:spacing w:lineRule="auto" w:line="280" w:before="235"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(i)the unpaid portion of the Base Salary and paid time off accrued, but unused, and payable through the Termination Date;</w:t>
      </w:r>
    </w:p>
    <w:p>
      <w:pPr>
        <w:pStyle w:val="TextBody"/>
        <w:bidi w:val="0"/>
        <w:spacing w:lineRule="auto" w:line="280" w:before="234" w:after="283"/>
        <w:ind w:left="0" w:right="0" w:firstLine="2160"/>
        <w:jc w:val="left"/>
        <w:rPr/>
      </w:pPr>
      <w:r>
        <w:rPr>
          <w:rFonts w:ascii="Times New Roman;serif" w:hAnsi="Times New Roman;serif"/>
          <w:b w:val="false"/>
          <w:color w:val="000000"/>
          <w:sz w:val="24"/>
        </w:rPr>
        <w:t xml:space="preserve">(ii)reimbursement for any expenses for which the Employee shall not have been previously reimbursed, as provided in </w:t>
      </w:r>
      <w:r>
        <w:rPr>
          <w:rFonts w:ascii="Times New Roman;serif" w:hAnsi="Times New Roman;serif"/>
          <w:b w:val="false"/>
          <w:color w:val="000000"/>
          <w:sz w:val="24"/>
          <w:u w:val="single"/>
        </w:rPr>
        <w:t xml:space="preserve">Section </w:t>
      </w:r>
      <w:hyperlink w:anchor="i90e2b82dc0ee4eb8a8143e6afcdd99ce_4">
        <w:r>
          <w:rPr>
            <w:rStyle w:val="InternetLink"/>
          </w:rPr>
          <w:t>4(f)</w:t>
        </w:r>
      </w:hyperlink>
      <w:r>
        <w:rPr>
          <w:rFonts w:ascii="Times New Roman;serif" w:hAnsi="Times New Roman;serif"/>
          <w:b w:val="false"/>
          <w:color w:val="000000"/>
          <w:sz w:val="24"/>
        </w:rPr>
        <w:t>; and</w:t>
      </w:r>
    </w:p>
    <w:p>
      <w:pPr>
        <w:pStyle w:val="TextBody"/>
        <w:bidi w:val="0"/>
        <w:spacing w:lineRule="auto" w:line="288" w:before="235"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(iii)continuation of health insurance coverage rights, if any, as required</w:t>
      </w:r>
    </w:p>
    <w:p>
      <w:pPr>
        <w:pStyle w:val="TextBody"/>
        <w:bidi w:val="0"/>
        <w:spacing w:lineRule="auto" w:line="288" w:before="3" w:after="283"/>
        <w:jc w:val="left"/>
        <w:rPr>
          <w:rFonts w:ascii="Times New Roman;serif" w:hAnsi="Times New Roman;serif"/>
          <w:b w:val="false"/>
          <w:color w:val="000000"/>
          <w:sz w:val="24"/>
        </w:rPr>
      </w:pPr>
      <w:r>
        <w:rPr>
          <w:rFonts w:ascii="Times New Roman;serif" w:hAnsi="Times New Roman;serif"/>
          <w:b w:val="false"/>
          <w:color w:val="000000"/>
          <w:sz w:val="24"/>
        </w:rPr>
        <w:t>under applicable law.</w:t>
      </w:r>
    </w:p>
    <w:p>
      <w:pPr>
        <w:pStyle w:val="TextBody"/>
        <w:bidi w:val="0"/>
        <w:spacing w:lineRule="auto" w:line="280" w:before="237"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for Cause; Resignation without Good Reason; Mutual</w:t>
      </w:r>
      <w:r>
        <w:rPr>
          <w:color w:val="000000"/>
        </w:rPr>
        <w:t xml:space="preserve"> </w:t>
      </w:r>
      <w:r>
        <w:rPr>
          <w:rFonts w:ascii="Times New Roman;serif" w:hAnsi="Times New Roman;serif"/>
          <w:b w:val="false"/>
          <w:color w:val="000000"/>
          <w:sz w:val="24"/>
          <w:u w:val="single"/>
        </w:rPr>
        <w:t>Agreement; Nonrenewal by the Employee; Death or Disability</w:t>
      </w:r>
      <w:r>
        <w:rPr>
          <w:rFonts w:ascii="Times New Roman;serif" w:hAnsi="Times New Roman;serif"/>
          <w:b w:val="false"/>
          <w:color w:val="000000"/>
          <w:sz w:val="24"/>
        </w:rPr>
        <w:t>.</w:t>
      </w:r>
    </w:p>
    <w:p>
      <w:pPr>
        <w:pStyle w:val="TextBody"/>
        <w:bidi w:val="0"/>
        <w:spacing w:lineRule="auto" w:line="288" w:before="236" w:after="283"/>
        <w:ind w:left="0" w:right="0" w:firstLine="2160"/>
        <w:jc w:val="both"/>
        <w:rPr/>
      </w:pPr>
      <w:r>
        <w:rPr>
          <w:rFonts w:ascii="Times New Roman;serif" w:hAnsi="Times New Roman;serif"/>
          <w:b w:val="false"/>
          <w:color w:val="000000"/>
          <w:sz w:val="24"/>
        </w:rPr>
        <w:t xml:space="preserve">(i)In the event of the Employee’s termination of employment by reason of (A) a termination by the Employer for Cause, (B) resignation by the Employee without Good Reason or (C) mutual agreement, the Employer shall have no current or further obligations (including Base Salary) to the Employee under this Agreement other than as set forth in </w:t>
      </w:r>
      <w:r>
        <w:rPr>
          <w:rFonts w:ascii="Times New Roman;serif" w:hAnsi="Times New Roman;serif"/>
          <w:b w:val="false"/>
          <w:color w:val="000000"/>
          <w:sz w:val="24"/>
          <w:u w:val="single"/>
        </w:rPr>
        <w:t xml:space="preserve">Section </w:t>
      </w:r>
      <w:hyperlink w:anchor="i90e2b82dc0ee4eb8a8143e6afcdd99ce_4">
        <w:r>
          <w:rPr>
            <w:rStyle w:val="InternetLink"/>
          </w:rPr>
          <w:t>6(a)</w:t>
        </w:r>
      </w:hyperlink>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the Employee’s termination of employment by reason of (A) the Employee’s death, (B) the Employee’s Disability or (C) delivery by the Employee of a Notice of Nonrenewal, the Employer shall have no current or further obligations (including Base Salary)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15975"/>
                <wp:effectExtent l="0" t="0" r="0" b="0"/>
                <wp:wrapNone/>
                <wp:docPr id="122" name="Frame12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pPr>
      <w:r>
        <w:rPr>
          <w:rFonts w:ascii="Times New Roman;serif" w:hAnsi="Times New Roman;serif"/>
          <w:b w:val="false"/>
          <w:color w:val="000000"/>
          <w:sz w:val="24"/>
        </w:rPr>
        <w:t xml:space="preserve">Employee under this Agreement other than as set forth in </w:t>
      </w:r>
      <w:r>
        <w:rPr>
          <w:rFonts w:ascii="Times New Roman;serif" w:hAnsi="Times New Roman;serif"/>
          <w:b w:val="false"/>
          <w:color w:val="000000"/>
          <w:sz w:val="24"/>
          <w:u w:val="single"/>
        </w:rPr>
        <w:t xml:space="preserve">Section </w:t>
      </w:r>
      <w:hyperlink w:anchor="i90e2b82dc0ee4eb8a8143e6afcdd99ce_4">
        <w:r>
          <w:rPr>
            <w:rStyle w:val="InternetLink"/>
          </w:rPr>
          <w:t>6(a)</w:t>
        </w:r>
      </w:hyperlink>
      <w:r>
        <w:rPr>
          <w:color w:val="000000"/>
        </w:rPr>
        <w:t xml:space="preserve"> </w:t>
      </w:r>
      <w:r>
        <w:rPr>
          <w:rFonts w:ascii="Times New Roman;serif" w:hAnsi="Times New Roman;serif"/>
          <w:b w:val="false"/>
          <w:color w:val="000000"/>
          <w:sz w:val="24"/>
        </w:rPr>
        <w:t>and payment of any Bonus for any calendar year preceding the calendar year in which termination occurs which</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15975"/>
                <wp:effectExtent l="0" t="0" r="0" b="0"/>
                <wp:wrapNone/>
                <wp:docPr id="123" name="Frame12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pPr>
      <w:r>
        <w:rPr>
          <w:rFonts w:ascii="Times New Roman;serif" w:hAnsi="Times New Roman;serif"/>
          <w:b w:val="false"/>
          <w:color w:val="000000"/>
          <w:sz w:val="24"/>
        </w:rPr>
        <w:t>has not yet been paid, payable at the time bonuses for such calendar year are otherwise payable to senior executives of the Employer (“</w:t>
      </w:r>
      <w:r>
        <w:rPr>
          <w:rFonts w:ascii="Times New Roman;serif" w:hAnsi="Times New Roman;serif"/>
          <w:b w:val="false"/>
          <w:color w:val="000000"/>
          <w:sz w:val="24"/>
          <w:u w:val="single"/>
        </w:rPr>
        <w:t>Prior Year Bonus</w:t>
      </w:r>
      <w:r>
        <w:rPr>
          <w:color w:val="000000"/>
        </w:rPr>
        <w:t>”</w:t>
      </w:r>
      <w:r>
        <w:rPr>
          <w:rFonts w:ascii="Times New Roman;serif" w:hAnsi="Times New Roman;serif"/>
          <w:b w:val="false"/>
          <w:color w:val="000000"/>
          <w:sz w:val="24"/>
        </w:rPr>
        <w:t>).</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without Cause, Resignation with Good Reason or Nonrenewal</w:t>
      </w:r>
      <w:r>
        <w:rPr>
          <w:color w:val="000000"/>
        </w:rPr>
        <w:t xml:space="preserve"> </w:t>
      </w:r>
      <w:r>
        <w:rPr>
          <w:rFonts w:ascii="Times New Roman;serif" w:hAnsi="Times New Roman;serif"/>
          <w:b w:val="false"/>
          <w:color w:val="000000"/>
          <w:sz w:val="24"/>
          <w:u w:val="single"/>
        </w:rPr>
        <w:t>by the Employer</w:t>
      </w:r>
      <w:r>
        <w:rPr>
          <w:rFonts w:ascii="Times New Roman;serif" w:hAnsi="Times New Roman;serif"/>
          <w:b w:val="false"/>
          <w:color w:val="000000"/>
          <w:sz w:val="24"/>
        </w:rPr>
        <w:t>. In the event of the Employee’s termination of employment hereunder at any time on or after the date that is ninety (90) days after the Effective Date, by reason of (i) a termination by the Employer without Cause, (ii) resignation by the Employee with Good Reason or</w:t>
      </w:r>
    </w:p>
    <w:p>
      <w:pPr>
        <w:pStyle w:val="TextBody"/>
        <w:bidi w:val="0"/>
        <w:spacing w:lineRule="auto" w:line="288" w:before="1" w:after="283"/>
        <w:jc w:val="both"/>
        <w:rPr/>
      </w:pPr>
      <w:r>
        <w:rPr>
          <w:rFonts w:ascii="Times New Roman;serif" w:hAnsi="Times New Roman;serif"/>
          <w:b w:val="false"/>
          <w:color w:val="000000"/>
          <w:sz w:val="24"/>
        </w:rPr>
        <w:t xml:space="preserve">(iii) delivery by the Employer of a Notice of Nonrenewal, the Employer shall pay or provide to the Employee the payments and benefits set forth in </w:t>
      </w:r>
      <w:r>
        <w:rPr>
          <w:rFonts w:ascii="Times New Roman;serif" w:hAnsi="Times New Roman;serif"/>
          <w:b w:val="false"/>
          <w:color w:val="000000"/>
          <w:sz w:val="24"/>
          <w:u w:val="single"/>
        </w:rPr>
        <w:t xml:space="preserve">Section </w:t>
      </w:r>
      <w:hyperlink w:anchor="i90e2b82dc0ee4eb8a8143e6afcdd99ce_4">
        <w:r>
          <w:rPr>
            <w:rStyle w:val="InternetLink"/>
          </w:rPr>
          <w:t>6(a)</w:t>
        </w:r>
      </w:hyperlink>
      <w:r>
        <w:rPr>
          <w:color w:val="000000"/>
        </w:rPr>
        <w:t xml:space="preserve"> </w:t>
      </w:r>
      <w:r>
        <w:rPr>
          <w:rFonts w:ascii="Times New Roman;serif" w:hAnsi="Times New Roman;serif"/>
          <w:b w:val="false"/>
          <w:color w:val="000000"/>
          <w:sz w:val="24"/>
        </w:rPr>
        <w:t>and payment of any Prior Year Bonus. In addition, in the event of any such termination on or after the date that is ninety (90) days after the Effective Date, subject to the Employee’s execution and non-revocation of a customary general waiver and release of claims in such form as provided by the Employer (a “Release”) in accordance with Section 6(d) and the Employee’s continued full performance of obligations under Sections 10 and 11, and in lieu of any severance benefits that may be payable to the Employee under a separate severance agreement or an executive severance plan as a result of such termination, the Employer shall pay or provide to the Employee the following (the “Severance Benefits”):</w:t>
      </w:r>
    </w:p>
    <w:p>
      <w:pPr>
        <w:pStyle w:val="TextBody"/>
        <w:bidi w:val="0"/>
        <w:spacing w:lineRule="auto" w:line="288" w:before="241"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(i)severance pay in an aggregate amount equal to one and one</w:t>
        <w:noBreakHyphen/>
        <w:t>half (1.5) times the sum of (1) Base Salary, plus (2) the Target Bonus Percentage, paid in substantially equal installments over the eighteen (18)-month period following the Termination Date in accordance with the Employer’s normal payroll practices;</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(ii)a pro rata amount of the Bonus, if any, which would have been payable to the Employee for the calendar year in which the Termination Date occurs, determined after the end of the calendar year in which such Termination Date occurs and equal to the amount which would have been payable to the Employee if Employee’s employment had not been terminated during such calendar year multiplied by the fraction, the numerator of which is the number of whole months the Employee was employed by the Employer during such calendar year and the denominator of which is 12; it being understood that any pro rata bonus payable under this clause (ii) shall be paid in a lump sum at the time bonuses for such calendar year are otherwise payable to senior executives of the Employer; and</w:t>
      </w:r>
    </w:p>
    <w:p>
      <w:pPr>
        <w:pStyle w:val="TextBody"/>
        <w:bidi w:val="0"/>
        <w:spacing w:lineRule="auto" w:line="288" w:before="239"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(iii)if the Employee elects COBRA benefits, the Employer shall pay or reimburse the Employee’s share of the premium for such COBRA benefits until the earlier of (A) the first annual anniversary of the Termination Date; or (B) the date that the Employee is eligible to receive health benefits through new employment; it being understood that (x) the Employee is required to notify the Employer immediately if Employee begins new employment during such period and to repay promptly any excess benefits contributions made by the Employer; and</w:t>
      </w:r>
    </w:p>
    <w:p>
      <w:pPr>
        <w:pStyle w:val="TextBody"/>
        <w:bidi w:val="0"/>
        <w:spacing w:lineRule="auto" w:line="280" w:before="0" w:after="0"/>
        <w:jc w:val="both"/>
        <w:rPr>
          <w:rFonts w:ascii="Times New Roman;serif" w:hAnsi="Times New Roman;serif"/>
          <w:b w:val="false"/>
          <w:color w:val="000000"/>
          <w:sz w:val="24"/>
        </w:rPr>
      </w:pPr>
      <w:r>
        <w:rPr>
          <w:rFonts w:ascii="Times New Roman;serif" w:hAnsi="Times New Roman;serif"/>
          <w:b w:val="false"/>
          <w:color w:val="000000"/>
          <w:sz w:val="24"/>
        </w:rPr>
        <w:t>(y) after the Employer’s payment or reimbursement obligation ends, the Employee may continue benefits coverage for the remainder of the COBRA period, if any, by paying the full premium cost of such benefits.</w:t>
      </w:r>
    </w:p>
    <w:p>
      <w:pPr>
        <w:pStyle w:val="TextBody"/>
        <w:bidi w:val="0"/>
        <w:spacing w:lineRule="auto" w:line="288" w:before="235"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Release Condition</w:t>
      </w:r>
      <w:r>
        <w:rPr>
          <w:rFonts w:ascii="Times New Roman;serif" w:hAnsi="Times New Roman;serif"/>
          <w:b w:val="false"/>
          <w:color w:val="000000"/>
          <w:sz w:val="24"/>
        </w:rPr>
        <w:t xml:space="preserve">. Notwithstanding anything to the contrary in this Agreement, to the extent that any payments due under this Agreement as a result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15975"/>
                <wp:effectExtent l="0" t="0" r="0" b="0"/>
                <wp:wrapNone/>
                <wp:docPr id="124" name="Frame12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5" w:after="283"/>
        <w:jc w:val="both"/>
        <w:rPr>
          <w:rFonts w:ascii="Times New Roman;serif" w:hAnsi="Times New Roman;serif"/>
          <w:b w:val="false"/>
          <w:color w:val="000000"/>
          <w:sz w:val="24"/>
        </w:rPr>
      </w:pPr>
      <w:r>
        <w:rPr>
          <w:rFonts w:ascii="Times New Roman;serif" w:hAnsi="Times New Roman;serif"/>
          <w:b w:val="false"/>
          <w:color w:val="000000"/>
          <w:sz w:val="24"/>
        </w:rPr>
        <w:t>termination of the Employee’s employment are subject to the Employee’s execution and delivery of a Release,</w:t>
      </w:r>
    </w:p>
    <w:p>
      <w:pPr>
        <w:pStyle w:val="TextBody"/>
        <w:bidi w:val="0"/>
        <w:spacing w:lineRule="atLeast" w:line="274"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such payments shall be made prior to the first normal payroll date of the Employer occurring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15975"/>
                <wp:effectExtent l="0" t="0" r="0" b="0"/>
                <wp:wrapNone/>
                <wp:docPr id="125" name="Frame12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 xml:space="preserve">on or after the Release Effective Date, (ii) the Employer shall deliver the Release to the Employee within ten business days following the Termination Date, (iii) if the Employee fails to execute the Release on or prior to the Release Expiration Date (as defined below) or the Employee timely revokes Employee’s acceptance of the Release within the seven day period following the Release Expiration Date, the Employee shall not be entitled to the Severance Benefits otherwise conditioned on the Release, and (iv) if the Employee executes the Release on or prior to the Release Expiration Date and does not timely revoke Employee’s acceptance of the Release within the seven day period following the Release Expiration Date, any Severance Benefits that would otherwise have been paid to the Employee prior to the first normal payroll date of the Employer occurring on or after the Release Effective Date but for clause (i) above shall be paid on the first normal payroll date of the Employer occurring on or after the Release Effective Date. For purposes of this </w:t>
      </w:r>
      <w:r>
        <w:rPr>
          <w:rFonts w:ascii="Times New Roman;serif" w:hAnsi="Times New Roman;serif"/>
          <w:b w:val="false"/>
          <w:color w:val="000000"/>
          <w:sz w:val="24"/>
          <w:u w:val="single"/>
        </w:rPr>
        <w:t xml:space="preserve">Section </w:t>
      </w:r>
      <w:hyperlink w:anchor="i90e2b82dc0ee4eb8a8143e6afcdd99ce_4">
        <w:r>
          <w:rPr>
            <w:rStyle w:val="InternetLink"/>
          </w:rPr>
          <w:t>6(d)</w:t>
        </w:r>
      </w:hyperlink>
      <w:r>
        <w:rPr>
          <w:rFonts w:ascii="Times New Roman;serif" w:hAnsi="Times New Roman;serif"/>
          <w:b w:val="false"/>
          <w:color w:val="000000"/>
          <w:sz w:val="24"/>
        </w:rPr>
        <w:t>, “</w:t>
      </w:r>
      <w:r>
        <w:rPr>
          <w:rFonts w:ascii="Times New Roman;serif" w:hAnsi="Times New Roman;serif"/>
          <w:b w:val="false"/>
          <w:color w:val="000000"/>
          <w:sz w:val="24"/>
          <w:u w:val="single"/>
        </w:rPr>
        <w:t>Release Expiration Date</w:t>
      </w:r>
      <w:r>
        <w:rPr>
          <w:color w:val="000000"/>
        </w:rPr>
        <w:t xml:space="preserve">” </w:t>
      </w:r>
      <w:r>
        <w:rPr>
          <w:rFonts w:ascii="Times New Roman;serif" w:hAnsi="Times New Roman;serif"/>
          <w:b w:val="false"/>
          <w:color w:val="000000"/>
          <w:sz w:val="24"/>
        </w:rPr>
        <w:t>shall mean the date that is 21 days following the date upon which the Employer timely delivers the Release to the Employee, or, in the event that termination of the Employee’s employment is “in connection with an exit incentive or other employment termination program” (as such phrase is defined in the Age Discrimination in Employment Act of 1967), the date that is 45 days following such delivery date, and “</w:t>
      </w:r>
      <w:r>
        <w:rPr>
          <w:rFonts w:ascii="Times New Roman;serif" w:hAnsi="Times New Roman;serif"/>
          <w:b w:val="false"/>
          <w:color w:val="000000"/>
          <w:sz w:val="24"/>
          <w:u w:val="single"/>
        </w:rPr>
        <w:t>Release Effective Date</w:t>
      </w:r>
      <w:r>
        <w:rPr>
          <w:color w:val="000000"/>
        </w:rPr>
        <w:t xml:space="preserve">” </w:t>
      </w:r>
      <w:r>
        <w:rPr>
          <w:rFonts w:ascii="Times New Roman;serif" w:hAnsi="Times New Roman;serif"/>
          <w:b w:val="false"/>
          <w:color w:val="000000"/>
          <w:sz w:val="24"/>
        </w:rPr>
        <w:t>shall mean the eighth day following the Release Expiration Date, provided that the Employee executes the Release on or prior to the Release Expiration Date and does not timely revoke Employee’s acceptance of the Release within the seven day period following the Release Expiration Date.</w:t>
      </w:r>
    </w:p>
    <w:p>
      <w:pPr>
        <w:pStyle w:val="TextBody"/>
        <w:bidi w:val="0"/>
        <w:spacing w:lineRule="auto" w:line="280" w:before="239"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Exclusive Remedy</w:t>
      </w:r>
      <w:r>
        <w:rPr>
          <w:rFonts w:ascii="Times New Roman;serif" w:hAnsi="Times New Roman;serif"/>
          <w:b w:val="false"/>
          <w:color w:val="000000"/>
          <w:sz w:val="24"/>
        </w:rPr>
        <w:t>. The rights of the Employee set forth in this Section 6 are intended to be the Employee’s exclusive remedy for termination and any severance benefits related thereto and, to the greatest extent permitted by applicable law, the Employee waives all other remedies,.</w:t>
      </w:r>
    </w:p>
    <w:p>
      <w:pPr>
        <w:pStyle w:val="TextBody"/>
        <w:bidi w:val="0"/>
        <w:spacing w:lineRule="auto" w:line="288" w:before="23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Insurance</w:t>
      </w:r>
      <w:r>
        <w:rPr>
          <w:rFonts w:ascii="Times New Roman;serif" w:hAnsi="Times New Roman;serif"/>
          <w:b w:val="false"/>
          <w:color w:val="000000"/>
          <w:sz w:val="24"/>
        </w:rPr>
        <w:t>. The Employer or one of its Affiliates may, for its own benefit, maintain “key man” life and disability insurance policies covering the Employee. The Employee will cooperate with the Employer or its Affiliates and provide such information or other assistance, in each case, as they may reasonably request in connection with obtaining and maintaining such policies.</w:t>
      </w:r>
    </w:p>
    <w:p>
      <w:pPr>
        <w:pStyle w:val="TextBody"/>
        <w:bidi w:val="0"/>
        <w:spacing w:lineRule="auto" w:line="288" w:before="243"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The Employee’s Termination Obligations</w:t>
      </w:r>
      <w:r>
        <w:rPr>
          <w:rFonts w:ascii="Times New Roman;serif" w:hAnsi="Times New Roman;serif"/>
          <w:b w:val="false"/>
          <w:color w:val="000000"/>
          <w:sz w:val="24"/>
        </w:rPr>
        <w:t>. The Employee hereby acknowledges and agrees that all personal property and equipment furnished to or prepared by the Employee in the course of or incident to Employee’s employment hereunder belongs to the Employer and shall be promptly returned to the Employer upon termination of the Employee’s employment or, at any event, at the Employer’s request. The term “personal property” includes, without limitation, all office equipment, laptop computers, cell phones, books, manuals, records, reports, notes, contracts, requests for proposals, bids, lists, blueprints, and other documents, or materials, or copies thereof (including computer files), and all other proprietary and non-proprietary information relating to the business of the Employer. Following termination of Employee’s employment hereunder, the Employee will not retain any written or other tangible material containing any proprietary or non-proprietary information of the Employer.</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Acknowledgment of Protectable Interests</w:t>
      </w:r>
      <w:r>
        <w:rPr>
          <w:rFonts w:ascii="Times New Roman;serif" w:hAnsi="Times New Roman;serif"/>
          <w:b w:val="false"/>
          <w:color w:val="000000"/>
          <w:sz w:val="24"/>
        </w:rPr>
        <w:t xml:space="preserve">. The Employee acknowledges and agrees that Employee’s employment with the Employer involves building and maintaining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15975"/>
                <wp:effectExtent l="0" t="0" r="0" b="0"/>
                <wp:wrapNone/>
                <wp:docPr id="126" name="Frame12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relationships and good will on behalf of the Employer with customers, patients, physicians and other professional contractors, employees and staff, and various providers and users of health care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15975"/>
                <wp:effectExtent l="0" t="0" r="0" b="0"/>
                <wp:wrapNone/>
                <wp:docPr id="127" name="Frame12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both"/>
        <w:rPr>
          <w:rFonts w:ascii="Times New Roman;serif" w:hAnsi="Times New Roman;serif"/>
          <w:b w:val="false"/>
          <w:color w:val="000000"/>
          <w:sz w:val="24"/>
        </w:rPr>
      </w:pPr>
      <w:r>
        <w:rPr>
          <w:rFonts w:ascii="Times New Roman;serif" w:hAnsi="Times New Roman;serif"/>
          <w:b w:val="false"/>
          <w:color w:val="000000"/>
          <w:sz w:val="24"/>
        </w:rPr>
        <w:t>services; that Employee is entrusted with proprietary, strategic and other confidential information which is of special value to the Employer; and that the foregoing matters are significant interests that the Employer is entitled to protect.</w:t>
      </w:r>
    </w:p>
    <w:p>
      <w:pPr>
        <w:pStyle w:val="TextBody"/>
        <w:bidi w:val="0"/>
        <w:spacing w:lineRule="auto" w:line="288" w:before="229"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 All Confidential Information that comes or has come into the Employee’s possession by reason of Employee’s employment hereunder is the property of the Employer and shall not be used except in the course of employment by the Employer and for the Employer’s exclusive benefit. Further, the Employee shall not, during Employee’s employment or thereafter, disclose or acknowledge the content of any Confidential Information to any person who is not an employee of the Employer authorized to possess such Confidential Information. Upon termination of employment, the Employee shall deliver to the Employer all documents, writings, electronic storage devices, and other tangible things containing any Confidential Information and the Employee shall not make or retain copies, excerpts, or notes of such information.</w:t>
      </w:r>
    </w:p>
    <w:p>
      <w:pPr>
        <w:pStyle w:val="TextBody"/>
        <w:bidi w:val="0"/>
        <w:spacing w:lineRule="auto" w:line="288" w:before="248" w:after="283"/>
        <w:ind w:left="0" w:right="0" w:hanging="719"/>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88" w:before="234" w:after="283"/>
        <w:ind w:left="0" w:right="0" w:firstLine="1440"/>
        <w:jc w:val="both"/>
        <w:rPr/>
      </w:pPr>
      <w:r>
        <w:rPr>
          <w:rFonts w:ascii="Times New Roman;serif" w:hAnsi="Times New Roman;serif"/>
          <w:b w:val="false"/>
          <w:color w:val="000000"/>
          <w:sz w:val="24"/>
        </w:rPr>
        <w:t xml:space="preserve">(a)During the Employment Period, the Employee shall not, directly or indirectly, without written approval by the Board , accept or perform any work, consulting, or other services for any other business entity or for remuneration of any kind. Without limiting the foregoing, during the Employment Period, the Employee shall not, directly or indirectly, without written approval by the Board, engage in activities or businesses (including, without limitation, owning any interest in, managing, controlling, participating in, consulting with, advising, rendering services for, or in any manner engaging in the business of owning, operating or managing any business) that are principally or primarily involved in holding, managing or acquiring investments in the healthcare industry or other similar business in which the Employer is engaged (or so engage with, for or on behalf of any customer of the Employer), provided, however, that neither (i) the passive ownership by the Employee of not more than 2.0% of the outstanding equity securities of a publicly traded company nor (ii) the Employee’s ownership of the securities or interests described on </w:t>
      </w:r>
      <w:r>
        <w:rPr>
          <w:rFonts w:ascii="Times New Roman;serif" w:hAnsi="Times New Roman;serif"/>
          <w:b w:val="false"/>
          <w:color w:val="000000"/>
          <w:sz w:val="24"/>
          <w:u w:val="single"/>
        </w:rPr>
        <w:t>Schedule 2</w:t>
      </w:r>
      <w:r>
        <w:rPr>
          <w:color w:val="000000"/>
        </w:rPr>
        <w:t xml:space="preserve"> </w:t>
      </w:r>
      <w:r>
        <w:rPr>
          <w:rFonts w:ascii="Times New Roman;serif" w:hAnsi="Times New Roman;serif"/>
          <w:b w:val="false"/>
          <w:color w:val="000000"/>
          <w:sz w:val="24"/>
        </w:rPr>
        <w:t xml:space="preserve">shall constitute a violation of this </w:t>
      </w:r>
      <w:r>
        <w:rPr>
          <w:rFonts w:ascii="Times New Roman;serif" w:hAnsi="Times New Roman;serif"/>
          <w:b w:val="false"/>
          <w:color w:val="000000"/>
          <w:sz w:val="24"/>
          <w:u w:val="single"/>
        </w:rPr>
        <w:t>Section 11(a)</w:t>
      </w:r>
      <w:r>
        <w:rPr>
          <w:rFonts w:ascii="Times New Roman;serif" w:hAnsi="Times New Roman;serif"/>
          <w:b w:val="false"/>
          <w:color w:val="000000"/>
          <w:sz w:val="24"/>
        </w:rPr>
        <w:t>; provided that the Employee does not otherwise violate this Agreement. If the Employee acquires knowledge of a business venture which may be a business venture or prospective business venture (“</w:t>
      </w:r>
      <w:r>
        <w:rPr>
          <w:rFonts w:ascii="Times New Roman;serif" w:hAnsi="Times New Roman;serif"/>
          <w:b w:val="false"/>
          <w:color w:val="000000"/>
          <w:sz w:val="24"/>
          <w:u w:val="single"/>
        </w:rPr>
        <w:t>Corporate Opportunity</w:t>
      </w:r>
      <w:r>
        <w:rPr>
          <w:color w:val="000000"/>
        </w:rPr>
        <w:t>”</w:t>
      </w:r>
      <w:r>
        <w:rPr>
          <w:rFonts w:ascii="Times New Roman;serif" w:hAnsi="Times New Roman;serif"/>
          <w:b w:val="false"/>
          <w:color w:val="000000"/>
          <w:sz w:val="24"/>
        </w:rPr>
        <w:t>) in which the Employer would reasonably be expected to have an interest or expectancy, or otherwise is exploiting any Corporate Opportunity, the Employee shall promptly bring such opportunity to the Employer. The Employee shall not have the right to hold any such Corporate Opportunity for Employee’s own account or benefit (or for the account or benefit of Employee’s agents’, partners’ or Affiliates’), or to recommend, assign or otherwise transfer or deal in such Corporate Opportunity with Persons other than the Employer.</w:t>
      </w:r>
    </w:p>
    <w:p>
      <w:pPr>
        <w:pStyle w:val="TextBody"/>
        <w:bidi w:val="0"/>
        <w:spacing w:lineRule="auto" w:line="288" w:before="244"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(b)During and after the Employment Period, the Employee shall not use or disclose the Employer’s Confidential Information to solicit, induce, or encourage any other employee of the Employer to leave their employment, to the extent such solicitation would involve the use or disclosure of the Employer’s trade secrets or other Confidential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15975"/>
                <wp:effectExtent l="0" t="0" r="0" b="0"/>
                <wp:wrapNone/>
                <wp:docPr id="128" name="Frame12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During the Employment Period and for a period of one year thereafter, the Employee shall not, directly or indirectly, use the Employer’s Confidential Information to induce, attempt to induce or knowingly encourage any Customer (as defined below) of the Employer to divert any business or income from the Employer, or to stop or alter the manner in which it is then</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15975"/>
                <wp:effectExtent l="0" t="0" r="0" b="0"/>
                <wp:wrapNone/>
                <wp:docPr id="129" name="Frame12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doing business with the Employer. The term “</w:t>
      </w:r>
      <w:r>
        <w:rPr>
          <w:rFonts w:ascii="Times New Roman;serif" w:hAnsi="Times New Roman;serif"/>
          <w:b w:val="false"/>
          <w:color w:val="000000"/>
          <w:sz w:val="24"/>
          <w:u w:val="single"/>
        </w:rPr>
        <w:t>Customer</w:t>
      </w:r>
      <w:r>
        <w:rPr>
          <w:color w:val="000000"/>
        </w:rPr>
        <w:t xml:space="preserve">” </w:t>
      </w:r>
      <w:r>
        <w:rPr>
          <w:rFonts w:ascii="Times New Roman;serif" w:hAnsi="Times New Roman;serif"/>
          <w:b w:val="false"/>
          <w:color w:val="000000"/>
          <w:sz w:val="24"/>
        </w:rPr>
        <w:t>with respect to the Employer shall mean any individual or business firm that is, or within the prior 24 months was, a customer or client of the Employer, or whose business was actively solicited by the Employer at any time, regardless of whether such customer or client was generated, in whole or in part, by the Employee’s efforts.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(c)During the Employment Period and thereafter, the Employee shall not make any defamatory or disparaging statement concerning the Employer or its Affiliates, or their respective predecessors and successors, or any of the current or former directors, employees, officers, managers, shareholders, partners, members, agents or representatives of any of the foregoing (the “</w:t>
      </w:r>
      <w:r>
        <w:rPr>
          <w:rFonts w:ascii="Times New Roman;serif" w:hAnsi="Times New Roman;serif"/>
          <w:b w:val="false"/>
          <w:color w:val="000000"/>
          <w:sz w:val="24"/>
          <w:u w:val="single"/>
        </w:rPr>
        <w:t>Protected Persons</w:t>
      </w:r>
      <w:r>
        <w:rPr>
          <w:color w:val="000000"/>
        </w:rPr>
        <w:t>”</w:t>
      </w:r>
      <w:r>
        <w:rPr>
          <w:rFonts w:ascii="Times New Roman;serif" w:hAnsi="Times New Roman;serif"/>
          <w:b w:val="false"/>
          <w:color w:val="000000"/>
          <w:sz w:val="24"/>
        </w:rPr>
        <w:t>) to the extent such statement could be reasonably likely to damage the reputation and/or financial position of any of the Protected Persons. Notwithstanding the foregoing, nothing herein shall or shall be deemed to prevent or impair the Employee from (i) testifying truthfully in any legal or administrative proceeding if such testimony is compelled or requested, (ii) making competitive-type statements that are normal and customary for the industry in the context of product or service comparisons and the like, (iii) making good faith statements in the good faith performance of the Employee’s duties for the Employer or its Affiliates, or</w:t>
      </w:r>
    </w:p>
    <w:p>
      <w:pPr>
        <w:pStyle w:val="TextBody"/>
        <w:bidi w:val="0"/>
        <w:spacing w:lineRule="auto" w:line="285" w:before="0" w:after="0"/>
        <w:jc w:val="both"/>
        <w:rPr>
          <w:rFonts w:ascii="Times New Roman;serif" w:hAnsi="Times New Roman;serif"/>
          <w:b w:val="false"/>
          <w:color w:val="000000"/>
          <w:sz w:val="24"/>
        </w:rPr>
      </w:pPr>
      <w:r>
        <w:rPr>
          <w:rFonts w:ascii="Times New Roman;serif" w:hAnsi="Times New Roman;serif"/>
          <w:b w:val="false"/>
          <w:color w:val="000000"/>
          <w:sz w:val="24"/>
        </w:rPr>
        <w:t>(iv) engaging in protected concerted activity or exercising rights under the National Labor Relations Act.</w:t>
      </w:r>
    </w:p>
    <w:p>
      <w:pPr>
        <w:pStyle w:val="TextBody"/>
        <w:bidi w:val="0"/>
        <w:spacing w:lineRule="auto" w:line="288" w:before="223" w:after="283"/>
        <w:ind w:left="0" w:right="0" w:firstLine="1440"/>
        <w:jc w:val="both"/>
        <w:rPr/>
      </w:pPr>
      <w:r>
        <w:rPr>
          <w:rFonts w:ascii="Times New Roman;serif" w:hAnsi="Times New Roman;serif"/>
          <w:b w:val="false"/>
          <w:color w:val="000000"/>
          <w:sz w:val="24"/>
        </w:rPr>
        <w:t xml:space="preserve">(d)The Employee acknowledges that the provisions of </w:t>
      </w:r>
      <w:r>
        <w:rPr>
          <w:rFonts w:ascii="Times New Roman;serif" w:hAnsi="Times New Roman;serif"/>
          <w:b w:val="false"/>
          <w:color w:val="000000"/>
          <w:sz w:val="24"/>
          <w:u w:val="single"/>
        </w:rPr>
        <w:t xml:space="preserve">Sections </w:t>
      </w:r>
      <w:hyperlink w:anchor="i90e2b82dc0ee4eb8a8143e6afcdd99ce_4">
        <w:r>
          <w:rPr>
            <w:rStyle w:val="InternetLink"/>
          </w:rPr>
          <w:t>10</w:t>
        </w:r>
      </w:hyperlink>
      <w:r>
        <w:rPr>
          <w:rFonts w:ascii="Times New Roman;serif" w:hAnsi="Times New Roman;serif"/>
          <w:b w:val="false"/>
          <w:color w:val="000000"/>
          <w:sz w:val="24"/>
          <w:u w:val="single"/>
        </w:rPr>
        <w:t xml:space="preserve"> and </w:t>
      </w:r>
      <w:hyperlink w:anchor="i90e2b82dc0ee4eb8a8143e6afcdd99ce_4">
        <w:r>
          <w:rPr>
            <w:rStyle w:val="InternetLink"/>
          </w:rPr>
          <w:t>11</w:t>
        </w:r>
      </w:hyperlink>
      <w:r>
        <w:rPr>
          <w:color w:val="000000"/>
        </w:rPr>
        <w:t xml:space="preserve"> </w:t>
      </w:r>
      <w:r>
        <w:rPr>
          <w:rFonts w:ascii="Times New Roman;serif" w:hAnsi="Times New Roman;serif"/>
          <w:b w:val="false"/>
          <w:color w:val="000000"/>
          <w:sz w:val="24"/>
        </w:rPr>
        <w:t xml:space="preserve">are reasonable and necessary to protect the continuing interests of the Employer, and any violation of </w:t>
      </w:r>
      <w:r>
        <w:rPr>
          <w:rFonts w:ascii="Times New Roman;serif" w:hAnsi="Times New Roman;serif"/>
          <w:b w:val="false"/>
          <w:color w:val="000000"/>
          <w:sz w:val="24"/>
          <w:u w:val="single"/>
        </w:rPr>
        <w:t xml:space="preserve">Sections </w:t>
      </w:r>
      <w:hyperlink w:anchor="i90e2b82dc0ee4eb8a8143e6afcdd99ce_4">
        <w:r>
          <w:rPr>
            <w:rStyle w:val="InternetLink"/>
          </w:rPr>
          <w:t>10</w:t>
        </w:r>
      </w:hyperlink>
      <w:r>
        <w:rPr>
          <w:rFonts w:ascii="Times New Roman;serif" w:hAnsi="Times New Roman;serif"/>
          <w:b w:val="false"/>
          <w:color w:val="000000"/>
          <w:sz w:val="24"/>
          <w:u w:val="single"/>
        </w:rPr>
        <w:t xml:space="preserve"> and </w:t>
      </w:r>
      <w:hyperlink w:anchor="i90e2b82dc0ee4eb8a8143e6afcdd99ce_4">
        <w:r>
          <w:rPr>
            <w:rStyle w:val="InternetLink"/>
          </w:rPr>
          <w:t>11</w:t>
        </w:r>
      </w:hyperlink>
      <w:r>
        <w:rPr>
          <w:color w:val="000000"/>
        </w:rPr>
        <w:t xml:space="preserve"> </w:t>
      </w:r>
      <w:r>
        <w:rPr>
          <w:rFonts w:ascii="Times New Roman;serif" w:hAnsi="Times New Roman;serif"/>
          <w:b w:val="false"/>
          <w:color w:val="000000"/>
          <w:sz w:val="24"/>
        </w:rPr>
        <w:t xml:space="preserve">will result in irreparable injury to the Employer, the exact amount of which will be difficult to ascertain, and that the remedies at law for any such violation would not reasonably or adequately compensate the Employer for such violation. Accordingly, the Employee agrees that if the Employee violates any of the provision of </w:t>
      </w:r>
      <w:r>
        <w:rPr>
          <w:rFonts w:ascii="Times New Roman;serif" w:hAnsi="Times New Roman;serif"/>
          <w:b w:val="false"/>
          <w:color w:val="000000"/>
          <w:sz w:val="24"/>
          <w:u w:val="single"/>
        </w:rPr>
        <w:t xml:space="preserve">Sections </w:t>
      </w:r>
      <w:hyperlink w:anchor="i90e2b82dc0ee4eb8a8143e6afcdd99ce_4">
        <w:r>
          <w:rPr>
            <w:rStyle w:val="InternetLink"/>
          </w:rPr>
          <w:t>10</w:t>
        </w:r>
      </w:hyperlink>
      <w:r>
        <w:rPr>
          <w:rFonts w:ascii="Times New Roman;serif" w:hAnsi="Times New Roman;serif"/>
          <w:b w:val="false"/>
          <w:color w:val="000000"/>
          <w:sz w:val="24"/>
          <w:u w:val="single"/>
        </w:rPr>
        <w:t xml:space="preserve"> and </w:t>
      </w:r>
      <w:hyperlink w:anchor="i90e2b82dc0ee4eb8a8143e6afcdd99ce_4">
        <w:r>
          <w:rPr>
            <w:rStyle w:val="InternetLink"/>
          </w:rPr>
          <w:t>11</w:t>
        </w:r>
      </w:hyperlink>
      <w:r>
        <w:rPr>
          <w:rFonts w:ascii="Times New Roman;serif" w:hAnsi="Times New Roman;serif"/>
          <w:b w:val="false"/>
          <w:color w:val="000000"/>
          <w:sz w:val="24"/>
        </w:rPr>
        <w:t>, in addition to any other remedy that may be available at law or in equity, the Employer shall be entitled to seek specific performance and injunctive relief, without the necessity of proving actual damages or posting of a bond or other security.</w:t>
      </w:r>
    </w:p>
    <w:p>
      <w:pPr>
        <w:pStyle w:val="TextBody"/>
        <w:bidi w:val="0"/>
        <w:spacing w:lineRule="auto" w:line="288" w:before="243"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Damages For Improper Termination With Cause</w:t>
      </w:r>
      <w:r>
        <w:rPr>
          <w:rFonts w:ascii="Times New Roman;serif" w:hAnsi="Times New Roman;serif"/>
          <w:b w:val="false"/>
          <w:color w:val="000000"/>
          <w:sz w:val="24"/>
        </w:rPr>
        <w:t xml:space="preserve">. If the Employer terminates this Agreement and the Employee’s employment hereunder for Cause, but it subsequently is determined by a court of competent jurisdiction, as the case may be, that the Employer did not have Cause for the termination, then for purposes of this Agreement, the Employer’s decision to terminate shall be deemed to have been a termination without Cause, and the Employer shall be obligated to pay the Severance Benefits specified under </w:t>
      </w:r>
      <w:r>
        <w:rPr>
          <w:rFonts w:ascii="Times New Roman;serif" w:hAnsi="Times New Roman;serif"/>
          <w:b w:val="false"/>
          <w:color w:val="000000"/>
          <w:sz w:val="24"/>
          <w:u w:val="single"/>
        </w:rPr>
        <w:t xml:space="preserve">Section </w:t>
      </w:r>
      <w:hyperlink w:anchor="i90e2b82dc0ee4eb8a8143e6afcdd99ce_4">
        <w:r>
          <w:rPr>
            <w:rStyle w:val="InternetLink"/>
          </w:rPr>
          <w:t>6(c)</w:t>
        </w:r>
      </w:hyperlink>
      <w:r>
        <w:rPr>
          <w:rFonts w:ascii="Times New Roman;serif" w:hAnsi="Times New Roman;serif"/>
          <w:b w:val="false"/>
          <w:color w:val="000000"/>
          <w:sz w:val="24"/>
        </w:rPr>
        <w:t xml:space="preserve">, and, subject to </w:t>
      </w:r>
      <w:r>
        <w:rPr>
          <w:rFonts w:ascii="Times New Roman;serif" w:hAnsi="Times New Roman;serif"/>
          <w:b w:val="false"/>
          <w:color w:val="000000"/>
          <w:sz w:val="24"/>
          <w:u w:val="single"/>
        </w:rPr>
        <w:t xml:space="preserve">Section </w:t>
      </w:r>
      <w:hyperlink w:anchor="i90e2b82dc0ee4eb8a8143e6afcdd99ce_4">
        <w:r>
          <w:rPr>
            <w:rStyle w:val="InternetLink"/>
          </w:rPr>
          <w:t>24</w:t>
        </w:r>
      </w:hyperlink>
      <w:r>
        <w:rPr>
          <w:color w:val="000000"/>
        </w:rPr>
        <w:t xml:space="preserve"> </w:t>
      </w:r>
      <w:r>
        <w:rPr>
          <w:rFonts w:ascii="Times New Roman;serif" w:hAnsi="Times New Roman;serif"/>
          <w:b w:val="false"/>
          <w:color w:val="000000"/>
          <w:sz w:val="24"/>
        </w:rPr>
        <w:t>hereof, only that amount.</w:t>
      </w:r>
    </w:p>
    <w:p>
      <w:pPr>
        <w:pStyle w:val="TextBody"/>
        <w:bidi w:val="0"/>
        <w:spacing w:lineRule="auto" w:line="288" w:before="243" w:after="283"/>
        <w:ind w:left="0" w:right="0" w:hanging="719"/>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Except as provided in Section 13(b) below and except for any claim or claims that cannot be arbitrated as a matter of law, any controversy or dispute arising out of, based upon, or relating to this Agreement, its enforcement or interpretation, or because of an alleged breach, default, or misrepresentation in connection with any of its provisions, or arising out of, based upon, or relating in any way to the Employee’s employment or association with the Employer, or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15975"/>
                <wp:effectExtent l="0" t="0" r="0" b="0"/>
                <wp:wrapNone/>
                <wp:docPr id="130" name="Frame13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of the same, including, without limiting the generality of the foregoing, any questions regarding whether a particular dispute is arbitrable, and any alleged violation of statute, common law or public policy, including, but not limited to, any state or federal statutory</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15975"/>
                <wp:effectExtent l="0" t="0" r="0" b="0"/>
                <wp:wrapNone/>
                <wp:docPr id="131" name="Frame13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pPr>
      <w:r>
        <w:rPr>
          <w:rFonts w:ascii="Times New Roman;serif" w:hAnsi="Times New Roman;serif"/>
          <w:b w:val="false"/>
          <w:color w:val="000000"/>
          <w:sz w:val="24"/>
        </w:rPr>
        <w:t>claims, shall be submitted to final and binding arbitration in Orange County, California, in accordance with the JAMS Employment Arbitration Rules and Procedures, before a single neutral arbitrator selected from the JAMS panel, or if JAMS is no longer able to supply the arbitrator, such arbitrator shall be selected from the American Arbitration Association, in accordance with its National Rules for the Resolution of Employment Disputes (the arbitrator selected hereunder, the “</w:t>
      </w:r>
      <w:r>
        <w:rPr>
          <w:rFonts w:ascii="Times New Roman;serif" w:hAnsi="Times New Roman;serif"/>
          <w:b w:val="false"/>
          <w:color w:val="000000"/>
          <w:sz w:val="24"/>
          <w:u w:val="single"/>
        </w:rPr>
        <w:t>Arbitrator</w:t>
      </w:r>
      <w:r>
        <w:rPr>
          <w:color w:val="000000"/>
        </w:rPr>
        <w:t>”</w:t>
      </w:r>
      <w:r>
        <w:rPr>
          <w:rFonts w:ascii="Times New Roman;serif" w:hAnsi="Times New Roman;serif"/>
          <w:b w:val="false"/>
          <w:color w:val="000000"/>
          <w:sz w:val="24"/>
        </w:rPr>
        <w:t xml:space="preserve">). Provisional injunctive relief may, but need not, be sought by either party to this Agreement in a court of law while arbitration proceedings are pending, pursuant to California Code of Civil Procedure section 1281.8, and any provisional injunctive relief granted by such court shall remain effective until the matter is finally determined by the Arbitrator.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To the extent permitted by law, the arbitrator’s fees and arbitration expenses and any other costs associated with the arbitration or arbitration hearing that are unique to arbitration will be borne equally by each party. The parties shall each pay their own deposition, witness, expert and attorneys’ fees and other expenses as and to the same extent as if the matter were being heard in court,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arbitrator may in its discretion award such costs to the prevailing party if it determines that to be appropriate in accordance with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 xml:space="preserve">(e)Notwithstanding the foregoing, the Employee agrees that it would be difficult to measure any damages caused to the Employer which might result from any breach by the Employee of the covenants set forth in </w:t>
      </w:r>
      <w:r>
        <w:rPr>
          <w:rFonts w:ascii="Times New Roman;serif" w:hAnsi="Times New Roman;serif"/>
          <w:b w:val="false"/>
          <w:color w:val="000000"/>
          <w:sz w:val="24"/>
          <w:u w:val="single"/>
        </w:rPr>
        <w:t xml:space="preserve">Sections </w:t>
      </w:r>
      <w:hyperlink w:anchor="i90e2b82dc0ee4eb8a8143e6afcdd99ce_4">
        <w:r>
          <w:rPr>
            <w:rStyle w:val="InternetLink"/>
          </w:rPr>
          <w:t>10</w:t>
        </w:r>
      </w:hyperlink>
      <w:r>
        <w:rPr>
          <w:rFonts w:ascii="Times New Roman;serif" w:hAnsi="Times New Roman;serif"/>
          <w:b w:val="false"/>
          <w:color w:val="000000"/>
          <w:sz w:val="24"/>
        </w:rPr>
        <w:t xml:space="preserve">, </w:t>
      </w:r>
      <w:hyperlink w:anchor="i90e2b82dc0ee4eb8a8143e6afcdd99ce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90e2b82dc0ee4eb8a8143e6afcdd99ce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90e2b82dc0ee4eb8a8143e6afcdd99ce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xml:space="preserve">, and that in any event, money damages would be an inadequate remedy for any such breach. Accordingly, if the Employee has breached, breaches, or proposes to breach </w:t>
      </w:r>
      <w:r>
        <w:rPr>
          <w:rFonts w:ascii="Times New Roman;serif" w:hAnsi="Times New Roman;serif"/>
          <w:b w:val="false"/>
          <w:color w:val="000000"/>
          <w:sz w:val="24"/>
          <w:u w:val="single"/>
        </w:rPr>
        <w:t xml:space="preserve">Sections </w:t>
      </w:r>
      <w:hyperlink w:anchor="i90e2b82dc0ee4eb8a8143e6afcdd99ce_4">
        <w:r>
          <w:rPr>
            <w:rStyle w:val="InternetLink"/>
          </w:rPr>
          <w:t>10</w:t>
        </w:r>
      </w:hyperlink>
      <w:r>
        <w:rPr>
          <w:rFonts w:ascii="Times New Roman;serif" w:hAnsi="Times New Roman;serif"/>
          <w:b w:val="false"/>
          <w:color w:val="000000"/>
          <w:sz w:val="24"/>
        </w:rPr>
        <w:t xml:space="preserve">, </w:t>
      </w:r>
      <w:hyperlink w:anchor="i90e2b82dc0ee4eb8a8143e6afcdd99ce_4">
        <w:r>
          <w:rPr>
            <w:rStyle w:val="InternetLink"/>
            <w:rFonts w:ascii="Times New Roman;serif" w:hAnsi="Times New Roman;serif"/>
            <w:b w:val="false"/>
            <w:color w:val="000000"/>
            <w:sz w:val="24"/>
            <w:u w:val="single"/>
          </w:rPr>
          <w:t>11</w:t>
        </w:r>
      </w:hyperlink>
      <w:r>
        <w:rPr>
          <w:rFonts w:ascii="Times New Roman;serif" w:hAnsi="Times New Roman;serif"/>
          <w:b w:val="false"/>
          <w:color w:val="000000"/>
          <w:sz w:val="24"/>
        </w:rPr>
        <w:t xml:space="preserve">, </w:t>
      </w:r>
      <w:hyperlink w:anchor="i90e2b82dc0ee4eb8a8143e6afcdd99ce_4">
        <w:r>
          <w:rPr>
            <w:rStyle w:val="InternetLink"/>
            <w:rFonts w:ascii="Times New Roman;serif" w:hAnsi="Times New Roman;serif"/>
            <w:b w:val="false"/>
            <w:color w:val="000000"/>
            <w:sz w:val="24"/>
            <w:u w:val="single"/>
          </w:rPr>
          <w:t>14</w:t>
        </w:r>
      </w:hyperlink>
      <w:r>
        <w:rPr>
          <w:color w:val="000000"/>
        </w:rPr>
        <w:t xml:space="preserve"> </w:t>
      </w:r>
      <w:r>
        <w:rPr>
          <w:rFonts w:ascii="Times New Roman;serif" w:hAnsi="Times New Roman;serif"/>
          <w:b w:val="false"/>
          <w:color w:val="000000"/>
          <w:sz w:val="24"/>
        </w:rPr>
        <w:t xml:space="preserve">or </w:t>
      </w:r>
      <w:hyperlink w:anchor="i90e2b82dc0ee4eb8a8143e6afcdd99ce_4">
        <w:r>
          <w:rPr>
            <w:rStyle w:val="InternetLink"/>
            <w:rFonts w:ascii="Times New Roman;serif" w:hAnsi="Times New Roman;serif"/>
            <w:b w:val="false"/>
            <w:color w:val="000000"/>
            <w:sz w:val="24"/>
            <w:u w:val="single"/>
          </w:rPr>
          <w:t>15</w:t>
        </w:r>
      </w:hyperlink>
      <w:r>
        <w:rPr>
          <w:rFonts w:ascii="Times New Roman;serif" w:hAnsi="Times New Roman;serif"/>
          <w:b w:val="false"/>
          <w:color w:val="000000"/>
          <w:sz w:val="24"/>
        </w:rPr>
        <w:t>, the Employer shall be entitled, in addition to all other remedies such party may have, to a temporary, preliminary or permanent injunction or other appropriate equitable relief to restrain any such breach without showing or proving any actual damage to the non-breaching party from any court having competent jurisdiction over either party.</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parties hereto expressly agree that each may bring and pursue Claims against the other only in their individual capacities, and not on behalf of, with respect to, joined with, and/or as a part of, any class action, collective action, and/or representative action, except as expressly set forth herein or unless such waiver is not permitted by applicable law. The parties hereto agree that in the event Employee brings a Claim under the California Private Attorneys General Act of 2004, Employee may pursue Claims and seek remedies as a representative of the California Labor &amp; Workforce Development Agency, but only based on alleged violations of law personally suffered by Employee, and any such individual PAGA Claims must be arbitrated consistent with this Arbitration provision. If Employee suffered an alleged violation of law, Employee may request that the arbitrator award any remedies available under the law for the violation personally experienced by Employee. However, Employee may not seek to represent other employees, or join the Claims of other employees, or obtain remedies for alleged legal violations suffered by other employees, even if Employee claims to have suffered the same type of alleged legal violations. The parties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15975"/>
                <wp:effectExtent l="0" t="0" r="0" b="0"/>
                <wp:wrapNone/>
                <wp:docPr id="132" name="Frame13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further agree that Employee may not participate in, or seek to be covered by or benefit from, a class action, collective action, or representative action</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15975"/>
                <wp:effectExtent l="0" t="0" r="0" b="0"/>
                <wp:wrapNone/>
                <wp:docPr id="133" name="Frame13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asserting Claims covered by this Arbitration provision if filed by another employee. If any Party brings a Claim as a plaintiff, or participates as a member of or person to be covered by a class action, collective action, or representative action, or challenges the enforceability of this provision, the parties hereto agree that a court, not an arbitrator, shall determine what Claims are subject to the duty to arbitrate and whether any Claims must proceed on a class, collective, joint, and/or representative basis. If the court determines that any Claims must proceed on a class or collective basis, or that any Claims arising from alleged unlawful acts or violations not personally committed against or suffered by Employee have been asserted, then those Claims, if allowed, may only proceed in court, not in arbitration. Such Claims shall be dismissed by the court to the fullest extent allowed by law; if the Claims cannot be dismissed by the court, the Claims will be stayed pending the conclusion of the arbitration between the parties hereto.</w:t>
      </w:r>
    </w:p>
    <w:p>
      <w:pPr>
        <w:pStyle w:val="TextBody"/>
        <w:bidi w:val="0"/>
        <w:spacing w:lineRule="auto" w:line="288" w:before="238"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(f)The parties hereto voluntarily agree that Employer is engaged in transactions involving interstate commerce, and this Arbitration provision shall be subject to the substantive and procedural provisions of the Federal Arbitration Act, 9 U.S.C. §§ 1, et seq.</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(g)THE PARTIES HERETO HEREBY IRREVOCABLY WAIVE ALL RIGHT TO TRIAL, INCLUDING ANY RIGHTS TO TRIAL BY JURY, IN ANY ACTION, PROCEEDING OR COUNTERCLAIM BROUGHT BY EITHER OF THE PARTIES AGAINST THE OTHER IN CONNECTION WITH ANY MATTER WHATSOEVER ARISING OUT OF OR IN ANY WAY CONNECTED WITH THIS AGREEMENT OR THE PROVISION OF SERVICES UNDER THIS AGREEMENT.</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Cooperation</w:t>
      </w:r>
      <w:r>
        <w:rPr>
          <w:rFonts w:ascii="Times New Roman;serif" w:hAnsi="Times New Roman;serif"/>
          <w:b w:val="false"/>
          <w:color w:val="000000"/>
          <w:sz w:val="24"/>
        </w:rPr>
        <w:t xml:space="preserve">. Upon the receipt of reasonable notice from the Employer (including from outside counsel to the Employer), the Employee agrees that while employed by the Employer and after the termination of the Employee’s employment for any reason, the Employee will respond and provide information with regard to matters in which the Employee has knowledge as a result of the Employee’s employment with the Employer, and will provide reasonable assistance to the Employer, its Affiliates and their respective representatives in defense of any claims that may be made against the Employer or its Affiliates, and will assist the Employer and its Affiliates in the prosecution of any claims that may be made by the Employer or its Affiliates, to the extent that such claims may relate to the period of the Employee’s employment with the Employer;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that with respect to periods after the termination of the Employee’s employment, the Employer shall reimburse the Employee for any reasonable out-of-pocket expenses incurred in providing such assistance and, with respect to any period in which the Employee is required to provide more than ten hours of assistance per week after Employee’s termination of employment but is not receiving severance payments from the Employer or its Affiliates, and is not testifying, the Employer shall pay the Employee a reasonable amount of money for Employee’s services at a reasonable rate agreed to between the Employer and the Employee; and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i/>
          <w:color w:val="000000"/>
          <w:sz w:val="24"/>
          <w:u w:val="single"/>
        </w:rPr>
        <w:t>further</w:t>
      </w:r>
      <w:r>
        <w:rPr>
          <w:color w:val="000000"/>
        </w:rPr>
        <w:t xml:space="preserve"> </w:t>
      </w:r>
      <w:r>
        <w:rPr>
          <w:rFonts w:ascii="Times New Roman;serif" w:hAnsi="Times New Roman;serif"/>
          <w:b w:val="false"/>
          <w:color w:val="000000"/>
          <w:sz w:val="24"/>
        </w:rPr>
        <w:t>that after the Employee’s termination of employment with the Employer, such assistance shall not unreasonably interfere with the Employee’s business or personal obligations. The Employee agrees to promptly inform the Employer if the Employee becomes aware of any lawsuits involving such claims that may be filed or threatened against the Employer or its Affiliates. The Employee also agrees to promptly inform the Employer (to the extent the Employee is legally permitted to do so) if the Employee is asked to assist in any investigation of the Employer or its Affiliates (or their actions), regardless of whether a lawsuit or other proceeding has then been filed against the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15975"/>
                <wp:effectExtent l="0" t="0" r="0" b="0"/>
                <wp:wrapNone/>
                <wp:docPr id="134" name="Frame13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Employer or its Affiliates with respect to such investigation, and shall not do so unless legally required.</w:t>
      </w:r>
    </w:p>
    <w:p>
      <w:pPr>
        <w:pStyle w:val="TextBody"/>
        <w:bidi w:val="0"/>
        <w:spacing w:lineRule="auto" w:line="288" w:before="234"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Disclosure and Assignment of Inventions and Improvements</w:t>
      </w:r>
      <w:r>
        <w:rPr>
          <w:rFonts w:ascii="Times New Roman;serif" w:hAnsi="Times New Roman;serif"/>
          <w:b w:val="false"/>
          <w:color w:val="000000"/>
          <w:sz w:val="24"/>
        </w:rPr>
        <w:t>. Without prejudice to any other duties express or implied imposed on the Employee hereunder it shall be part of the Employee’s normal duties to consider in what manner and by what methods or devices the products, services, processes, equipment or systems of the Employer and any customer or vendor of the Employer would reasonably be expected to be improved and promptly to give to the Chief Executive Officer of the Employer or Employee’s designee full details of any improvement, invention, research, development, discovery, design, code, model, suggestion or innovation (collectively called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which the Employee (alone or with others) may make, discover, create or conceive in the course of the Employee’s employment. The Employee acknowledges that the Work Product is the property of the Employer. To the extent that any of the Work Product is capable of protection by copyright, the Employee acknowledges that it is created within the scope of the Employee’s employment and is a work made for hire. To the extent that any such material may not be a work made for hire, the Employee hereby assigns to the Employer all rights in such material. To the extent that any of the Work Product is an invention, discovery, process or other potentially patentable subject matter (the “Inventions”), the Employee hereby assigns to the Employer all right, title, and interest in and to all Inventions. The Employer acknowledges that the assignment in the preceding sentence does not apply to an Invention that the Employee develops entirely on Employee’s own time without using the Employer’s equipment, supplies, facilities or trade secret information, except for those Inventions that either:</w:t>
      </w:r>
    </w:p>
    <w:p>
      <w:pPr>
        <w:pStyle w:val="TextBody"/>
        <w:bidi w:val="0"/>
        <w:spacing w:lineRule="auto" w:line="280"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(i)relate at the time of conception or reduction to practice of the Invention to the Employer’s business, or actual or demonstrably anticipated research or development of the Employer, or</w:t>
      </w:r>
    </w:p>
    <w:p>
      <w:pPr>
        <w:pStyle w:val="TextBody"/>
        <w:bidi w:val="0"/>
        <w:spacing w:lineRule="auto" w:line="288" w:before="239"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(ii)result from any work performed by the Employee for the Employer.</w:t>
      </w:r>
    </w:p>
    <w:p>
      <w:pPr>
        <w:pStyle w:val="TextBody"/>
        <w:bidi w:val="0"/>
        <w:spacing w:lineRule="auto" w:line="280" w:before="233" w:after="283"/>
        <w:jc w:val="both"/>
        <w:rPr/>
      </w:pPr>
      <w:r>
        <w:rPr>
          <w:rFonts w:ascii="Times New Roman;serif" w:hAnsi="Times New Roman;serif"/>
          <w:b w:val="false"/>
          <w:color w:val="000000"/>
          <w:sz w:val="24"/>
        </w:rPr>
        <w:t xml:space="preserve">Execution of this Agreement constitutes the Employee’s acknowledgment of receipt of written notification of this </w:t>
      </w:r>
      <w:r>
        <w:rPr>
          <w:rFonts w:ascii="Times New Roman;serif" w:hAnsi="Times New Roman;serif"/>
          <w:b w:val="false"/>
          <w:color w:val="000000"/>
          <w:sz w:val="24"/>
          <w:u w:val="single"/>
        </w:rPr>
        <w:t xml:space="preserve">Section </w:t>
      </w:r>
      <w:hyperlink w:anchor="i90e2b82dc0ee4eb8a8143e6afcdd99ce_4">
        <w:r>
          <w:rPr>
            <w:rStyle w:val="InternetLink"/>
          </w:rPr>
          <w:t>15</w:t>
        </w:r>
      </w:hyperlink>
      <w:r>
        <w:rPr>
          <w:color w:val="000000"/>
        </w:rPr>
        <w:t xml:space="preserve"> </w:t>
      </w:r>
      <w:r>
        <w:rPr>
          <w:rFonts w:ascii="Times New Roman;serif" w:hAnsi="Times New Roman;serif"/>
          <w:b w:val="false"/>
          <w:color w:val="000000"/>
          <w:sz w:val="24"/>
        </w:rPr>
        <w:t>and of notice of the general exception to assignments of Inventions provided under the Uniform Employee Patents Act, in the form adopted by the state having jurisdiction over this Agreement or provision, or any comparable applicable law.</w:t>
      </w:r>
    </w:p>
    <w:p>
      <w:pPr>
        <w:pStyle w:val="TextBody"/>
        <w:bidi w:val="0"/>
        <w:spacing w:lineRule="auto" w:line="288" w:before="235" w:after="283"/>
        <w:ind w:left="0" w:right="0" w:hanging="719"/>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Representations and Warranties; Advice of Counsel</w:t>
      </w:r>
      <w:r>
        <w:rPr>
          <w:rFonts w:ascii="Times New Roman;serif" w:hAnsi="Times New Roman;serif"/>
          <w:b w:val="false"/>
          <w:color w:val="000000"/>
          <w:sz w:val="24"/>
        </w:rPr>
        <w:t>.</w:t>
      </w:r>
    </w:p>
    <w:p>
      <w:pPr>
        <w:pStyle w:val="TextBody"/>
        <w:bidi w:val="0"/>
        <w:spacing w:lineRule="auto" w:line="288" w:before="243"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Employee represents and warrants that (i) Employee is under no contractual or other obligation that would prevent Employee from accepting the Employer’s offer of employment as set forth herein, (ii) Employee has the full right, authority and capacity to enter into this Agreement and to perform Employee’s obligations hereunder, (iii) the execution of this Agreement and the performance of Employee’s obligations hereunder will not breach or be in conflict with any other agreement to which the Employee is a party or is bound, and (iv) the Employee is not now subject to, and has not previously violated, any covenants against competition, solicitation, hire or similar covenants, any court order or other legal obligation, or other agreement that would affect the performance of Employee’s obligations hereunder or would otherwise conflict with, prevent or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15975"/>
                <wp:effectExtent l="0" t="0" r="0" b="0"/>
                <wp:wrapNone/>
                <wp:docPr id="135" name="Frame13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restrict the full performance of Employee’s duties and obligations to the Employer or any of its Affiliates before, during or after the Employment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15975"/>
                <wp:effectExtent l="0" t="0" r="0" b="0"/>
                <wp:wrapNone/>
                <wp:docPr id="136" name="Frame13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0" w:before="80" w:after="283"/>
        <w:jc w:val="left"/>
        <w:rPr>
          <w:rFonts w:ascii="Times New Roman;serif" w:hAnsi="Times New Roman;serif"/>
          <w:b w:val="false"/>
          <w:color w:val="000000"/>
          <w:sz w:val="24"/>
        </w:rPr>
      </w:pPr>
      <w:r>
        <w:rPr>
          <w:rFonts w:ascii="Times New Roman;serif" w:hAnsi="Times New Roman;serif"/>
          <w:b w:val="false"/>
          <w:color w:val="000000"/>
          <w:sz w:val="24"/>
        </w:rPr>
        <w:t>The Employee covenants that Employee will not disclose or use on behalf of the Employer or its Affiliates any proprietary information of a third party without such party’s consent.</w:t>
      </w:r>
    </w:p>
    <w:p>
      <w:pPr>
        <w:pStyle w:val="TextBody"/>
        <w:bidi w:val="0"/>
        <w:spacing w:lineRule="auto" w:line="288" w:before="234"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(h)Prior to execution of this Agreement, the Employee was advised by the Employer of the Employee’s right to seek independent advice from an attorney of the Employee’s own selection regarding this Agreement. The Employee acknowledges that the Employee has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directors, officers, employees or agents of the Employer or any of its Affiliates which are not expressly set forth herein, and that the Employee is relying only upon the Employee’s own judgment and any advice provided by the Employee’s attorney.</w:t>
      </w:r>
    </w:p>
    <w:p>
      <w:pPr>
        <w:pStyle w:val="TextBody"/>
        <w:bidi w:val="0"/>
        <w:spacing w:lineRule="auto" w:line="288" w:before="241"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the documents memorializing the equity awards) are intended by the parties to be the final expression of their agreement with respect to the employment of the Employee by the Employer and may not be contradicted by evidence of any prior or contemporaneous agreement (including, without limitation any term sheet, offer letter or similar agreement entered into between the Employer or any Affiliate and the Employee). The parties further intend that this Agreement (and the documents memorializing the equity awards)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288" w:before="239"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No Other Representations</w:t>
      </w:r>
      <w:r>
        <w:rPr>
          <w:rFonts w:ascii="Times New Roman;serif" w:hAnsi="Times New Roman;serif"/>
          <w:b w:val="false"/>
          <w:color w:val="000000"/>
          <w:sz w:val="24"/>
        </w:rPr>
        <w:t>. Except as expressly provided in this Agreement, (i) no person or entity has made or has the authority to make any representations or promises on behalf of any of the parties which are inconsistent with the representations or promises contained in this Agreement, and (ii) this Agreement has not been executed in reliance on any representations or promises not set forth herein. Specifically, no promises, warranties or representations have been made by anyone on any topic or subject matter related to the Employee’s relationship with the Employer or any of its Affiliates or any of their executives or employees, including but not limited to any promises, warranties or representations regarding future employment, compensation, benefits, any entitlement to equity interests in the Employer or any of its Affiliates or regarding the termination of the Employee’s employment. In this regard, the Employee agrees that no promises, warranties or representations shall be deemed to be made in the future unless they are set forth in writing and signed by an authorized representative of the Employer.</w:t>
      </w:r>
    </w:p>
    <w:p>
      <w:pPr>
        <w:pStyle w:val="TextBody"/>
        <w:bidi w:val="0"/>
        <w:spacing w:lineRule="auto" w:line="280" w:before="241"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modified only by agreement of the parties by a written instrument executed by the parties that is designated as an amendment to this Agreement.</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Severability and Non-Waiver/Survival</w:t>
      </w:r>
      <w:r>
        <w:rPr>
          <w:rFonts w:ascii="Times New Roman;serif" w:hAnsi="Times New Roman;serif"/>
          <w:b w:val="false"/>
          <w:color w:val="000000"/>
          <w:sz w:val="24"/>
        </w:rPr>
        <w:t xml:space="preserve">. Any provision of this Agreement (or portion thereof) which is deemed invalid, illegal or unenforceable in any jurisdiction shall, as to that jurisdiction and subject to this </w:t>
      </w:r>
      <w:r>
        <w:rPr>
          <w:rFonts w:ascii="Times New Roman;serif" w:hAnsi="Times New Roman;serif"/>
          <w:b w:val="false"/>
          <w:color w:val="000000"/>
          <w:sz w:val="24"/>
          <w:u w:val="single"/>
        </w:rPr>
        <w:t>Section 20</w:t>
      </w:r>
      <w:r>
        <w:rPr>
          <w:rFonts w:ascii="Times New Roman;serif" w:hAnsi="Times New Roman;serif"/>
          <w:b w:val="false"/>
          <w:color w:val="000000"/>
          <w:sz w:val="24"/>
        </w:rPr>
        <w:t>, be ineffective to the extent of such invalidity, illegality or unenforceability, without affecting in any way the remaining provisions thereof in such jurisdiction or rendering such provision or any other provision of this Agreement invalid, illegal, or unenforceable in any other jurisdiction. If any covenant should be deemed invalid, illegal</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15975"/>
                <wp:effectExtent l="0" t="0" r="0" b="0"/>
                <wp:wrapNone/>
                <wp:docPr id="137" name="Frame13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Employer shall be implied by the Employer’s forbearance or failure to take action. The expiration or termination of the Employment Period and this Agreement shall not impair the rights or obligations of any party hereto which shall have accrued hereunder prior to such expiration or termination.</w:t>
      </w:r>
    </w:p>
    <w:p>
      <w:pPr>
        <w:pStyle w:val="TextBody"/>
        <w:bidi w:val="0"/>
        <w:spacing w:lineRule="auto" w:line="288" w:before="238"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Successor/Assigns</w:t>
      </w:r>
      <w:r>
        <w:rPr>
          <w:rFonts w:ascii="Times New Roman;serif" w:hAnsi="Times New Roman;serif"/>
          <w:b w:val="false"/>
          <w:color w:val="000000"/>
          <w:sz w:val="24"/>
        </w:rPr>
        <w:t>. This Agreement shall be binding upon and inure to the benefit of the parties and their respective heirs, representatives, executors, administrators, successors, and assigns, provided, however, that the Employee may not assign any or all of Employee’s rights or duties hereunder. The Employee shall be entitled, to the extent permitted under applicable law, to select and change a beneficiary or beneficiaries to receive any compensation or benefit hereunder following the Employee’s death by giving written notice thereof. In the event of the Employee’s death or a judicial determination of Employee’s incompetence, references in this Agreement to the Employee shall be deemed, where appropriate, to refer to Employee’s beneficiary, estate or other legal representative.</w:t>
      </w:r>
    </w:p>
    <w:p>
      <w:pPr>
        <w:pStyle w:val="TextBody"/>
        <w:bidi w:val="0"/>
        <w:spacing w:lineRule="auto" w:line="280" w:before="243"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Voluntary and Knowledgeable Act</w:t>
      </w:r>
      <w:r>
        <w:rPr>
          <w:rFonts w:ascii="Times New Roman;serif" w:hAnsi="Times New Roman;serif"/>
          <w:b w:val="false"/>
          <w:color w:val="000000"/>
          <w:sz w:val="24"/>
        </w:rPr>
        <w:t>. The Employee represents and warrants that the Employee has read and understands each and every provision of this Agreement and has freely and voluntarily entered into this Agreement.</w:t>
      </w:r>
    </w:p>
    <w:p>
      <w:pPr>
        <w:pStyle w:val="TextBody"/>
        <w:bidi w:val="0"/>
        <w:spacing w:lineRule="auto" w:line="280" w:before="23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Agreement shall be construed and enforced under and be governed as to its validity and effect by the laws of the State of California without regard to the conflict of laws principles thereof.</w:t>
      </w:r>
    </w:p>
    <w:p>
      <w:pPr>
        <w:pStyle w:val="TextBody"/>
        <w:bidi w:val="0"/>
        <w:spacing w:lineRule="auto" w:line="288" w:before="234"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any dispute between the parties should result in litigation, the prevailing party in such dispute shall be entitled to recover from the other party all reasonable out-of-pocket fees, costs and expenses of enforcing any right of the prevailing party, including without limitation, reasonable attorneys’ fees and expenses, all of which shall be deemed to have accrued upon the commencement of such action and shall be paid whether or not such action is prosecuted to judgment, to the extent permitted by law. Any judgment or order entered in such action shall contain a specific provision providing for the recovery of attorneys’ fees and costs incurred in enforcing such judgment and an award of prejudgment interest from the date of the breach at the maximum rate of interest allowed by law. For the purposes of this </w:t>
      </w:r>
      <w:r>
        <w:rPr>
          <w:rFonts w:ascii="Times New Roman;serif" w:hAnsi="Times New Roman;serif"/>
          <w:b w:val="false"/>
          <w:color w:val="000000"/>
          <w:sz w:val="24"/>
          <w:u w:val="single"/>
        </w:rPr>
        <w:t xml:space="preserve">Section </w:t>
      </w:r>
      <w:hyperlink w:anchor="i90e2b82dc0ee4eb8a8143e6afcdd99ce_4">
        <w:r>
          <w:rPr>
            <w:rStyle w:val="InternetLink"/>
          </w:rPr>
          <w:t>24</w:t>
        </w:r>
      </w:hyperlink>
      <w:r>
        <w:rPr>
          <w:rFonts w:ascii="Times New Roman;serif" w:hAnsi="Times New Roman;serif"/>
          <w:b w:val="false"/>
          <w:color w:val="000000"/>
          <w:sz w:val="24"/>
        </w:rPr>
        <w:t>: (a) attorneys’ fees include, without limitation, fees incurred in the following: (i) post-judgment motions; (ii) contempt proceedings; (iii) garnishment, levy, and debtor and third party examinations; (iv) discovery and</w:t>
      </w:r>
    </w:p>
    <w:p>
      <w:pPr>
        <w:pStyle w:val="TextBody"/>
        <w:bidi w:val="0"/>
        <w:spacing w:lineRule="auto" w:line="285" w:before="0" w:after="0"/>
        <w:jc w:val="both"/>
        <w:rPr>
          <w:rFonts w:ascii="Times New Roman;serif" w:hAnsi="Times New Roman;serif"/>
          <w:b w:val="false"/>
          <w:color w:val="000000"/>
          <w:sz w:val="24"/>
        </w:rPr>
      </w:pPr>
      <w:r>
        <w:rPr>
          <w:rFonts w:ascii="Times New Roman;serif" w:hAnsi="Times New Roman;serif"/>
          <w:b w:val="false"/>
          <w:color w:val="000000"/>
          <w:sz w:val="24"/>
        </w:rPr>
        <w:t>(v) bankruptcy litigation, and (b) “prevailing party” means the party who is determined in the proceeding to have prevailed or who prevails by dismissal, default or otherwise.</w:t>
      </w:r>
    </w:p>
    <w:p>
      <w:pPr>
        <w:pStyle w:val="TextBody"/>
        <w:bidi w:val="0"/>
        <w:spacing w:lineRule="auto" w:line="280" w:before="223"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deemed to be an original, but both of which together shall constitute one and the same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15975"/>
                <wp:effectExtent l="0" t="0" r="0" b="0"/>
                <wp:wrapNone/>
                <wp:docPr id="138" name="Frame13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Notices</w:t>
      </w:r>
      <w:r>
        <w:rPr>
          <w:rFonts w:ascii="Times New Roman;serif" w:hAnsi="Times New Roman;serif"/>
          <w:b w:val="false"/>
          <w:color w:val="000000"/>
          <w:sz w:val="24"/>
        </w:rPr>
        <w:t>. Except as otherwise provided for herein, all notices and other communications provided for hereunder shall be in writing (including facsimile communication and electronic mail) and mailed (via registered or certified mail), telecopied or delivered to the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15975"/>
                <wp:effectExtent l="0" t="0" r="0" b="0"/>
                <wp:wrapNone/>
                <wp:docPr id="139" name="Frame13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party for whom it is intended at the address, telecopier number or e-mail address set forth below or, as to each party, at such other address as designated by that party in a written notice to the other parties. All notices and communications shall be deemed to have been validly served, given or delivered (i) if personally delivered, upon receipt or refusal to accept delivery, (ii) if sent via facsimile, upon mechanical confirmation of successful transmission thereof generated by the sending facsimile machine, (iii) if sent by a commercial overnight courier for delivery on the next business day, on the first business day after deposit with such courier service (or the second business day if sent to an address not in the United States), (iv) if sent by registered or certified mail, three days after deposit thereof in the United States mail, or (v) if sent by electronic mail, one business day after transmission when directed to the appropriate e-mail address (provided that the party giving notice must verify the e-mail address of the recipient prior to transmission):</w:t>
      </w:r>
    </w:p>
    <w:p>
      <w:pPr>
        <w:pStyle w:val="TextBody"/>
        <w:bidi w:val="0"/>
        <w:spacing w:lineRule="auto" w:line="285" w:before="238"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(a)if to the Employee, to Employee at Employee’s most recent address in the Employer’s records,</w:t>
      </w:r>
    </w:p>
    <w:p>
      <w:pPr>
        <w:pStyle w:val="TextBody"/>
        <w:bidi w:val="0"/>
        <w:spacing w:lineRule="auto" w:line="288" w:before="229"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(b)If to the Employer, to:</w:t>
      </w:r>
    </w:p>
    <w:p>
      <w:pPr>
        <w:pStyle w:val="TextBody"/>
        <w:bidi w:val="0"/>
        <w:spacing w:lineRule="atLeast" w:line="275" w:before="238"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1100 Town &amp; Country Road, Suite 1600 Orange, CA 92868</w:t>
      </w:r>
    </w:p>
    <w:p>
      <w:pPr>
        <w:pStyle w:val="TextBody"/>
        <w:bidi w:val="0"/>
        <w:spacing w:lineRule="atLeast" w:line="271" w:before="0" w:after="0"/>
        <w:jc w:val="left"/>
        <w:rPr>
          <w:rFonts w:ascii="Times New Roman;serif" w:hAnsi="Times New Roman;serif"/>
          <w:b w:val="false"/>
          <w:color w:val="000000"/>
          <w:sz w:val="24"/>
        </w:rPr>
      </w:pPr>
      <w:r>
        <w:rPr>
          <w:rFonts w:ascii="Times New Roman;serif" w:hAnsi="Times New Roman;serif"/>
          <w:b w:val="false"/>
          <w:color w:val="000000"/>
          <w:sz w:val="24"/>
        </w:rPr>
        <w:t>Facsimile: (844) 320-2247</w:t>
      </w:r>
    </w:p>
    <w:p>
      <w:pPr>
        <w:pStyle w:val="TextBody"/>
        <w:bidi w:val="0"/>
        <w:spacing w:lineRule="auto" w:line="280" w:before="1" w:after="283"/>
        <w:jc w:val="left"/>
        <w:rPr>
          <w:rFonts w:ascii="Times New Roman;serif" w:hAnsi="Times New Roman;serif"/>
          <w:b w:val="false"/>
          <w:color w:val="000000"/>
          <w:sz w:val="24"/>
        </w:rPr>
      </w:pPr>
      <w:r>
        <w:rPr>
          <w:rFonts w:ascii="Times New Roman;serif" w:hAnsi="Times New Roman;serif"/>
          <w:b w:val="false"/>
          <w:color w:val="000000"/>
          <w:sz w:val="24"/>
        </w:rPr>
        <w:t>E-mail: LegalNotices@ahcusa.com Attention: Legal Department</w:t>
      </w:r>
    </w:p>
    <w:p>
      <w:pPr>
        <w:pStyle w:val="TextBody"/>
        <w:bidi w:val="0"/>
        <w:spacing w:lineRule="auto" w:line="280" w:before="235" w:after="283"/>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the recipient party to whom notice is to be given may have furnished to the other party in writing in accordance herewith.</w:t>
      </w:r>
    </w:p>
    <w:p>
      <w:pPr>
        <w:pStyle w:val="TextBody"/>
        <w:bidi w:val="0"/>
        <w:spacing w:lineRule="auto" w:line="288" w:before="235"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Descriptive Headings; Nouns and Pronouns</w:t>
      </w:r>
      <w:r>
        <w:rPr>
          <w:rFonts w:ascii="Times New Roman;serif" w:hAnsi="Times New Roman;serif"/>
          <w:b w:val="false"/>
          <w:color w:val="000000"/>
          <w:sz w:val="24"/>
        </w:rPr>
        <w:t>. Descriptive headings are for convenience only and shall not control or affect the meaning or construction of any provision of this Agreement. Whenever the context may require, any pronouns used herein shall include the corresponding masculine, feminine or neuter forms, and the singular form of nouns and pronouns shall include the plural and vice-versa.</w:t>
      </w:r>
    </w:p>
    <w:p>
      <w:pPr>
        <w:pStyle w:val="TextBody"/>
        <w:bidi w:val="0"/>
        <w:spacing w:lineRule="auto" w:line="288" w:before="243" w:after="283"/>
        <w:ind w:left="0" w:right="0" w:firstLine="1440"/>
        <w:jc w:val="both"/>
        <w:rPr/>
      </w:pPr>
      <w:r>
        <w:rPr>
          <w:rFonts w:ascii="Times New Roman;serif" w:hAnsi="Times New Roman;serif"/>
          <w:b w:val="false"/>
          <w:color w:val="000000"/>
          <w:sz w:val="24"/>
          <w:u w:val="single"/>
        </w:rPr>
        <w:t>Non-Qualified Deferred Compensation</w:t>
      </w:r>
      <w:r>
        <w:rPr>
          <w:rFonts w:ascii="Times New Roman;serif" w:hAnsi="Times New Roman;serif"/>
          <w:b w:val="false"/>
          <w:color w:val="000000"/>
          <w:sz w:val="24"/>
        </w:rPr>
        <w:t xml:space="preserve">. To the extent applicable, this Agreement shall be interpreted in accordance with Section 409A of the U.S. Internal Revenue Code of 1986, as amended (the “Code”), and Department of Treasury regulations and other interpretive guidance issued thereunder, including without limitation any such regulations or other guidance that may be issued after the date hereof. For purposes of Section 409A of the Code, each of the payments that may be made hereunder is designated as a separate payment and, for the avoidance of doubt and without limiting the foregoing, the Employee’s right to receive installment payments pursuant to </w:t>
      </w:r>
      <w:r>
        <w:rPr>
          <w:rFonts w:ascii="Times New Roman;serif" w:hAnsi="Times New Roman;serif"/>
          <w:b w:val="false"/>
          <w:color w:val="000000"/>
          <w:sz w:val="24"/>
          <w:u w:val="single"/>
        </w:rPr>
        <w:t xml:space="preserve">Section </w:t>
      </w:r>
      <w:hyperlink w:anchor="i90e2b82dc0ee4eb8a8143e6afcdd99ce_4">
        <w:r>
          <w:rPr>
            <w:rStyle w:val="InternetLink"/>
          </w:rPr>
          <w:t>6(c)</w:t>
        </w:r>
      </w:hyperlink>
      <w:r>
        <w:rPr>
          <w:color w:val="000000"/>
        </w:rPr>
        <w:t xml:space="preserve"> </w:t>
      </w:r>
      <w:r>
        <w:rPr>
          <w:rFonts w:ascii="Times New Roman;serif" w:hAnsi="Times New Roman;serif"/>
          <w:b w:val="false"/>
          <w:color w:val="000000"/>
          <w:sz w:val="24"/>
        </w:rPr>
        <w:t xml:space="preserve">shall be treated as a right to receive a series of separate and distinct payments. To the extent that any reimbursement of expenses or in-kind benefits constitutes “deferred compensation” under Section 409A of the Code, such reimbursement or benefit shall be provided no later than December 31 of the year following the year in which the expense was incurred. The reimbursements under this Agreement are not subject to liquidation or exchange for another benefit, and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15975"/>
                <wp:effectExtent l="0" t="0" r="0" b="0"/>
                <wp:wrapNone/>
                <wp:docPr id="140" name="Frame14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of expenses reimbursed in one taxable year shall not affect the amount eligible for reimbursement in any other taxable year. Notwithstanding any provision of this Agreement to the</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15975"/>
                <wp:effectExtent l="0" t="0" r="0" b="0"/>
                <wp:wrapNone/>
                <wp:docPr id="141" name="Frame14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80" w:after="283"/>
        <w:jc w:val="both"/>
        <w:rPr>
          <w:rFonts w:ascii="Times New Roman;serif" w:hAnsi="Times New Roman;serif"/>
          <w:b w:val="false"/>
          <w:color w:val="000000"/>
          <w:sz w:val="24"/>
        </w:rPr>
      </w:pPr>
      <w:r>
        <w:rPr>
          <w:rFonts w:ascii="Times New Roman;serif" w:hAnsi="Times New Roman;serif"/>
          <w:b w:val="false"/>
          <w:color w:val="000000"/>
          <w:sz w:val="24"/>
        </w:rPr>
        <w:t>contrary, in the event that the Employer determines that any amounts payable hereunder will be immediately taxable to the Employee under Section 409A of the Code and related Department of Treasury guidance, the Employer reserves the right (without any obligation to do so or to indemnify the Employee for failure to do so) to (a) adopt such amendments to this Agreement and appropriate policies and procedures, including amendments and policies with retroactive effect, that the Employer determines necessary or appropriate to preserve the intended tax treatment of the benefits provided by this Agreement, to preserve the economic benefits of this Agreement and to avoid less favorable accounting or tax consequences for the Employer and/or (b) take such other actions as the Employer determine necessary or appropriate to exempt the amounts payable hereunder from Section 409A of the Code and related Department of Treasury guidance, or to comply with the requirements of Section 409A of the Code and related Department of Treasury guidance, including such Department of Treasury guidance and other interpretive materials as may be issued after the date hereof, and avoid the applicable of penalty taxes thereunder. No provision of this Agreement shall be interpreted or construed to transfer any liability for failure to comply with the requirements of Section 409A of the Code from the Employee or any other individual to the Employer or any of its Affiliates, employees or agents. To the extent any amounts under this Agreement are payable by reference to Employee’s “termination of employment,” such term and similar terms shall be deemed to refer to Employee’s “separation from service,” within the meaning of Section 409A of the Code. Notwithstanding any other provision in this Agreement, to the extent any payments hereunder constitute nonqualified deferred compensation, within the meaning of Section 409A of the Code, then if the Employee is a specified employee (within the meaning of Section 409A of the Code) as of the date of Employee’s separation from service, each such payment that is payable upon the Employee’s separation from service and would have been paid prior to the six-month anniversary of Employee’s separation from service, shall be delayed until the earlier to occur of (i) the first day of the seventh month following the Employee’s separation from service or (ii) the date of the Employee’s death.</w:t>
      </w:r>
    </w:p>
    <w:p>
      <w:pPr>
        <w:pStyle w:val="TextBody"/>
        <w:bidi w:val="0"/>
        <w:spacing w:lineRule="auto" w:line="288" w:before="247"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15975"/>
                <wp:effectExtent l="0" t="0" r="0" b="0"/>
                <wp:wrapNone/>
                <wp:docPr id="142" name="Frame14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Employment Agreement as of the date first written above.</w: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before="197" w:after="283"/>
        <w:jc w:val="left"/>
        <w:rPr/>
      </w:pPr>
      <w:r>
        <w:rPr/>
      </w:r>
    </w:p>
    <w:p>
      <w:pPr>
        <w:pStyle w:val="TextBody"/>
        <w:bidi w:val="0"/>
        <w:spacing w:lineRule="auto" w:line="280"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John Kao    </w:t>
      </w:r>
    </w:p>
    <w:p>
      <w:pPr>
        <w:pStyle w:val="TextBody"/>
        <w:bidi w:val="0"/>
        <w:spacing w:lineRule="auto" w:line="280" w:before="0" w:after="0"/>
        <w:jc w:val="left"/>
        <w:rPr>
          <w:rFonts w:ascii="Times New Roman;serif" w:hAnsi="Times New Roman;serif"/>
          <w:b w:val="false"/>
          <w:color w:val="000000"/>
          <w:sz w:val="24"/>
        </w:rPr>
      </w:pPr>
      <w:r>
        <w:rPr>
          <w:rFonts w:ascii="Times New Roman;serif" w:hAnsi="Times New Roman;serif"/>
          <w:b w:val="false"/>
          <w:color w:val="000000"/>
          <w:sz w:val="24"/>
        </w:rPr>
        <w:t>Name: John Kao</w:t>
      </w:r>
    </w:p>
    <w:p>
      <w:pPr>
        <w:pStyle w:val="TextBody"/>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185"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Joseph S. Konowiecki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Joseph S. Konowiecki, individually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15975"/>
                <wp:effectExtent l="0" t="0" r="0" b="0"/>
                <wp:wrapNone/>
                <wp:docPr id="143" name="Frame14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52" w:before="248" w:after="283"/>
        <w:ind w:left="0" w:right="0" w:firstLine="691"/>
        <w:jc w:val="right"/>
        <w:rPr>
          <w:rFonts w:ascii="Times New Roman;serif" w:hAnsi="Times New Roman;serif"/>
          <w:b/>
          <w:color w:val="000000"/>
          <w:sz w:val="24"/>
        </w:rPr>
      </w:pPr>
      <w:r>
        <w:rPr>
          <w:rFonts w:ascii="Times New Roman;serif" w:hAnsi="Times New Roman;serif"/>
          <w:b/>
          <w:color w:val="000000"/>
          <w:sz w:val="24"/>
        </w:rPr>
        <w:t>Exhibit 10.4</w:t>
      </w:r>
    </w:p>
    <w:p>
      <w:pPr>
        <w:pStyle w:val="TextBody"/>
        <w:bidi w:val="0"/>
        <w:spacing w:lineRule="auto" w:line="352" w:before="248" w:after="283"/>
        <w:ind w:left="0" w:right="0" w:firstLine="691"/>
        <w:jc w:val="left"/>
        <w:rPr>
          <w:rFonts w:ascii="Times New Roman;serif" w:hAnsi="Times New Roman;serif"/>
          <w:b/>
          <w:color w:val="000000"/>
          <w:sz w:val="24"/>
        </w:rPr>
      </w:pPr>
      <w:r>
        <w:rPr>
          <w:rFonts w:ascii="Times New Roman;serif" w:hAnsi="Times New Roman;serif"/>
          <w:b/>
          <w:color w:val="000000"/>
          <w:sz w:val="24"/>
        </w:rPr>
        <w:t>AMENDMENT TO EMPLOYMENT AGREEMENT</w:t>
      </w:r>
    </w:p>
    <w:p>
      <w:pPr>
        <w:pStyle w:val="TextBody"/>
        <w:bidi w:val="0"/>
        <w:spacing w:lineRule="auto" w:line="288" w:before="76" w:after="283"/>
        <w:ind w:left="0" w:right="0" w:firstLine="571"/>
        <w:jc w:val="left"/>
        <w:rPr/>
      </w:pPr>
      <w:r>
        <w:rPr>
          <w:rFonts w:ascii="Times New Roman;serif" w:hAnsi="Times New Roman;serif"/>
          <w:b w:val="false"/>
          <w:color w:val="000000"/>
          <w:sz w:val="24"/>
        </w:rPr>
        <w:t>THIS AMENDMENT TO EMPLOYMENT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effective as of the Effective Date (defined below), by and between Alignment Healthcare USA, LLC, a California corporation (the “</w:t>
      </w:r>
      <w:r>
        <w:rPr>
          <w:rFonts w:ascii="Times New Roman;serif" w:hAnsi="Times New Roman;serif"/>
          <w:b w:val="false"/>
          <w:color w:val="000000"/>
          <w:sz w:val="24"/>
          <w:u w:val="single"/>
        </w:rPr>
        <w:t>Employer</w:t>
      </w:r>
      <w:r>
        <w:rPr>
          <w:color w:val="000000"/>
        </w:rPr>
        <w:t>”</w:t>
      </w:r>
      <w:r>
        <w:rPr>
          <w:rFonts w:ascii="Times New Roman;serif" w:hAnsi="Times New Roman;serif"/>
          <w:b w:val="false"/>
          <w:color w:val="000000"/>
          <w:sz w:val="24"/>
        </w:rPr>
        <w:t>), and Christopher J. Joyce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before="183"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76" w:before="240" w:after="283"/>
        <w:ind w:left="0" w:right="0" w:firstLine="720"/>
        <w:jc w:val="both"/>
        <w:rPr/>
      </w:pPr>
      <w:r>
        <w:rPr>
          <w:rFonts w:ascii="Times New Roman;serif" w:hAnsi="Times New Roman;serif"/>
          <w:b w:val="false"/>
          <w:color w:val="000000"/>
          <w:sz w:val="24"/>
        </w:rPr>
        <w:t>WHEREAS, Company and Employee are parties to that certain Employment Agreement, effective August 1, 2023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76" w:before="236"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Effective Date, Employee is transitioning to report from the Chief Executive Officer to the Executive Vice President – Corporate Affairs; and</w:t>
      </w:r>
    </w:p>
    <w:p>
      <w:pPr>
        <w:pStyle w:val="TextBody"/>
        <w:bidi w:val="0"/>
        <w:spacing w:lineRule="auto" w:line="288" w:before="249"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and in accordance with Section 19 of the Agreement, Employer and Employee now desire to amend the Agreement in order to effect certain changes to the terms and conditions of Employee’s employment in connection with his new role, as set forth in this Amendment.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238"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hereinafter set forth and for other good and valuable consideration, the receipt and sufficiency of which are hereby acknowledged, the parties hereto agree as follows:</w:t>
      </w:r>
    </w:p>
    <w:p>
      <w:pPr>
        <w:pStyle w:val="TextBody"/>
        <w:bidi w:val="0"/>
        <w:spacing w:lineRule="auto" w:line="280" w:before="238" w:after="283"/>
        <w:ind w:left="0" w:right="0" w:firstLine="749"/>
        <w:jc w:val="both"/>
        <w:rPr/>
      </w:pPr>
      <w:r>
        <w:rPr>
          <w:rFonts w:ascii="Times New Roman;serif" w:hAnsi="Times New Roman;serif"/>
          <w:b/>
          <w:color w:val="000000"/>
          <w:sz w:val="24"/>
        </w:rPr>
        <w:t>1.1</w:t>
      </w:r>
      <w:r>
        <w:rPr>
          <w:rFonts w:ascii="Times New Roman;serif" w:hAnsi="Times New Roman;serif"/>
          <w:b/>
          <w:color w:val="000000"/>
          <w:sz w:val="24"/>
          <w:u w:val="single"/>
        </w:rPr>
        <w:t>Effective Date</w:t>
      </w:r>
      <w:r>
        <w:rPr>
          <w:rFonts w:ascii="Times New Roman;serif" w:hAnsi="Times New Roman;serif"/>
          <w:b w:val="false"/>
          <w:color w:val="000000"/>
          <w:sz w:val="24"/>
        </w:rPr>
        <w:t>. This Amendment shall become effective on the date of full execution.</w:t>
      </w:r>
    </w:p>
    <w:p>
      <w:pPr>
        <w:pStyle w:val="TextBody"/>
        <w:bidi w:val="0"/>
        <w:spacing w:lineRule="auto" w:line="288" w:before="235" w:after="283"/>
        <w:ind w:left="0" w:right="0" w:firstLine="749"/>
        <w:jc w:val="both"/>
        <w:rPr/>
      </w:pPr>
      <w:r>
        <w:rPr>
          <w:rFonts w:ascii="Times New Roman;serif" w:hAnsi="Times New Roman;serif"/>
          <w:b/>
          <w:color w:val="000000"/>
          <w:sz w:val="24"/>
        </w:rPr>
        <w:t>1.2</w:t>
      </w:r>
      <w:r>
        <w:rPr>
          <w:rFonts w:ascii="Times New Roman;serif" w:hAnsi="Times New Roman;serif"/>
          <w:b/>
          <w:color w:val="000000"/>
          <w:sz w:val="24"/>
          <w:u w:val="single"/>
        </w:rPr>
        <w:t>Amendment to Section 3 of the Agreement</w:t>
      </w:r>
      <w:r>
        <w:rPr>
          <w:rFonts w:ascii="Times New Roman;serif" w:hAnsi="Times New Roman;serif"/>
          <w:b/>
          <w:color w:val="000000"/>
          <w:sz w:val="24"/>
        </w:rPr>
        <w:t xml:space="preserve">. </w:t>
      </w:r>
      <w:r>
        <w:rPr>
          <w:rFonts w:ascii="Times New Roman;serif" w:hAnsi="Times New Roman;serif"/>
          <w:b w:val="false"/>
          <w:color w:val="000000"/>
          <w:sz w:val="24"/>
        </w:rPr>
        <w:t>The first sentence of Section 3 of the Agreement shall be amended and restated in its entirety as follows: “</w:t>
      </w:r>
      <w:r>
        <w:rPr>
          <w:rFonts w:ascii="Times New Roman;serif" w:hAnsi="Times New Roman;serif"/>
          <w:b w:val="false"/>
          <w:i/>
          <w:color w:val="000000"/>
          <w:sz w:val="24"/>
        </w:rPr>
        <w:t>During the Employment Period, the Employee shall be employed by Employer on a full-time basis with the title determined exclusively by the Employer, initially as Chief Legal &amp; Administrative Officer, reporting to the Executive Vice President – Corporate Affairs of Employer.</w:t>
      </w:r>
      <w:r>
        <w:rPr>
          <w:color w:val="000000"/>
        </w:rPr>
        <w:t>”</w:t>
      </w:r>
    </w:p>
    <w:p>
      <w:pPr>
        <w:pStyle w:val="TextBody"/>
        <w:bidi w:val="0"/>
        <w:spacing w:lineRule="auto" w:line="288" w:before="243" w:after="283"/>
        <w:ind w:left="0" w:right="0" w:firstLine="749"/>
        <w:jc w:val="both"/>
        <w:rPr/>
      </w:pPr>
      <w:r>
        <w:rPr>
          <w:rFonts w:ascii="Times New Roman;serif" w:hAnsi="Times New Roman;serif"/>
          <w:b/>
          <w:color w:val="000000"/>
          <w:sz w:val="24"/>
        </w:rPr>
        <w:t>1.3</w:t>
      </w:r>
      <w:r>
        <w:rPr>
          <w:rFonts w:ascii="Times New Roman;serif" w:hAnsi="Times New Roman;serif"/>
          <w:b/>
          <w:color w:val="000000"/>
          <w:sz w:val="24"/>
          <w:u w:val="single"/>
        </w:rPr>
        <w:t>Amendment to Section 6(c) of the Agreement</w:t>
      </w:r>
      <w:r>
        <w:rPr>
          <w:rFonts w:ascii="Times New Roman;serif" w:hAnsi="Times New Roman;serif"/>
          <w:b/>
          <w:color w:val="000000"/>
          <w:sz w:val="24"/>
        </w:rPr>
        <w:t xml:space="preserve">. </w:t>
      </w:r>
      <w:r>
        <w:rPr>
          <w:rFonts w:ascii="Times New Roman;serif" w:hAnsi="Times New Roman;serif"/>
          <w:b w:val="false"/>
          <w:color w:val="000000"/>
          <w:sz w:val="24"/>
        </w:rPr>
        <w:t>Section 6(c) of the Agreement shall be amended to add the following subsection (iv) to such section: “</w:t>
      </w:r>
      <w:r>
        <w:rPr>
          <w:rFonts w:ascii="Times New Roman;serif" w:hAnsi="Times New Roman;serif"/>
          <w:b w:val="false"/>
          <w:i/>
          <w:color w:val="000000"/>
          <w:sz w:val="24"/>
        </w:rPr>
        <w:t>(iv) in the event of a Termination without Cause of the Employee pursuant to this Section 6(c) before March 31, 2027, notwithstanding anything to the contrary set forth herein or set forth in any equity grant documentation pertaining to grants made to Employee, the vesting for any equity grant of the Employee outstanding as of the date of Termination shall continue to vest on behalf of Employee without interruption through March 31, 2027.</w:t>
      </w:r>
      <w:r>
        <w:rPr>
          <w:color w:val="000000"/>
        </w:rPr>
        <w:t>”</w:t>
      </w:r>
    </w:p>
    <w:p>
      <w:pPr>
        <w:pStyle w:val="TextBody"/>
        <w:bidi w:val="0"/>
        <w:spacing w:lineRule="auto" w:line="288" w:before="238" w:after="283"/>
        <w:ind w:left="0" w:right="0" w:firstLine="749"/>
        <w:jc w:val="both"/>
        <w:rPr/>
      </w:pPr>
      <w:r>
        <w:rPr>
          <w:rFonts w:ascii="Times New Roman;serif" w:hAnsi="Times New Roman;serif"/>
          <w:b/>
          <w:color w:val="000000"/>
          <w:sz w:val="24"/>
          <w:u w:val="single"/>
        </w:rPr>
        <w:t>Defined Terms</w:t>
      </w:r>
      <w:r>
        <w:rPr>
          <w:rFonts w:ascii="Times New Roman;serif" w:hAnsi="Times New Roman;serif"/>
          <w:b/>
          <w:color w:val="000000"/>
          <w:sz w:val="24"/>
        </w:rPr>
        <w:t xml:space="preserve">. </w:t>
      </w:r>
      <w:r>
        <w:rPr>
          <w:rFonts w:ascii="Times New Roman;serif" w:hAnsi="Times New Roman;serif"/>
          <w:b w:val="false"/>
          <w:color w:val="000000"/>
          <w:sz w:val="24"/>
        </w:rPr>
        <w:t>Any capitalized term used herein but not otherwise defined shall have the meaning ascribed to such term in the Agreement. All section references in this Amendment are to sections of the Agreement, unless otherwise stated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15975"/>
                <wp:effectExtent l="0" t="0" r="0" b="0"/>
                <wp:wrapNone/>
                <wp:docPr id="144" name="Frame14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49"/>
        <w:jc w:val="both"/>
        <w:rPr/>
      </w:pPr>
      <w:r>
        <w:rPr/>
      </w:r>
    </w:p>
    <w:p>
      <w:pPr>
        <w:pStyle w:val="TextBody"/>
        <w:bidi w:val="0"/>
        <w:spacing w:lineRule="auto" w:line="288" w:before="80" w:after="283"/>
        <w:ind w:left="0" w:right="0" w:firstLine="658"/>
        <w:jc w:val="left"/>
        <w:rPr/>
      </w:pPr>
      <w:r>
        <w:rPr>
          <w:rFonts w:ascii="Times New Roman;serif" w:hAnsi="Times New Roman;serif"/>
          <w:b/>
          <w:color w:val="000000"/>
          <w:sz w:val="24"/>
        </w:rPr>
        <w:t>1.4</w:t>
      </w:r>
      <w:r>
        <w:rPr>
          <w:rFonts w:ascii="Times New Roman;serif" w:hAnsi="Times New Roman;serif"/>
          <w:b/>
          <w:color w:val="000000"/>
          <w:sz w:val="24"/>
          <w:u w:val="single"/>
        </w:rPr>
        <w:t>Remainder of Agreement Terms</w:t>
      </w:r>
      <w:r>
        <w:rPr>
          <w:rFonts w:ascii="Times New Roman;serif" w:hAnsi="Times New Roman;serif"/>
          <w:b/>
          <w:color w:val="000000"/>
          <w:sz w:val="24"/>
        </w:rPr>
        <w:t xml:space="preserve">. </w:t>
      </w:r>
      <w:r>
        <w:rPr>
          <w:rFonts w:ascii="Times New Roman;serif" w:hAnsi="Times New Roman;serif"/>
          <w:b w:val="false"/>
          <w:color w:val="000000"/>
          <w:sz w:val="24"/>
        </w:rPr>
        <w:t>All remaining provisions of the Agreement shall remain unchanged. In the event of any inconsistency or conflict between any term or condition of the Agreement and this Amendment, the terms of this Amendment shall govern and prevail.</w:t>
      </w:r>
    </w:p>
    <w:p>
      <w:pPr>
        <w:pStyle w:val="TextBody"/>
        <w:bidi w:val="0"/>
        <w:spacing w:lineRule="auto" w:line="280" w:before="238" w:after="283"/>
        <w:ind w:left="0" w:right="0" w:firstLine="634"/>
        <w:jc w:val="left"/>
        <w:rPr/>
      </w:pPr>
      <w:r>
        <w:rPr>
          <w:rFonts w:ascii="Times New Roman;serif" w:hAnsi="Times New Roman;serif"/>
          <w:b/>
          <w:color w:val="000000"/>
          <w:sz w:val="24"/>
        </w:rPr>
        <w:t>1.5</w:t>
      </w:r>
      <w:r>
        <w:rPr>
          <w:rFonts w:ascii="Times New Roman;serif" w:hAnsi="Times New Roman;serif"/>
          <w:b/>
          <w:color w:val="000000"/>
          <w:sz w:val="24"/>
          <w:u w:val="single"/>
        </w:rPr>
        <w:t>Counterparts.</w:t>
      </w:r>
      <w:r>
        <w:rPr>
          <w:color w:val="000000"/>
        </w:rPr>
        <w:t xml:space="preserve"> </w:t>
      </w:r>
      <w:r>
        <w:rPr>
          <w:rFonts w:ascii="Times New Roman;serif" w:hAnsi="Times New Roman;serif"/>
          <w:b w:val="false"/>
          <w:color w:val="000000"/>
          <w:sz w:val="24"/>
        </w:rPr>
        <w:t>This Amendment may be executed in counterparts, each of which shall be deemed to be an original, but both of which together shall constitute one and the same instrument.</w:t>
      </w:r>
    </w:p>
    <w:p>
      <w:pPr>
        <w:pStyle w:val="TextBody"/>
        <w:bidi w:val="0"/>
        <w:spacing w:lineRule="auto" w:line="280" w:before="229" w:after="283"/>
        <w:ind w:left="0" w:right="0" w:firstLine="634"/>
        <w:jc w:val="left"/>
        <w:rPr/>
      </w:pPr>
      <w:r>
        <w:rPr>
          <w:rFonts w:ascii="Times New Roman;serif" w:hAnsi="Times New Roman;serif"/>
          <w:b/>
          <w:color w:val="000000"/>
          <w:sz w:val="24"/>
        </w:rPr>
        <w:t>1.6</w:t>
      </w:r>
      <w:r>
        <w:rPr>
          <w:rFonts w:ascii="Times New Roman;serif" w:hAnsi="Times New Roman;serif"/>
          <w:b/>
          <w:color w:val="000000"/>
          <w:sz w:val="24"/>
          <w:u w:val="single"/>
        </w:rPr>
        <w:t>Choice of Law</w:t>
      </w:r>
      <w:r>
        <w:rPr>
          <w:rFonts w:ascii="Times New Roman;serif" w:hAnsi="Times New Roman;serif"/>
          <w:b w:val="false"/>
          <w:color w:val="000000"/>
          <w:sz w:val="24"/>
        </w:rPr>
        <w:t>. This Amendment shall be construed and enforced under and be governed as to its validity and effect by the laws of the State of California without regard to the conflict of laws principles thereof.</w:t>
      </w:r>
    </w:p>
    <w:p>
      <w:pPr>
        <w:pStyle w:val="TextBody"/>
        <w:bidi w:val="0"/>
        <w:spacing w:lineRule="auto" w:line="288" w:before="235" w:after="283"/>
        <w:ind w:left="0" w:right="0" w:firstLine="658"/>
        <w:jc w:val="left"/>
        <w:rPr/>
      </w:pPr>
      <w:r>
        <w:rPr>
          <w:rFonts w:ascii="Times New Roman;serif" w:hAnsi="Times New Roman;serif"/>
          <w:b/>
          <w:color w:val="000000"/>
          <w:sz w:val="24"/>
        </w:rPr>
        <w:t>1.7</w:t>
      </w:r>
      <w:r>
        <w:rPr>
          <w:rFonts w:ascii="Times New Roman;serif" w:hAnsi="Times New Roman;serif"/>
          <w:b/>
          <w:color w:val="000000"/>
          <w:sz w:val="24"/>
          <w:u w:val="single"/>
        </w:rPr>
        <w:t>Entire Agreement</w:t>
      </w:r>
      <w:r>
        <w:rPr>
          <w:rFonts w:ascii="Times New Roman;serif" w:hAnsi="Times New Roman;serif"/>
          <w:b w:val="false"/>
          <w:color w:val="000000"/>
          <w:sz w:val="24"/>
        </w:rPr>
        <w:t>. This Amendment, together with the Agreement, constitutes the entire agreement between the parties with respect to its subject matter and supersedes all prior agreements, representations, and understandings, whether written or oral.</w:t>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15975"/>
                <wp:effectExtent l="0" t="0" r="0" b="0"/>
                <wp:wrapNone/>
                <wp:docPr id="145" name="Frame14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0" w:before="243"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as of the date written below.</w:t>
      </w:r>
    </w:p>
    <w:p>
      <w:pPr>
        <w:pStyle w:val="TextBody"/>
        <w:bidi w:val="0"/>
        <w:spacing w:lineRule="auto" w:line="288" w:before="143" w:after="283"/>
        <w:jc w:val="left"/>
        <w:rPr>
          <w:rFonts w:ascii="Times New Roman;serif" w:hAnsi="Times New Roman;serif"/>
          <w:b w:val="false"/>
          <w:color w:val="000000"/>
          <w:sz w:val="24"/>
        </w:rPr>
      </w:pPr>
      <w:r>
        <w:rPr>
          <w:rFonts w:ascii="Times New Roman;serif" w:hAnsi="Times New Roman;serif"/>
          <w:b w:val="false"/>
          <w:color w:val="000000"/>
          <w:sz w:val="24"/>
        </w:rPr>
        <w:t>ALIGNMENT HEALTHCARE USA, LLC</w:t>
      </w:r>
    </w:p>
    <w:p>
      <w:pPr>
        <w:pStyle w:val="TextBody"/>
        <w:bidi w:val="0"/>
        <w:spacing w:before="214" w:after="283"/>
        <w:jc w:val="left"/>
        <w:rPr/>
      </w:pPr>
      <w:r>
        <w:rPr/>
      </w:r>
    </w:p>
    <w:p>
      <w:pPr>
        <w:pStyle w:val="TextBody"/>
        <w:bidi w:val="0"/>
        <w:spacing w:lineRule="auto" w:line="26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John Kao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John Kao</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Dated: May 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164" w:after="283"/>
        <w:jc w:val="left"/>
        <w:rPr/>
      </w:pPr>
      <w:r>
        <w:rPr/>
      </w:r>
    </w:p>
    <w:p>
      <w:pPr>
        <w:pStyle w:val="TextBody"/>
        <w:bidi w:val="0"/>
        <w:spacing w:lineRule="auto" w:line="285"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Christopher Joyce    </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Joyce, individually</w:t>
      </w:r>
    </w:p>
    <w:p>
      <w:pPr>
        <w:pStyle w:val="TextBody"/>
        <w:bidi w:val="0"/>
        <w:spacing w:lineRule="auto" w:line="285" w:before="0" w:after="0"/>
        <w:jc w:val="left"/>
        <w:rPr>
          <w:rFonts w:ascii="Times New Roman;serif" w:hAnsi="Times New Roman;serif"/>
          <w:b w:val="false"/>
          <w:color w:val="000000"/>
          <w:sz w:val="24"/>
        </w:rPr>
      </w:pPr>
      <w:r>
        <w:rPr>
          <w:rFonts w:ascii="Times New Roman;serif" w:hAnsi="Times New Roman;serif"/>
          <w:b w:val="false"/>
          <w:color w:val="000000"/>
          <w:sz w:val="24"/>
        </w:rPr>
        <w:t>Dated: May 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15975"/>
                <wp:effectExtent l="0" t="0" r="0" b="0"/>
                <wp:wrapNone/>
                <wp:docPr id="146" name="Frame14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Kao,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Alignment Healthcare,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4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9"/>
        <w:gridCol w:w="619"/>
        <w:gridCol w:w="89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James M. Head,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Alignment Healthcare,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1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4"/>
        <w:gridCol w:w="614"/>
        <w:gridCol w:w="87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Alignment Healthcare, Inc. (the “Company”) on Form 10-Q for the period ending June 30, 2026 as filed with the Securities and Exchange Commission on the date hereof (the “Report”), I, John Kao, Chief Executive Officer of the Company, hereby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4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9"/>
        <w:gridCol w:w="619"/>
        <w:gridCol w:w="89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John Kao</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Alignment Healthcare, Inc. (the “Company”) on Form 10-Q for the period ending June 30, 2026 as filed with the Securities and Exchange Commission on the date hereof (the “Report”), I, James M. Head, Chief Financial Officer of the Company, hereby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21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14"/>
        <w:gridCol w:w="614"/>
        <w:gridCol w:w="87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James M. Head</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466/000119312521100476/d292883dex31.htm" TargetMode="External"/><Relationship Id="rId3" Type="http://schemas.openxmlformats.org/officeDocument/2006/relationships/hyperlink" Target="https://www.sec.gov/Archives/edgar/data/1832466/000162828024027889/certificateofamendment-alh.htm" TargetMode="External"/><Relationship Id="rId4" Type="http://schemas.openxmlformats.org/officeDocument/2006/relationships/hyperlink" Target="https://www.sec.gov/Archives/edgar/data/1832466/000095017024021154/alhc-ex3_2.htm" TargetMode="External"/><Relationship Id="rId5" Type="http://schemas.openxmlformats.org/officeDocument/2006/relationships/hyperlink" Target="https://www.sec.gov/Archives/edgar/data/1832466/000119312521100476/d292883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52766</Words>
  <Characters>289073</Characters>
  <CharactersWithSpaces>340109</CharactersWithSpaces>
  <Paragraphs>3077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