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Arial;sans-serif" w:hAnsi="Arial;sans-serif"/>
          <w:b/>
          <w:sz w:val="36"/>
        </w:rPr>
      </w:pPr>
      <w:bookmarkStart w:id="0" w:name="alhc-20230426.htm"/>
      <w:bookmarkStart w:id="1" w:name="ksalhc20230426"/>
      <w:bookmarkEnd w:id="0"/>
      <w:bookmarkEnd w:id="1"/>
      <w:r>
        <w:rPr>
          <w:rFonts w:ascii="Arial;sans-serif" w:hAnsi="Arial;sans-serif"/>
          <w:b/>
          <w:sz w:val="36"/>
        </w:rPr>
        <w:t>UNITED STATES</w:t>
      </w:r>
    </w:p>
    <w:p>
      <w:pPr>
        <w:pStyle w:val="TextBody"/>
        <w:spacing w:before="0" w:after="0"/>
        <w:jc w:val="center"/>
        <w:rPr>
          <w:rFonts w:ascii="Times New Roman" w:hAnsi="Times New Roman"/>
          <w:sz w:val="20"/>
        </w:rPr>
      </w:pPr>
      <w:r>
        <w:rPr>
          <w:rFonts w:ascii="Arial;sans-serif" w:hAnsi="Arial;sans-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4"/>
        </w:rPr>
        <w:t>Washington, D.C. 20549</w:t>
      </w:r>
      <w:r>
        <w:rPr>
          <w:rFonts w:ascii="Times New Roman" w:hAnsi="Times New Roman"/>
          <w:sz w:val="20"/>
        </w:rPr>
        <w:t xml:space="preserve"> </w:t>
      </w:r>
    </w:p>
    <w:p>
      <w:pPr>
        <w:pStyle w:val="TextBody"/>
        <w:spacing w:before="120" w:after="0"/>
        <w:jc w:val="center"/>
        <w:rPr>
          <w:rFonts w:ascii="Arial;sans-serif" w:hAnsi="Arial;sans-serif"/>
          <w:b/>
          <w:sz w:val="36"/>
        </w:rPr>
      </w:pPr>
      <w:r>
        <w:rPr>
          <w:rFonts w:ascii="Arial;sans-serif" w:hAnsi="Arial;sans-serif"/>
          <w:b/>
          <w:sz w:val="36"/>
        </w:rPr>
        <w:t>SCHEDULE 14A</w:t>
      </w:r>
    </w:p>
    <w:p>
      <w:pPr>
        <w:pStyle w:val="TextBody"/>
        <w:spacing w:before="120" w:after="0"/>
        <w:jc w:val="center"/>
        <w:rPr>
          <w:rFonts w:ascii="Times New Roman" w:hAnsi="Times New Roman"/>
          <w:sz w:val="20"/>
        </w:rPr>
      </w:pPr>
      <w:r>
        <w:rPr>
          <w:rFonts w:ascii="Arial;sans-serif" w:hAnsi="Arial;sans-serif"/>
          <w:b/>
          <w:sz w:val="24"/>
        </w:rPr>
        <w:t>Proxy Statement Pursuant to Section 14(a)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4"/>
        </w:rPr>
        <w:t>of the Securities Exchange Act of 1934</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Filed by the Registrant </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 xml:space="preserve">Filed by a Party other than the Registrant </w:t>
      </w:r>
      <w:r>
        <w:rPr>
          <w:rFonts w:ascii="Times New Roman" w:hAnsi="Times New Roman"/>
          <w:sz w:val="20"/>
        </w:rPr>
        <w:t xml:space="preserve">☐ </w:t>
      </w:r>
    </w:p>
    <w:p>
      <w:pPr>
        <w:pStyle w:val="TextBody"/>
        <w:spacing w:before="120" w:after="80"/>
        <w:jc w:val="left"/>
        <w:rPr>
          <w:rFonts w:ascii="Times New Roman" w:hAnsi="Times New Roman"/>
          <w:sz w:val="20"/>
        </w:rPr>
      </w:pPr>
      <w:r>
        <w:rPr>
          <w:rFonts w:ascii="Arial;sans-serif" w:hAnsi="Arial;sans-serif"/>
          <w:b w:val="false"/>
          <w:sz w:val="20"/>
        </w:rPr>
        <w:t>Check the appropriate box:</w:t>
      </w:r>
      <w:r>
        <w:rPr>
          <w:rFonts w:ascii="Times New Roman" w:hAnsi="Times New Roman"/>
          <w:sz w:val="20"/>
        </w:rPr>
        <w:t xml:space="preserve"> </w:t>
      </w:r>
    </w:p>
    <w:tbl>
      <w:tblPr>
        <w:tblW w:w="7528" w:type="dxa"/>
        <w:jc w:val="left"/>
        <w:tblInd w:w="0" w:type="dxa"/>
        <w:tblCellMar>
          <w:top w:w="28" w:type="dxa"/>
          <w:left w:w="28" w:type="dxa"/>
          <w:bottom w:w="28" w:type="dxa"/>
          <w:right w:w="28" w:type="dxa"/>
        </w:tblCellMar>
      </w:tblPr>
      <w:tblGrid>
        <w:gridCol w:w="331"/>
        <w:gridCol w:w="146"/>
        <w:gridCol w:w="7051"/>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5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Preliminary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Confidential, for Use of the Commission Only (as permitted by Rule 14a-6(e)(2))</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Definitive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Definitive Additional Materials</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Soliciting Material Pursuant to §240.14a-12</w:t>
            </w:r>
          </w:p>
        </w:tc>
      </w:tr>
    </w:tbl>
    <w:p>
      <w:pPr>
        <w:pStyle w:val="TextBody"/>
        <w:spacing w:before="240" w:after="0"/>
        <w:jc w:val="center"/>
        <w:rPr>
          <w:rFonts w:ascii="Arial;sans-serif" w:hAnsi="Arial;sans-serif"/>
          <w:b/>
          <w:sz w:val="44"/>
        </w:rPr>
      </w:pPr>
      <w:r>
        <w:rPr>
          <w:rFonts w:ascii="Arial;sans-serif" w:hAnsi="Arial;sans-serif"/>
          <w:b/>
          <w:sz w:val="44"/>
        </w:rPr>
        <w:t>Alignment Healthcare, Inc.</w:t>
      </w:r>
    </w:p>
    <w:p>
      <w:pPr>
        <w:pStyle w:val="TextBody"/>
        <w:spacing w:before="0" w:after="0"/>
        <w:jc w:val="center"/>
        <w:rPr>
          <w:rFonts w:ascii="Times New Roman" w:hAnsi="Times New Roman"/>
          <w:sz w:val="20"/>
        </w:rPr>
      </w:pPr>
      <w:r>
        <w:rPr>
          <w:rFonts w:ascii="Arial;sans-serif" w:hAnsi="Arial;sans-serif"/>
          <w:b/>
          <w:sz w:val="20"/>
        </w:rPr>
        <w:t>(Name of registrant as specified in its charter)</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Arial;sans-serif" w:hAnsi="Arial;sans-serif"/>
          <w:b/>
          <w:sz w:val="16"/>
        </w:rPr>
        <w:t>(Name of Person(s) Filing Proxy Statement, if other than the Registrant)</w:t>
      </w:r>
      <w:r>
        <w:rPr>
          <w:rFonts w:ascii="Times New Roman" w:hAnsi="Times New Roman"/>
          <w:sz w:val="20"/>
        </w:rPr>
        <w:t xml:space="preserve"> </w:t>
      </w:r>
    </w:p>
    <w:p>
      <w:pPr>
        <w:pStyle w:val="TextBody"/>
        <w:spacing w:before="120" w:after="80"/>
        <w:jc w:val="left"/>
        <w:rPr>
          <w:rFonts w:ascii="Times New Roman" w:hAnsi="Times New Roman"/>
          <w:sz w:val="20"/>
        </w:rPr>
      </w:pPr>
      <w:r>
        <w:rPr>
          <w:rFonts w:ascii="Arial;sans-serif" w:hAnsi="Arial;sans-serif"/>
          <w:b w:val="false"/>
          <w:sz w:val="20"/>
        </w:rPr>
        <w:t>Payment of Filing Fee (Check all boxes that apply):</w:t>
      </w:r>
      <w:r>
        <w:rPr>
          <w:rFonts w:ascii="Times New Roman" w:hAnsi="Times New Roman"/>
          <w:sz w:val="20"/>
        </w:rPr>
        <w:t xml:space="preserve"> </w:t>
      </w:r>
    </w:p>
    <w:tbl>
      <w:tblPr>
        <w:tblW w:w="9343" w:type="dxa"/>
        <w:jc w:val="left"/>
        <w:tblInd w:w="0" w:type="dxa"/>
        <w:tblCellMar>
          <w:top w:w="28" w:type="dxa"/>
          <w:left w:w="28" w:type="dxa"/>
          <w:bottom w:w="28" w:type="dxa"/>
          <w:right w:w="28" w:type="dxa"/>
        </w:tblCellMar>
      </w:tblPr>
      <w:tblGrid>
        <w:gridCol w:w="331"/>
        <w:gridCol w:w="146"/>
        <w:gridCol w:w="8866"/>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 fee required.</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Fee paid previously with preliminary materials.</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Fee computed on table in exhibit required by Item 25(b) per Exchange Act Rules 14a-6(i)(1) and 0-11</w:t>
            </w:r>
          </w:p>
        </w:tc>
      </w:tr>
    </w:tbl>
    <w:p>
      <w:pPr>
        <w:pStyle w:val="TextBody"/>
        <w:spacing w:before="0" w:after="0"/>
        <w:jc w:val="left"/>
        <w:rPr/>
      </w:pPr>
      <w:r>
        <w:rPr/>
        <w:t> </w:t>
      </w:r>
    </w:p>
    <w:p>
      <w:pPr>
        <w:pStyle w:val="TextBody"/>
        <w:pBdr>
          <w:bottom w:val="sing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drawing>
          <wp:inline distT="0" distB="0" distL="0" distR="0">
            <wp:extent cx="6838950" cy="884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88487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1647825"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828675"/>
                    </a:xfrm>
                    <a:prstGeom prst="rect">
                      <a:avLst/>
                    </a:prstGeom>
                  </pic:spPr>
                </pic:pic>
              </a:graphicData>
            </a:graphic>
          </wp:inline>
        </w:drawing>
      </w:r>
      <w:r>
        <w:rPr/>
        <w:t> </w:t>
      </w:r>
    </w:p>
    <w:p>
      <w:pPr>
        <w:pStyle w:val="TextBody"/>
        <w:spacing w:before="240" w:after="0"/>
        <w:jc w:val="left"/>
        <w:rPr>
          <w:rFonts w:ascii="Arial;sans-serif" w:hAnsi="Arial;sans-serif"/>
          <w:b w:val="false"/>
          <w:sz w:val="20"/>
        </w:rPr>
      </w:pPr>
      <w:r>
        <w:rPr>
          <w:rFonts w:ascii="Arial;sans-serif" w:hAnsi="Arial;sans-serif"/>
          <w:b w:val="false"/>
          <w:sz w:val="20"/>
        </w:rPr>
        <w:t>April 26, 2023</w:t>
      </w:r>
    </w:p>
    <w:p>
      <w:pPr>
        <w:pStyle w:val="TextBody"/>
        <w:spacing w:before="240" w:after="0"/>
        <w:jc w:val="left"/>
        <w:rPr>
          <w:rFonts w:ascii="Arial;sans-serif" w:hAnsi="Arial;sans-serif"/>
          <w:b w:val="false"/>
          <w:sz w:val="20"/>
        </w:rPr>
      </w:pPr>
      <w:r>
        <w:rPr>
          <w:rFonts w:ascii="Arial;sans-serif" w:hAnsi="Arial;sans-serif"/>
          <w:b w:val="false"/>
          <w:sz w:val="20"/>
        </w:rPr>
        <w:t>Dear Fellow Stockholders:</w:t>
      </w:r>
    </w:p>
    <w:p>
      <w:pPr>
        <w:pStyle w:val="TextBody"/>
        <w:spacing w:before="240" w:after="0"/>
        <w:jc w:val="left"/>
        <w:rPr>
          <w:rFonts w:ascii="Arial;sans-serif" w:hAnsi="Arial;sans-serif"/>
          <w:b w:val="false"/>
          <w:sz w:val="20"/>
        </w:rPr>
      </w:pPr>
      <w:r>
        <w:rPr>
          <w:rFonts w:ascii="Arial;sans-serif" w:hAnsi="Arial;sans-serif"/>
          <w:b w:val="false"/>
          <w:sz w:val="20"/>
        </w:rPr>
        <w:t>Alignment Healthcare, Inc. (“Alignment”) was founded on the principle of creating a standard of health care that puts the senior first. We strive to offer members what they need, where and when they need it. By focusing on serving our members, we believe we can improve the health and well-being of seniors across the United States.</w:t>
      </w:r>
    </w:p>
    <w:p>
      <w:pPr>
        <w:pStyle w:val="TextBody"/>
        <w:spacing w:before="240" w:after="0"/>
        <w:jc w:val="left"/>
        <w:rPr>
          <w:rFonts w:ascii="Arial;sans-serif" w:hAnsi="Arial;sans-serif"/>
          <w:b w:val="false"/>
          <w:sz w:val="20"/>
        </w:rPr>
      </w:pPr>
      <w:r>
        <w:rPr>
          <w:rFonts w:ascii="Arial;sans-serif" w:hAnsi="Arial;sans-serif"/>
          <w:b w:val="false"/>
          <w:sz w:val="20"/>
        </w:rPr>
        <w:t>One of the key priorities since our initial public offering was to meet or exceed our guidance range across each of our four key performance indicators (“KPIs”): total revenue, health plan membership, adjusted gross profit and adjusted earnings before interest, taxes, depreciation and amortization (“adjusted EBITDA”). We successfully delivered on that goal by meeting or exceeding our guidance range for all four KPIs for eight straight quarters.</w:t>
      </w:r>
    </w:p>
    <w:p>
      <w:pPr>
        <w:pStyle w:val="TextBody"/>
        <w:spacing w:before="240" w:after="0"/>
        <w:jc w:val="left"/>
        <w:rPr>
          <w:rFonts w:ascii="Times New Roman" w:hAnsi="Times New Roman"/>
          <w:sz w:val="20"/>
        </w:rPr>
      </w:pPr>
      <w:r>
        <w:rPr>
          <w:rFonts w:ascii="Arial;sans-serif" w:hAnsi="Arial;sans-serif"/>
          <w:b w:val="false"/>
          <w:sz w:val="20"/>
        </w:rPr>
        <w:t>In today’s climate, balancing disciplined growth and high quality with prudent fiscal management is key. We are focused on growth while prioritizing margins, moving toward becoming adjusted EBITDA positive and minimizing cash burn. The Centers for Medicare &amp; Medicaid Services (“CMS”) is increasing the standards of our industry, which we view as a good thing. The increased standards encourage all Medicare Advantage (“MA”) plans to have a durable model emphasizing quality at a low cost – our mission from day one. Alignment is better positioned than ever to stand out amongst its peers. Our purpose-built AVA</w:t>
      </w:r>
      <w:r>
        <w:rPr>
          <w:rFonts w:ascii="Arial;sans-serif" w:hAnsi="Arial;sans-serif"/>
          <w:b w:val="false"/>
          <w:sz w:val="13"/>
        </w:rPr>
        <w:t>®</w:t>
      </w:r>
      <w:r>
        <w:rPr>
          <w:rFonts w:ascii="Times New Roman" w:hAnsi="Times New Roman"/>
          <w:sz w:val="20"/>
        </w:rPr>
        <w:t xml:space="preserve"> </w:t>
      </w:r>
      <w:r>
        <w:rPr>
          <w:rFonts w:ascii="Arial;sans-serif" w:hAnsi="Arial;sans-serif"/>
          <w:b w:val="false"/>
          <w:sz w:val="20"/>
        </w:rPr>
        <w:t>technology platform and Care Anywhere care delivery model continue to produce strong operating results and are what differentiate us in the marketplace.</w:t>
      </w:r>
    </w:p>
    <w:p>
      <w:pPr>
        <w:pStyle w:val="TextBody"/>
        <w:spacing w:before="240" w:after="0"/>
        <w:jc w:val="left"/>
        <w:rPr>
          <w:rFonts w:ascii="Arial;sans-serif" w:hAnsi="Arial;sans-serif"/>
          <w:b w:val="false"/>
          <w:sz w:val="20"/>
        </w:rPr>
      </w:pPr>
      <w:r>
        <w:rPr>
          <w:rFonts w:ascii="Arial;sans-serif" w:hAnsi="Arial;sans-serif"/>
          <w:b w:val="false"/>
          <w:sz w:val="20"/>
        </w:rPr>
        <w:t>Last year was another strong year for Alignment with outstanding achievements, including:</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23% year-over-year revenue growth as of Dec. 31, 2022;</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~95% of members in plans that received 4 Stars or better under CMS’s 5 Star Quality Rating System, including a 5 Star rating in North Carolina for the 2023 plan year;</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A Net Promoter Score (“NPS”) of greater than 60, which is significantly higher than the MA national average NPS of 40 and includes an NPS of greater than 70 for our Care Anywhere program;</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Improved clinical outcomes across markets thanks to our Care Anywhere care delivery model powered by AVA insights, including:</w:t>
      </w:r>
    </w:p>
    <w:p>
      <w:pPr>
        <w:pStyle w:val="TextBody"/>
        <w:spacing w:before="0" w:after="0"/>
        <w:jc w:val="left"/>
        <w:rPr>
          <w:rFonts w:ascii="Times New Roman" w:hAnsi="Times New Roman"/>
          <w:b w:val="false"/>
          <w:sz w:val="20"/>
        </w:rPr>
      </w:pPr>
      <w:r>
        <w:rPr>
          <w:rFonts w:ascii="Times New Roman" w:hAnsi="Times New Roman"/>
          <w:b w:val="false"/>
          <w:sz w:val="20"/>
        </w:rPr>
        <w:t>o</w:t>
      </w:r>
    </w:p>
    <w:p>
      <w:pPr>
        <w:pStyle w:val="TextBody"/>
        <w:spacing w:before="0" w:after="0"/>
        <w:jc w:val="left"/>
        <w:rPr>
          <w:rFonts w:ascii="Arial;sans-serif" w:hAnsi="Arial;sans-serif"/>
          <w:b w:val="false"/>
          <w:sz w:val="20"/>
        </w:rPr>
      </w:pPr>
      <w:r>
        <w:rPr>
          <w:rFonts w:ascii="Arial;sans-serif" w:hAnsi="Arial;sans-serif"/>
          <w:b w:val="false"/>
          <w:sz w:val="20"/>
        </w:rPr>
        <w:t>Members in our Care Anywhere program show a 32% net reduction in institutional claims expense 12 months after engagement versus Care Anywhere-eligible members who did not enroll in the program.</w:t>
      </w:r>
    </w:p>
    <w:p>
      <w:pPr>
        <w:pStyle w:val="TextBody"/>
        <w:spacing w:before="0" w:after="0"/>
        <w:jc w:val="left"/>
        <w:rPr>
          <w:rFonts w:ascii="Times New Roman" w:hAnsi="Times New Roman"/>
          <w:b w:val="false"/>
          <w:sz w:val="20"/>
        </w:rPr>
      </w:pPr>
      <w:r>
        <w:rPr>
          <w:rFonts w:ascii="Times New Roman" w:hAnsi="Times New Roman"/>
          <w:b w:val="false"/>
          <w:sz w:val="20"/>
        </w:rPr>
        <w:t>o</w:t>
      </w:r>
    </w:p>
    <w:p>
      <w:pPr>
        <w:pStyle w:val="TextBody"/>
        <w:spacing w:before="0" w:after="0"/>
        <w:jc w:val="left"/>
        <w:rPr>
          <w:rFonts w:ascii="Arial;sans-serif" w:hAnsi="Arial;sans-serif"/>
          <w:b w:val="false"/>
          <w:sz w:val="20"/>
        </w:rPr>
      </w:pPr>
      <w:r>
        <w:rPr>
          <w:rFonts w:ascii="Arial;sans-serif" w:hAnsi="Arial;sans-serif"/>
          <w:b w:val="false"/>
          <w:sz w:val="20"/>
        </w:rPr>
        <w:t>At-risk members across all chronic condition cohorts saw 47% lower emergency room ("ER") visits per thousand versus traditional Medicare, including a 58% reduction in ER utilization for members with six or more chronic conditions.</w:t>
      </w:r>
    </w:p>
    <w:p>
      <w:pPr>
        <w:pStyle w:val="TextBody"/>
        <w:spacing w:before="0" w:after="0"/>
        <w:jc w:val="left"/>
        <w:rPr>
          <w:rFonts w:ascii="Times New Roman" w:hAnsi="Times New Roman"/>
          <w:b w:val="false"/>
          <w:sz w:val="20"/>
        </w:rPr>
      </w:pPr>
      <w:r>
        <w:rPr>
          <w:rFonts w:ascii="Times New Roman" w:hAnsi="Times New Roman"/>
          <w:b w:val="false"/>
          <w:sz w:val="20"/>
        </w:rPr>
        <w:t>o</w:t>
      </w:r>
    </w:p>
    <w:p>
      <w:pPr>
        <w:pStyle w:val="TextBody"/>
        <w:spacing w:before="0" w:after="0"/>
        <w:jc w:val="left"/>
        <w:rPr>
          <w:rFonts w:ascii="Arial;sans-serif" w:hAnsi="Arial;sans-serif"/>
          <w:b w:val="false"/>
          <w:sz w:val="20"/>
        </w:rPr>
      </w:pPr>
      <w:r>
        <w:rPr>
          <w:rFonts w:ascii="Arial;sans-serif" w:hAnsi="Arial;sans-serif"/>
          <w:b w:val="false"/>
          <w:sz w:val="20"/>
        </w:rPr>
        <w:t>At-risk members who have been with us for at least six years have experienced an average 10% improvement in the medical benefits ratio, going from 88% to 78%.</w:t>
      </w:r>
    </w:p>
    <w:p>
      <w:pPr>
        <w:pStyle w:val="TextBody"/>
        <w:spacing w:before="0" w:after="0"/>
        <w:jc w:val="left"/>
        <w:rPr>
          <w:rFonts w:ascii="Times New Roman" w:hAnsi="Times New Roman"/>
          <w:b w:val="false"/>
          <w:sz w:val="20"/>
        </w:rPr>
      </w:pPr>
      <w:r>
        <w:rPr>
          <w:rFonts w:ascii="Times New Roman" w:hAnsi="Times New Roman"/>
          <w:b w:val="false"/>
          <w:sz w:val="20"/>
        </w:rPr>
        <w:t>o</w:t>
      </w:r>
    </w:p>
    <w:p>
      <w:pPr>
        <w:pStyle w:val="TextBody"/>
        <w:jc w:val="left"/>
        <w:rPr>
          <w:rFonts w:ascii="Arial;sans-serif" w:hAnsi="Arial;sans-serif"/>
          <w:b w:val="false"/>
          <w:sz w:val="20"/>
        </w:rPr>
      </w:pPr>
      <w:r>
        <w:rPr>
          <w:rFonts w:ascii="Arial;sans-serif" w:hAnsi="Arial;sans-serif"/>
          <w:b w:val="false"/>
          <w:sz w:val="20"/>
        </w:rPr>
        <w:t>Fewer than 155 inpatient admissions per thousand in each of our new states, nearly 40% better than traditional Medicare, which averages over 250 inpatient admissions per thousand – a powerful testament to the replicability of our care model.</w:t>
      </w:r>
    </w:p>
    <w:p>
      <w:pPr>
        <w:pStyle w:val="TextBody"/>
        <w:spacing w:before="240" w:after="0"/>
        <w:jc w:val="left"/>
        <w:rPr>
          <w:rFonts w:ascii="Arial;sans-serif" w:hAnsi="Arial;sans-serif"/>
          <w:b w:val="false"/>
          <w:sz w:val="20"/>
        </w:rPr>
      </w:pPr>
      <w:r>
        <w:rPr>
          <w:rFonts w:ascii="Arial;sans-serif" w:hAnsi="Arial;sans-serif"/>
          <w:b w:val="false"/>
          <w:sz w:val="20"/>
        </w:rPr>
        <w:t>In 2023, we will aim to strengthen six key areas that will allow us to scale successfully:</w:t>
      </w:r>
    </w:p>
    <w:p>
      <w:pPr>
        <w:pStyle w:val="TextBody"/>
        <w:spacing w:before="0" w:after="0"/>
        <w:jc w:val="left"/>
        <w:rPr/>
      </w:pPr>
      <w:r>
        <w:rPr/>
        <w:t>•</w:t>
      </w:r>
    </w:p>
    <w:p>
      <w:pPr>
        <w:pStyle w:val="TextBody"/>
        <w:jc w:val="left"/>
        <w:rPr/>
      </w:pPr>
      <w:r>
        <w:rPr>
          <w:rFonts w:ascii="Arial;sans-serif" w:hAnsi="Arial;sans-serif"/>
          <w:b/>
          <w:sz w:val="20"/>
        </w:rPr>
        <w:t>Quality</w:t>
      </w:r>
      <w:r>
        <w:rPr>
          <w:rFonts w:ascii="Arial;sans-serif" w:hAnsi="Arial;sans-serif"/>
          <w:b w:val="false"/>
          <w:sz w:val="20"/>
        </w:rPr>
        <w:t xml:space="preserve">: We are doubling down on our quality and cost initiatives, which have been the foundational element of our company for sustained growth both inside and outside of California. For 2024, it is a strategic priority to maximize our Stars rating outcomes, the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importance of which is evidenced by our successful 2023 plan year annual enrollment period in North Carolina, where we achieved our first 5-star plan.</w:t>
      </w:r>
    </w:p>
    <w:p>
      <w:pPr>
        <w:pStyle w:val="TextBody"/>
        <w:spacing w:before="0" w:after="0"/>
        <w:jc w:val="left"/>
        <w:rPr/>
      </w:pPr>
      <w:r>
        <w:rPr/>
        <w:t>•</w:t>
      </w:r>
    </w:p>
    <w:p>
      <w:pPr>
        <w:pStyle w:val="TextBody"/>
        <w:spacing w:before="0" w:after="0"/>
        <w:jc w:val="left"/>
        <w:rPr/>
      </w:pPr>
      <w:r>
        <w:rPr>
          <w:rFonts w:ascii="Arial;sans-serif" w:hAnsi="Arial;sans-serif"/>
          <w:b/>
          <w:sz w:val="20"/>
        </w:rPr>
        <w:t>Clinical Innovation</w:t>
      </w:r>
      <w:r>
        <w:rPr>
          <w:rFonts w:ascii="Arial;sans-serif" w:hAnsi="Arial;sans-serif"/>
          <w:b w:val="false"/>
          <w:sz w:val="20"/>
        </w:rPr>
        <w:t xml:space="preserve">: We continually invest in our AVA and Care Anywhere capabilities. We have developed the Safety Assessment Fall Education program to proactively identify intrinsic and extrinsic risks contributing to falls, the leading cause of senior injuries. </w:t>
      </w:r>
    </w:p>
    <w:p>
      <w:pPr>
        <w:pStyle w:val="TextBody"/>
        <w:spacing w:before="0" w:after="0"/>
        <w:jc w:val="left"/>
        <w:rPr/>
      </w:pPr>
      <w:r>
        <w:rPr/>
        <w:t>•</w:t>
      </w:r>
    </w:p>
    <w:p>
      <w:pPr>
        <w:pStyle w:val="TextBody"/>
        <w:spacing w:before="0" w:after="0"/>
        <w:jc w:val="left"/>
        <w:rPr/>
      </w:pPr>
      <w:r>
        <w:rPr>
          <w:rFonts w:ascii="Arial;sans-serif" w:hAnsi="Arial;sans-serif"/>
          <w:b/>
          <w:sz w:val="20"/>
        </w:rPr>
        <w:t>Network</w:t>
      </w:r>
      <w:r>
        <w:rPr>
          <w:rFonts w:ascii="Arial;sans-serif" w:hAnsi="Arial;sans-serif"/>
          <w:b w:val="false"/>
          <w:sz w:val="20"/>
        </w:rPr>
        <w:t>: We are deepening relationships with our provider partners and expanding our networks to create greater access for members. We have established a strategic geographic footprint across six states and remain focused on going deep in each market. Our market share in our most penetrated counties is 28%, and with less than a 3% share across our 52 counties today, we see a significant opportunity to strengthen our presence in existing counties. Furthermore, more than 30% of all Medicare eligibles reside in our six states, representing a long growth runway as we expand into contiguous counties within these existing states.</w:t>
      </w:r>
    </w:p>
    <w:p>
      <w:pPr>
        <w:pStyle w:val="TextBody"/>
        <w:spacing w:before="0" w:after="0"/>
        <w:jc w:val="left"/>
        <w:rPr/>
      </w:pPr>
      <w:r>
        <w:rPr/>
        <w:t>•</w:t>
      </w:r>
    </w:p>
    <w:p>
      <w:pPr>
        <w:pStyle w:val="TextBody"/>
        <w:spacing w:before="0" w:after="0"/>
        <w:jc w:val="left"/>
        <w:rPr/>
      </w:pPr>
      <w:r>
        <w:rPr>
          <w:rFonts w:ascii="Arial;sans-serif" w:hAnsi="Arial;sans-serif"/>
          <w:b/>
          <w:sz w:val="20"/>
        </w:rPr>
        <w:t>Products</w:t>
      </w:r>
      <w:r>
        <w:rPr>
          <w:rFonts w:ascii="Arial;sans-serif" w:hAnsi="Arial;sans-serif"/>
          <w:b w:val="false"/>
          <w:sz w:val="20"/>
        </w:rPr>
        <w:t>: We will increase the richness of our products heading into 2024 while balancing long-term margin objectives.</w:t>
      </w:r>
    </w:p>
    <w:p>
      <w:pPr>
        <w:pStyle w:val="TextBody"/>
        <w:spacing w:before="0" w:after="0"/>
        <w:jc w:val="left"/>
        <w:rPr/>
      </w:pPr>
      <w:r>
        <w:rPr/>
        <w:t>•</w:t>
      </w:r>
    </w:p>
    <w:p>
      <w:pPr>
        <w:pStyle w:val="TextBody"/>
        <w:spacing w:before="0" w:after="0"/>
        <w:jc w:val="left"/>
        <w:rPr/>
      </w:pPr>
      <w:r>
        <w:rPr>
          <w:rFonts w:ascii="Arial;sans-serif" w:hAnsi="Arial;sans-serif"/>
          <w:b/>
          <w:sz w:val="20"/>
        </w:rPr>
        <w:t>Distribution</w:t>
      </w:r>
      <w:r>
        <w:rPr>
          <w:rFonts w:ascii="Arial;sans-serif" w:hAnsi="Arial;sans-serif"/>
          <w:b w:val="false"/>
          <w:sz w:val="20"/>
        </w:rPr>
        <w:t xml:space="preserve">: We are employing a broader, more balanced distribution strategy. We will continue to invest in our durable relationships with third-party brokers that have consistently delivered while we add internal sales agents and a greater online sales presence. </w:t>
      </w:r>
    </w:p>
    <w:p>
      <w:pPr>
        <w:pStyle w:val="TextBody"/>
        <w:spacing w:before="0" w:after="0"/>
        <w:jc w:val="left"/>
        <w:rPr/>
      </w:pPr>
      <w:r>
        <w:rPr/>
        <w:t>•</w:t>
      </w:r>
    </w:p>
    <w:p>
      <w:pPr>
        <w:pStyle w:val="TextBody"/>
        <w:jc w:val="left"/>
        <w:rPr/>
      </w:pPr>
      <w:r>
        <w:rPr>
          <w:rFonts w:ascii="Arial;sans-serif" w:hAnsi="Arial;sans-serif"/>
          <w:b/>
          <w:sz w:val="20"/>
        </w:rPr>
        <w:t>Operational Excellence</w:t>
      </w:r>
      <w:r>
        <w:rPr>
          <w:rFonts w:ascii="Arial;sans-serif" w:hAnsi="Arial;sans-serif"/>
          <w:b w:val="false"/>
          <w:sz w:val="20"/>
        </w:rPr>
        <w:t>: We are continuing to invest in growing the company and improving our back-office operations to yield better member retention, more operating scale and enhanced workflows. Our operating scale economies are evidenced by California becoming adjusted EBITDA positive in 2022.</w:t>
      </w:r>
    </w:p>
    <w:p>
      <w:pPr>
        <w:pStyle w:val="TextBody"/>
        <w:spacing w:before="240" w:after="0"/>
        <w:jc w:val="left"/>
        <w:rPr>
          <w:rFonts w:ascii="Arial;sans-serif" w:hAnsi="Arial;sans-serif"/>
          <w:b w:val="false"/>
          <w:sz w:val="20"/>
        </w:rPr>
      </w:pPr>
      <w:r>
        <w:rPr>
          <w:rFonts w:ascii="Arial;sans-serif" w:hAnsi="Arial;sans-serif"/>
          <w:b w:val="false"/>
          <w:sz w:val="20"/>
        </w:rPr>
        <w:t>Our results underscore our approach to doing well by doing good for our members. Alignment is deploying our winning model with a disciplined growth strategy that continues to differentiate us from our peers. We believe it will take the company from good to great.</w:t>
      </w:r>
    </w:p>
    <w:p>
      <w:pPr>
        <w:pStyle w:val="TextBody"/>
        <w:spacing w:before="240" w:after="0"/>
        <w:jc w:val="left"/>
        <w:rPr>
          <w:rFonts w:ascii="Arial;sans-serif" w:hAnsi="Arial;sans-serif"/>
          <w:b w:val="false"/>
          <w:sz w:val="20"/>
        </w:rPr>
      </w:pPr>
      <w:r>
        <w:rPr>
          <w:rFonts w:ascii="Arial;sans-serif" w:hAnsi="Arial;sans-serif"/>
          <w:b w:val="false"/>
          <w:sz w:val="20"/>
        </w:rPr>
        <w:t>On behalf of the Alignment Healthcare Board of Directors, it is our pleasure to invite you to attend our second Annual Meeting of Stockholders on June 6, 2023, at 8:00 a.m. PDT. The Annual Meeting will be held virtually via audio-only webcast at www.proxydocs.com/ALHC. You can listen to the meeting live, submit questions and vote online during the Annual Meeting.</w:t>
      </w:r>
    </w:p>
    <w:p>
      <w:pPr>
        <w:pStyle w:val="TextBody"/>
        <w:spacing w:before="240" w:after="0"/>
        <w:jc w:val="left"/>
        <w:rPr>
          <w:rFonts w:ascii="Arial;sans-serif" w:hAnsi="Arial;sans-serif"/>
          <w:b w:val="false"/>
          <w:sz w:val="20"/>
        </w:rPr>
      </w:pPr>
      <w:r>
        <w:rPr>
          <w:rFonts w:ascii="Arial;sans-serif" w:hAnsi="Arial;sans-serif"/>
          <w:b w:val="false"/>
          <w:sz w:val="20"/>
        </w:rPr>
        <w:t>Our Board and management team remain committed to creating long-term value. Thank you for your continued support throughout the past year. We look forward to speaking with you at the Annual Meeting.</w:t>
      </w:r>
    </w:p>
    <w:p>
      <w:pPr>
        <w:pStyle w:val="TextBody"/>
        <w:spacing w:before="240" w:after="0"/>
        <w:jc w:val="left"/>
        <w:rPr>
          <w:rFonts w:ascii="Times New Roman" w:hAnsi="Times New Roman"/>
          <w:sz w:val="20"/>
        </w:rPr>
      </w:pPr>
      <w:r>
        <w:rPr>
          <w:rFonts w:ascii="Arial;sans-serif" w:hAnsi="Arial;sans-serif"/>
          <w:b w:val="false"/>
          <w:sz w:val="20"/>
        </w:rPr>
        <w:t>Sincerely,</w:t>
      </w:r>
      <w:r>
        <w:rPr>
          <w:rFonts w:ascii="Times New Roman" w:hAnsi="Times New Roman"/>
          <w:sz w:val="20"/>
        </w:rPr>
        <w:t xml:space="preserve"> </w:t>
      </w:r>
    </w:p>
    <w:tbl>
      <w:tblPr>
        <w:tblW w:w="8243" w:type="dxa"/>
        <w:jc w:val="left"/>
        <w:tblInd w:w="0" w:type="dxa"/>
        <w:tblCellMar>
          <w:top w:w="28" w:type="dxa"/>
          <w:left w:w="28" w:type="dxa"/>
          <w:bottom w:w="28" w:type="dxa"/>
          <w:right w:w="28" w:type="dxa"/>
        </w:tblCellMar>
      </w:tblPr>
      <w:tblGrid>
        <w:gridCol w:w="2146"/>
        <w:gridCol w:w="3026"/>
        <w:gridCol w:w="3071"/>
      </w:tblGrid>
      <w:tr>
        <w:trPr/>
        <w:tc>
          <w:tcPr>
            <w:tcW w:w="2146" w:type="dxa"/>
            <w:tcBorders/>
            <w:shd w:fill="auto" w:val="clear"/>
            <w:vAlign w:val="center"/>
          </w:tcPr>
          <w:p>
            <w:pPr>
              <w:pStyle w:val="TableContents"/>
              <w:spacing w:before="0" w:after="283"/>
              <w:rPr>
                <w:sz w:val="4"/>
                <w:szCs w:val="4"/>
              </w:rPr>
            </w:pPr>
            <w:r>
              <w:rPr>
                <w:sz w:val="4"/>
                <w:szCs w:val="4"/>
              </w:rPr>
            </w:r>
          </w:p>
        </w:tc>
        <w:tc>
          <w:tcPr>
            <w:tcW w:w="3026" w:type="dxa"/>
            <w:tcBorders/>
            <w:shd w:fill="auto" w:val="clear"/>
            <w:vAlign w:val="center"/>
          </w:tcPr>
          <w:p>
            <w:pPr>
              <w:pStyle w:val="TableContents"/>
              <w:spacing w:before="0" w:after="283"/>
              <w:rPr>
                <w:sz w:val="4"/>
                <w:szCs w:val="4"/>
              </w:rPr>
            </w:pPr>
            <w:r>
              <w:rPr>
                <w:sz w:val="4"/>
                <w:szCs w:val="4"/>
              </w:rPr>
            </w:r>
          </w:p>
        </w:tc>
        <w:tc>
          <w:tcPr>
            <w:tcW w:w="307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drawing>
                <wp:inline distT="0" distB="0" distL="0" distR="0">
                  <wp:extent cx="11906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771525"/>
                          </a:xfrm>
                          <a:prstGeom prst="rect">
                            <a:avLst/>
                          </a:prstGeom>
                        </pic:spPr>
                      </pic:pic>
                    </a:graphicData>
                  </a:graphic>
                </wp:inline>
              </w:drawing>
            </w:r>
            <w:r>
              <w:rPr/>
              <w:t> </w:t>
            </w:r>
          </w:p>
        </w:tc>
        <w:tc>
          <w:tcPr>
            <w:tcW w:w="3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drawing>
                <wp:inline distT="0" distB="0" distL="0" distR="0">
                  <wp:extent cx="182880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609600"/>
                          </a:xfrm>
                          <a:prstGeom prst="rect">
                            <a:avLst/>
                          </a:prstGeom>
                        </pic:spPr>
                      </pic:pic>
                    </a:graphicData>
                  </a:graphic>
                </wp:inline>
              </w:drawing>
            </w:r>
            <w:r>
              <w:rPr/>
              <w:t> </w:t>
            </w:r>
          </w:p>
        </w:tc>
        <w:tc>
          <w:tcPr>
            <w:tcW w:w="3071" w:type="dxa"/>
            <w:tcBorders/>
            <w:shd w:fill="auto" w:val="clear"/>
            <w:tcMar>
              <w:top w:w="0" w:type="dxa"/>
              <w:left w:w="0" w:type="dxa"/>
              <w:bottom w:w="0" w:type="dxa"/>
              <w:right w:w="0" w:type="dxa"/>
            </w:tcMar>
            <w:vAlign w:val="center"/>
          </w:tcPr>
          <w:p>
            <w:pPr>
              <w:pStyle w:val="TableContents"/>
              <w:spacing w:before="240" w:after="0"/>
              <w:ind w:left="0" w:right="0" w:hanging="0"/>
              <w:jc w:val="left"/>
              <w:rPr/>
            </w:pPr>
            <w:r>
              <w:rPr/>
              <w:t> </w:t>
            </w:r>
          </w:p>
          <w:p>
            <w:pPr>
              <w:pStyle w:val="TableContents"/>
              <w:spacing w:before="0" w:after="0"/>
              <w:ind w:left="0" w:right="0" w:hanging="0"/>
              <w:jc w:val="left"/>
              <w:rPr/>
            </w:pPr>
            <w:r>
              <w:rPr/>
              <w:drawing>
                <wp:inline distT="0" distB="0" distL="0" distR="0">
                  <wp:extent cx="18288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28800" cy="457200"/>
                          </a:xfrm>
                          <a:prstGeom prst="rect">
                            <a:avLst/>
                          </a:prstGeom>
                        </pic:spPr>
                      </pic:pic>
                    </a:graphicData>
                  </a:graphic>
                </wp:inline>
              </w:drawing>
            </w:r>
            <w:r>
              <w:rPr/>
              <w:t> </w:t>
            </w:r>
          </w:p>
        </w:tc>
      </w:tr>
      <w:tr>
        <w:trPr/>
        <w:tc>
          <w:tcPr>
            <w:tcW w:w="21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John Kao</w:t>
            </w:r>
          </w:p>
        </w:tc>
        <w:tc>
          <w:tcPr>
            <w:tcW w:w="3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Joseph Konowiecki</w:t>
            </w:r>
          </w:p>
        </w:tc>
        <w:tc>
          <w:tcPr>
            <w:tcW w:w="30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Margaret McCarthy</w:t>
            </w:r>
          </w:p>
        </w:tc>
      </w:tr>
      <w:tr>
        <w:trPr/>
        <w:tc>
          <w:tcPr>
            <w:tcW w:w="21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c>
          <w:tcPr>
            <w:tcW w:w="3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Chairman of the Board</w:t>
            </w:r>
          </w:p>
        </w:tc>
        <w:tc>
          <w:tcPr>
            <w:tcW w:w="30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Lead Independent Director</w:t>
            </w:r>
          </w:p>
        </w:tc>
      </w:tr>
    </w:tbl>
    <w:p>
      <w:pPr>
        <w:pStyle w:val="TextBody"/>
        <w:spacing w:before="24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1647825" cy="82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47825" cy="828675"/>
                    </a:xfrm>
                    <a:prstGeom prst="rect">
                      <a:avLst/>
                    </a:prstGeom>
                  </pic:spPr>
                </pic:pic>
              </a:graphicData>
            </a:graphic>
          </wp:inline>
        </w:drawing>
      </w:r>
      <w:r>
        <w:rPr/>
        <w:t> </w:t>
      </w:r>
    </w:p>
    <w:p>
      <w:pPr>
        <w:pStyle w:val="TextBody"/>
        <w:spacing w:before="240" w:after="0"/>
        <w:jc w:val="center"/>
        <w:rPr>
          <w:rFonts w:ascii="Times New Roman" w:hAnsi="Times New Roman"/>
          <w:sz w:val="20"/>
        </w:rPr>
      </w:pPr>
      <w:r>
        <w:rPr>
          <w:rFonts w:ascii="Arial;sans-serif" w:hAnsi="Arial;sans-serif"/>
          <w:b/>
          <w:sz w:val="22"/>
        </w:rPr>
        <w:t>NOTICE OF 2023 ANNUAL MEETING OF STOCKHOLDERS</w:t>
      </w:r>
      <w:r>
        <w:rPr>
          <w:rFonts w:ascii="Times New Roman" w:hAnsi="Times New Roman"/>
          <w:sz w:val="20"/>
        </w:rPr>
        <w:t xml:space="preserve"> </w:t>
      </w:r>
    </w:p>
    <w:p>
      <w:pPr>
        <w:pStyle w:val="TextBody"/>
        <w:spacing w:before="240" w:after="240"/>
        <w:jc w:val="left"/>
        <w:rPr>
          <w:rFonts w:ascii="Arial;sans-serif" w:hAnsi="Arial;sans-serif"/>
          <w:b w:val="false"/>
          <w:sz w:val="20"/>
        </w:rPr>
      </w:pPr>
      <w:r>
        <w:rPr>
          <w:rFonts w:ascii="Arial;sans-serif" w:hAnsi="Arial;sans-serif"/>
          <w:b w:val="false"/>
          <w:sz w:val="20"/>
        </w:rPr>
        <w:t>The 2023 Annual Meeting of Stockholders of Alignment Healthcare, Inc. (the “Annual Meeting”) will be held on June 6, 2023, at 8:00 a.m. Pacific Time.</w:t>
      </w:r>
    </w:p>
    <w:p>
      <w:pPr>
        <w:pStyle w:val="TextBody"/>
        <w:spacing w:before="240" w:after="240"/>
        <w:jc w:val="left"/>
        <w:rPr>
          <w:rFonts w:ascii="Arial;sans-serif" w:hAnsi="Arial;sans-serif"/>
          <w:b/>
          <w:sz w:val="20"/>
        </w:rPr>
      </w:pPr>
      <w:r>
        <w:rPr>
          <w:rFonts w:ascii="Arial;sans-serif" w:hAnsi="Arial;sans-serif"/>
          <w:b/>
          <w:sz w:val="20"/>
        </w:rPr>
        <w:t>Items of Business</w:t>
      </w:r>
    </w:p>
    <w:p>
      <w:pPr>
        <w:pStyle w:val="TextBody"/>
        <w:spacing w:before="240" w:after="240"/>
        <w:jc w:val="left"/>
        <w:rPr>
          <w:rFonts w:ascii="Arial;sans-serif" w:hAnsi="Arial;sans-serif"/>
          <w:b w:val="false"/>
          <w:sz w:val="20"/>
        </w:rPr>
      </w:pPr>
      <w:r>
        <w:rPr>
          <w:rFonts w:ascii="Arial;sans-serif" w:hAnsi="Arial;sans-serif"/>
          <w:b w:val="false"/>
          <w:sz w:val="20"/>
        </w:rPr>
        <w:t>Matters to be voted on at the Annual Meeting are as follows:</w:t>
      </w:r>
    </w:p>
    <w:p>
      <w:pPr>
        <w:pStyle w:val="TextBody"/>
        <w:spacing w:before="200" w:after="0"/>
        <w:jc w:val="left"/>
        <w:rPr/>
      </w:pPr>
      <w:r>
        <w:rPr/>
        <w:t>•</w:t>
      </w:r>
    </w:p>
    <w:p>
      <w:pPr>
        <w:pStyle w:val="TextBody"/>
        <w:spacing w:before="200" w:after="0"/>
        <w:jc w:val="left"/>
        <w:rPr/>
      </w:pPr>
      <w:r>
        <w:rPr>
          <w:rFonts w:ascii="Arial;sans-serif" w:hAnsi="Arial;sans-serif"/>
          <w:b/>
          <w:sz w:val="20"/>
        </w:rPr>
        <w:t>Proposal 1</w:t>
      </w:r>
      <w:r>
        <w:rPr>
          <w:rFonts w:ascii="Arial;sans-serif" w:hAnsi="Arial;sans-serif"/>
          <w:b w:val="false"/>
          <w:sz w:val="20"/>
        </w:rPr>
        <w:t>: Election of four nominees identified in the accompanying proxy statement to serve as Class II directors to hold office until the 2026 Annual Meeting of Stockholders;</w:t>
      </w:r>
    </w:p>
    <w:p>
      <w:pPr>
        <w:pStyle w:val="TextBody"/>
        <w:spacing w:before="200" w:after="0"/>
        <w:jc w:val="left"/>
        <w:rPr/>
      </w:pPr>
      <w:r>
        <w:rPr/>
        <w:t>•</w:t>
      </w:r>
    </w:p>
    <w:p>
      <w:pPr>
        <w:pStyle w:val="TextBody"/>
        <w:spacing w:before="200" w:after="0"/>
        <w:jc w:val="left"/>
        <w:rPr/>
      </w:pPr>
      <w:r>
        <w:rPr>
          <w:rFonts w:ascii="Arial;sans-serif" w:hAnsi="Arial;sans-serif"/>
          <w:b/>
          <w:sz w:val="20"/>
        </w:rPr>
        <w:t>Proposal 2</w:t>
      </w:r>
      <w:r>
        <w:rPr>
          <w:rFonts w:ascii="Arial;sans-serif" w:hAnsi="Arial;sans-serif"/>
          <w:b w:val="false"/>
          <w:sz w:val="20"/>
        </w:rPr>
        <w:t>: Ratification of the appointment of Deloitte &amp; Touche LLP as our independent registered public accounting firm for the year ending December 31, 2023; and</w:t>
      </w:r>
    </w:p>
    <w:p>
      <w:pPr>
        <w:pStyle w:val="TextBody"/>
        <w:spacing w:before="200" w:after="0"/>
        <w:jc w:val="left"/>
        <w:rPr/>
      </w:pPr>
      <w:r>
        <w:rPr/>
        <w:t>•</w:t>
      </w:r>
    </w:p>
    <w:p>
      <w:pPr>
        <w:pStyle w:val="TextBody"/>
        <w:spacing w:before="200" w:after="283"/>
        <w:jc w:val="left"/>
        <w:rPr/>
      </w:pPr>
      <w:r>
        <w:rPr>
          <w:rFonts w:ascii="Arial;sans-serif" w:hAnsi="Arial;sans-serif"/>
          <w:b/>
          <w:sz w:val="20"/>
        </w:rPr>
        <w:t>Proposal 3</w:t>
      </w:r>
      <w:r>
        <w:rPr>
          <w:rFonts w:ascii="Arial;sans-serif" w:hAnsi="Arial;sans-serif"/>
          <w:b w:val="false"/>
          <w:sz w:val="20"/>
        </w:rPr>
        <w:t>: Approval, on a non-binding, advisory basis, of the compensation of our named executive officers (“Named Executive Officers” or “NEOs”).</w:t>
      </w:r>
    </w:p>
    <w:p>
      <w:pPr>
        <w:pStyle w:val="TextBody"/>
        <w:spacing w:before="200" w:after="0"/>
        <w:jc w:val="left"/>
        <w:rPr>
          <w:rFonts w:ascii="Arial;sans-serif" w:hAnsi="Arial;sans-serif"/>
          <w:b w:val="false"/>
          <w:sz w:val="20"/>
        </w:rPr>
      </w:pPr>
      <w:r>
        <w:rPr>
          <w:rFonts w:ascii="Arial;sans-serif" w:hAnsi="Arial;sans-serif"/>
          <w:b w:val="false"/>
          <w:sz w:val="20"/>
        </w:rPr>
        <w:t>Items of business may also include transacting other business as may properly come before the meeting or any adjournment of the meeting. The Proxy Statement accompanying this notice describes each of the items of business in more detail.</w:t>
      </w:r>
    </w:p>
    <w:p>
      <w:pPr>
        <w:pStyle w:val="TextBody"/>
        <w:spacing w:before="240" w:after="0"/>
        <w:jc w:val="left"/>
        <w:rPr>
          <w:rFonts w:ascii="Arial;sans-serif" w:hAnsi="Arial;sans-serif"/>
          <w:b/>
          <w:sz w:val="20"/>
        </w:rPr>
      </w:pPr>
      <w:r>
        <w:rPr>
          <w:rFonts w:ascii="Arial;sans-serif" w:hAnsi="Arial;sans-serif"/>
          <w:b/>
          <w:sz w:val="20"/>
        </w:rPr>
        <w:t>Access to the Meeting</w:t>
      </w:r>
    </w:p>
    <w:p>
      <w:pPr>
        <w:pStyle w:val="TextBody"/>
        <w:spacing w:before="240" w:after="0"/>
        <w:jc w:val="left"/>
        <w:rPr>
          <w:rFonts w:ascii="Times New Roman" w:hAnsi="Times New Roman"/>
          <w:sz w:val="20"/>
        </w:rPr>
      </w:pPr>
      <w:r>
        <w:rPr>
          <w:rFonts w:ascii="Arial;sans-serif" w:hAnsi="Arial;sans-serif"/>
          <w:b w:val="false"/>
          <w:sz w:val="20"/>
        </w:rPr>
        <w:t>The Annual Meeting will be held via live audio webcast available at www.proxydocs.com/ALHC. Please see the “</w:t>
      </w:r>
      <w:r>
        <w:rPr>
          <w:rFonts w:ascii="Arial;sans-serif" w:hAnsi="Arial;sans-serif"/>
          <w:b w:val="false"/>
          <w:i/>
          <w:sz w:val="20"/>
        </w:rPr>
        <w:t>Commonly Asked Questions and Answers About the Annual Meeting</w:t>
      </w:r>
      <w:r>
        <w:rPr>
          <w:rFonts w:ascii="Times New Roman" w:hAnsi="Times New Roman"/>
          <w:sz w:val="20"/>
        </w:rPr>
        <w:t xml:space="preserve">” </w:t>
      </w:r>
      <w:r>
        <w:rPr>
          <w:rFonts w:ascii="Arial;sans-serif" w:hAnsi="Arial;sans-serif"/>
          <w:b w:val="false"/>
          <w:sz w:val="20"/>
        </w:rPr>
        <w:t>section in the attached Proxy Statement for information on registration to attend the Annual Meeting. Stockholders will be able to participate, vote, view the list of stockholders of record and submit questions from any location.</w:t>
      </w:r>
    </w:p>
    <w:p>
      <w:pPr>
        <w:pStyle w:val="TextBody"/>
        <w:spacing w:before="240" w:after="0"/>
        <w:jc w:val="left"/>
        <w:rPr>
          <w:rFonts w:ascii="Arial;sans-serif" w:hAnsi="Arial;sans-serif"/>
          <w:b/>
          <w:sz w:val="20"/>
        </w:rPr>
      </w:pPr>
      <w:r>
        <w:rPr>
          <w:rFonts w:ascii="Arial;sans-serif" w:hAnsi="Arial;sans-serif"/>
          <w:b/>
          <w:sz w:val="20"/>
        </w:rPr>
        <w:t>Record Date &amp; List of Stockholders</w:t>
      </w:r>
    </w:p>
    <w:p>
      <w:pPr>
        <w:pStyle w:val="TextBody"/>
        <w:spacing w:before="240" w:after="0"/>
        <w:jc w:val="left"/>
        <w:rPr>
          <w:rFonts w:ascii="Arial;sans-serif" w:hAnsi="Arial;sans-serif"/>
          <w:b w:val="false"/>
          <w:sz w:val="20"/>
        </w:rPr>
      </w:pPr>
      <w:r>
        <w:rPr>
          <w:rFonts w:ascii="Arial;sans-serif" w:hAnsi="Arial;sans-serif"/>
          <w:b w:val="false"/>
          <w:sz w:val="20"/>
        </w:rPr>
        <w:t>Our Board has set the record date as of April 10, 2023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6, 2023. Additionally, instructions regarding how to view a complete list of these stockholders will be provided to you by email after you have completed registration to attend the Annual Meeting.</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How to Vote Your Shares</w:t>
      </w:r>
    </w:p>
    <w:tbl>
      <w:tblPr>
        <w:tblW w:w="10205" w:type="dxa"/>
        <w:jc w:val="left"/>
        <w:tblInd w:w="0" w:type="dxa"/>
        <w:tblCellMar>
          <w:top w:w="28" w:type="dxa"/>
          <w:left w:w="28" w:type="dxa"/>
          <w:bottom w:w="28" w:type="dxa"/>
          <w:right w:w="28" w:type="dxa"/>
        </w:tblCellMar>
      </w:tblPr>
      <w:tblGrid>
        <w:gridCol w:w="5523"/>
        <w:gridCol w:w="4682"/>
      </w:tblGrid>
      <w:tr>
        <w:trPr/>
        <w:tc>
          <w:tcPr>
            <w:tcW w:w="5523" w:type="dxa"/>
            <w:tcBorders/>
            <w:shd w:fill="auto" w:val="clear"/>
            <w:vAlign w:val="center"/>
          </w:tcPr>
          <w:p>
            <w:pPr>
              <w:pStyle w:val="TableContents"/>
              <w:spacing w:before="0" w:after="283"/>
              <w:rPr>
                <w:sz w:val="4"/>
                <w:szCs w:val="4"/>
              </w:rPr>
            </w:pPr>
            <w:r>
              <w:rPr>
                <w:sz w:val="4"/>
                <w:szCs w:val="4"/>
              </w:rPr>
            </w:r>
          </w:p>
        </w:tc>
        <w:tc>
          <w:tcPr>
            <w:tcW w:w="4682" w:type="dxa"/>
            <w:tcBorders/>
            <w:shd w:fill="auto" w:val="clear"/>
            <w:vAlign w:val="center"/>
          </w:tcPr>
          <w:p>
            <w:pPr>
              <w:pStyle w:val="TableContents"/>
              <w:spacing w:before="0" w:after="283"/>
              <w:rPr>
                <w:sz w:val="4"/>
                <w:szCs w:val="4"/>
              </w:rPr>
            </w:pPr>
            <w:r>
              <w:rPr>
                <w:sz w:val="4"/>
                <w:szCs w:val="4"/>
              </w:rPr>
            </w:r>
          </w:p>
        </w:tc>
      </w:tr>
      <w:tr>
        <w:trPr/>
        <w:tc>
          <w:tcPr>
            <w:tcW w:w="5523" w:type="dxa"/>
            <w:tcBorders/>
            <w:shd w:fill="auto" w:val="clear"/>
            <w:tcMar>
              <w:top w:w="0" w:type="dxa"/>
              <w:left w:w="0" w:type="dxa"/>
              <w:bottom w:w="0" w:type="dxa"/>
              <w:right w:w="0" w:type="dxa"/>
            </w:tcMar>
            <w:vAlign w:val="center"/>
          </w:tcPr>
          <w:p>
            <w:pPr>
              <w:pStyle w:val="TableContents"/>
              <w:spacing w:before="240" w:after="0"/>
              <w:ind w:left="0" w:right="0" w:hanging="0"/>
              <w:jc w:val="left"/>
              <w:rPr>
                <w:rFonts w:ascii="Arial;sans-serif" w:hAnsi="Arial;sans-serif"/>
                <w:b/>
                <w:sz w:val="20"/>
              </w:rPr>
            </w:pPr>
            <w:r>
              <w:rPr>
                <w:rFonts w:ascii="Arial;sans-serif" w:hAnsi="Arial;sans-serif"/>
                <w:b/>
                <w:sz w:val="20"/>
              </w:rPr>
              <w:t>By Internet</w:t>
            </w:r>
          </w:p>
          <w:p>
            <w:pPr>
              <w:pStyle w:val="TableContents"/>
              <w:spacing w:before="240" w:after="0"/>
              <w:ind w:left="0" w:right="288" w:hanging="0"/>
              <w:jc w:val="left"/>
              <w:rPr>
                <w:rFonts w:ascii="Arial;sans-serif" w:hAnsi="Arial;sans-serif"/>
                <w:b w:val="false"/>
                <w:sz w:val="20"/>
              </w:rPr>
            </w:pPr>
            <w:r>
              <w:rPr>
                <w:rFonts w:ascii="Arial;sans-serif" w:hAnsi="Arial;sans-serif"/>
                <w:b w:val="false"/>
                <w:sz w:val="20"/>
              </w:rPr>
              <w:t>Go to www.proxydocs.com/ALHC and follow the instructions.</w:t>
            </w:r>
          </w:p>
        </w:tc>
        <w:tc>
          <w:tcPr>
            <w:tcW w:w="4682" w:type="dxa"/>
            <w:tcBorders/>
            <w:shd w:fill="auto" w:val="clear"/>
            <w:tcMar>
              <w:top w:w="0" w:type="dxa"/>
              <w:left w:w="0" w:type="dxa"/>
              <w:bottom w:w="0" w:type="dxa"/>
              <w:right w:w="0" w:type="dxa"/>
            </w:tcMar>
            <w:vAlign w:val="center"/>
          </w:tcPr>
          <w:p>
            <w:pPr>
              <w:pStyle w:val="TableContents"/>
              <w:spacing w:before="240" w:after="0"/>
              <w:ind w:left="0" w:right="0" w:hanging="0"/>
              <w:jc w:val="left"/>
              <w:rPr>
                <w:rFonts w:ascii="Arial;sans-serif" w:hAnsi="Arial;sans-serif"/>
                <w:b/>
                <w:sz w:val="20"/>
              </w:rPr>
            </w:pPr>
            <w:r>
              <w:rPr>
                <w:rFonts w:ascii="Arial;sans-serif" w:hAnsi="Arial;sans-serif"/>
                <w:b/>
                <w:sz w:val="20"/>
              </w:rPr>
              <w:t>By Telephone</w:t>
            </w:r>
          </w:p>
          <w:p>
            <w:pPr>
              <w:pStyle w:val="TableContents"/>
              <w:spacing w:before="240" w:after="0"/>
              <w:ind w:left="0" w:right="0" w:hanging="0"/>
              <w:jc w:val="left"/>
              <w:rPr>
                <w:rFonts w:ascii="Arial;sans-serif" w:hAnsi="Arial;sans-serif"/>
                <w:b w:val="false"/>
                <w:sz w:val="20"/>
              </w:rPr>
            </w:pPr>
            <w:r>
              <w:rPr>
                <w:rFonts w:ascii="Arial;sans-serif" w:hAnsi="Arial;sans-serif"/>
                <w:b w:val="false"/>
                <w:sz w:val="20"/>
              </w:rPr>
              <w:t>Dial toll-free 866-314-3346 using any touch-tone telephone and follow the recorded instructions.</w:t>
            </w:r>
          </w:p>
        </w:tc>
      </w:tr>
      <w:tr>
        <w:trPr/>
        <w:tc>
          <w:tcPr>
            <w:tcW w:w="5523" w:type="dxa"/>
            <w:tcBorders/>
            <w:shd w:fill="auto" w:val="clear"/>
            <w:tcMar>
              <w:top w:w="0" w:type="dxa"/>
              <w:left w:w="0" w:type="dxa"/>
              <w:bottom w:w="0" w:type="dxa"/>
              <w:right w:w="0" w:type="dxa"/>
            </w:tcMar>
            <w:vAlign w:val="center"/>
          </w:tcPr>
          <w:p>
            <w:pPr>
              <w:pStyle w:val="TableContents"/>
              <w:spacing w:before="240" w:after="0"/>
              <w:ind w:left="0" w:right="0" w:hanging="0"/>
              <w:jc w:val="left"/>
              <w:rPr>
                <w:rFonts w:ascii="Arial;sans-serif" w:hAnsi="Arial;sans-serif"/>
                <w:b/>
                <w:sz w:val="20"/>
              </w:rPr>
            </w:pPr>
            <w:r>
              <w:rPr>
                <w:rFonts w:ascii="Arial;sans-serif" w:hAnsi="Arial;sans-serif"/>
                <w:b/>
                <w:sz w:val="20"/>
              </w:rPr>
              <w:t>By Mail</w:t>
            </w:r>
          </w:p>
          <w:p>
            <w:pPr>
              <w:pStyle w:val="TableContents"/>
              <w:spacing w:before="240" w:after="0"/>
              <w:ind w:left="0" w:right="288" w:hanging="0"/>
              <w:jc w:val="left"/>
              <w:rPr>
                <w:rFonts w:ascii="Arial;sans-serif" w:hAnsi="Arial;sans-serif"/>
                <w:b w:val="false"/>
                <w:sz w:val="20"/>
              </w:rPr>
            </w:pPr>
            <w:r>
              <w:rPr>
                <w:rFonts w:ascii="Arial;sans-serif" w:hAnsi="Arial;sans-serif"/>
                <w:b w:val="false"/>
                <w:sz w:val="20"/>
              </w:rPr>
              <w:t>Complete, sign, date and return your proxy card or voting instruction form in the envelope provided.</w:t>
            </w:r>
          </w:p>
        </w:tc>
        <w:tc>
          <w:tcPr>
            <w:tcW w:w="4682" w:type="dxa"/>
            <w:tcBorders/>
            <w:shd w:fill="auto" w:val="clear"/>
            <w:tcMar>
              <w:top w:w="0" w:type="dxa"/>
              <w:left w:w="0" w:type="dxa"/>
              <w:bottom w:w="0" w:type="dxa"/>
              <w:right w:w="0" w:type="dxa"/>
            </w:tcMar>
            <w:vAlign w:val="center"/>
          </w:tcPr>
          <w:p>
            <w:pPr>
              <w:pStyle w:val="TableContents"/>
              <w:spacing w:before="240" w:after="0"/>
              <w:ind w:left="0" w:right="0" w:hanging="0"/>
              <w:jc w:val="left"/>
              <w:rPr>
                <w:rFonts w:ascii="Arial;sans-serif" w:hAnsi="Arial;sans-serif"/>
                <w:b/>
                <w:sz w:val="20"/>
              </w:rPr>
            </w:pPr>
            <w:r>
              <w:rPr>
                <w:rFonts w:ascii="Arial;sans-serif" w:hAnsi="Arial;sans-serif"/>
                <w:b/>
                <w:sz w:val="20"/>
              </w:rPr>
              <w:t>In Person (Virtual)</w:t>
            </w:r>
          </w:p>
          <w:p>
            <w:pPr>
              <w:pStyle w:val="TableContents"/>
              <w:spacing w:before="240" w:after="0"/>
              <w:ind w:left="0" w:right="0" w:hanging="0"/>
              <w:jc w:val="left"/>
              <w:rPr>
                <w:rFonts w:ascii="Arial;sans-serif" w:hAnsi="Arial;sans-serif"/>
                <w:b w:val="false"/>
                <w:sz w:val="20"/>
              </w:rPr>
            </w:pPr>
            <w:r>
              <w:rPr>
                <w:rFonts w:ascii="Arial;sans-serif" w:hAnsi="Arial;sans-serif"/>
                <w:b w:val="false"/>
                <w:sz w:val="20"/>
              </w:rPr>
              <w:t>Attend our virtual Annual Meeting and cast your vote using the webcast voting options.</w:t>
            </w:r>
          </w:p>
        </w:tc>
      </w:tr>
    </w:tbl>
    <w:p>
      <w:pPr>
        <w:pStyle w:val="TextBody"/>
        <w:spacing w:before="240" w:after="0"/>
        <w:jc w:val="left"/>
        <w:rPr>
          <w:rFonts w:ascii="Arial;sans-serif" w:hAnsi="Arial;sans-serif"/>
          <w:b w:val="false"/>
          <w:sz w:val="20"/>
        </w:rPr>
      </w:pPr>
      <w:r>
        <w:rPr>
          <w:rFonts w:ascii="Arial;sans-serif" w:hAnsi="Arial;sans-serif"/>
          <w:b w:val="false"/>
          <w:sz w:val="20"/>
        </w:rPr>
        <w:t>Whether or not you expect to attend the Annual Meeting, please make sure you vote so that your shares will be represented at the meeting.</w:t>
      </w:r>
    </w:p>
    <w:p>
      <w:pPr>
        <w:pStyle w:val="TextBody"/>
        <w:spacing w:before="240" w:after="0"/>
        <w:jc w:val="left"/>
        <w:rPr>
          <w:rFonts w:ascii="Times New Roman" w:hAnsi="Times New Roman"/>
          <w:sz w:val="20"/>
        </w:rPr>
      </w:pPr>
      <w:r>
        <w:rPr>
          <w:rFonts w:ascii="Arial;sans-serif" w:hAnsi="Arial;sans-serif"/>
          <w:b w:val="false"/>
          <w:sz w:val="20"/>
        </w:rPr>
        <w:t>By Order of the Board of Directors</w:t>
      </w:r>
      <w:r>
        <w:rPr>
          <w:rFonts w:ascii="Times New Roman" w:hAnsi="Times New Roman"/>
          <w:sz w:val="20"/>
        </w:rPr>
        <w:t xml:space="preserve"> </w:t>
      </w:r>
    </w:p>
    <w:p>
      <w:pPr>
        <w:pStyle w:val="TextBody"/>
        <w:spacing w:before="0" w:after="0"/>
        <w:jc w:val="left"/>
        <w:rPr/>
      </w:pPr>
      <w:r>
        <w:rPr/>
        <w:drawing>
          <wp:inline distT="0" distB="0" distL="0" distR="0">
            <wp:extent cx="1733550" cy="590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33550" cy="590550"/>
                    </a:xfrm>
                    <a:prstGeom prst="rect">
                      <a:avLst/>
                    </a:prstGeom>
                  </pic:spPr>
                </pic:pic>
              </a:graphicData>
            </a:graphic>
          </wp:inline>
        </w:drawing>
      </w:r>
      <w:r>
        <w:rPr/>
        <w:t> </w:t>
      </w:r>
    </w:p>
    <w:p>
      <w:pPr>
        <w:pStyle w:val="TextBody"/>
        <w:spacing w:before="0" w:after="0"/>
        <w:jc w:val="left"/>
        <w:rPr>
          <w:rFonts w:ascii="Arial;sans-serif" w:hAnsi="Arial;sans-serif"/>
          <w:b/>
          <w:sz w:val="20"/>
        </w:rPr>
      </w:pPr>
      <w:r>
        <w:rPr>
          <w:rFonts w:ascii="Arial;sans-serif" w:hAnsi="Arial;sans-serif"/>
          <w:b/>
          <w:sz w:val="20"/>
        </w:rPr>
        <w:t>Richard Cross</w:t>
      </w:r>
    </w:p>
    <w:p>
      <w:pPr>
        <w:pStyle w:val="TextBody"/>
        <w:spacing w:before="0" w:after="0"/>
        <w:jc w:val="left"/>
        <w:rPr>
          <w:rFonts w:ascii="Arial;sans-serif" w:hAnsi="Arial;sans-serif"/>
          <w:b w:val="false"/>
          <w:sz w:val="20"/>
        </w:rPr>
      </w:pPr>
      <w:r>
        <w:rPr>
          <w:rFonts w:ascii="Arial;sans-serif" w:hAnsi="Arial;sans-serif"/>
          <w:b w:val="false"/>
          <w:sz w:val="20"/>
        </w:rPr>
        <w:t>General Counsel and Secretary</w:t>
      </w:r>
    </w:p>
    <w:p>
      <w:pPr>
        <w:pStyle w:val="TextBody"/>
        <w:spacing w:before="240" w:after="0"/>
        <w:jc w:val="left"/>
        <w:rPr>
          <w:rFonts w:ascii="Arial;sans-serif" w:hAnsi="Arial;sans-serif"/>
          <w:b/>
          <w:sz w:val="20"/>
        </w:rPr>
      </w:pPr>
      <w:r>
        <w:rPr>
          <w:rFonts w:ascii="Arial;sans-serif" w:hAnsi="Arial;sans-serif"/>
          <w:b/>
          <w:sz w:val="20"/>
        </w:rPr>
        <w:t>IMPORTANT NOTICE REGARDING THE AVAILABILITY OF PROXY MATERIALS FOR THE ANNUAL MEETING OF STOCKHOLDERS TO BE HELD ON JUNE 6, 2023</w:t>
      </w:r>
    </w:p>
    <w:p>
      <w:pPr>
        <w:pStyle w:val="TextBody"/>
        <w:spacing w:before="240" w:after="0"/>
        <w:jc w:val="left"/>
        <w:rPr>
          <w:rFonts w:ascii="Times New Roman" w:hAnsi="Times New Roman"/>
          <w:sz w:val="20"/>
        </w:rPr>
      </w:pPr>
      <w:r>
        <w:rPr>
          <w:rFonts w:ascii="Arial;sans-serif" w:hAnsi="Arial;sans-serif"/>
          <w:b/>
          <w:sz w:val="20"/>
        </w:rPr>
        <w:t xml:space="preserve">This Notice of Annual Meeting, the Proxy Statement and our fiscal year 2022 Annual Report are available on the investor relations section of our website at https://ir.alignmenthealth.com/. Additionally, you may access our proxy materials at </w:t>
      </w:r>
      <w:r>
        <w:rPr>
          <w:rFonts w:ascii="Arial;sans-serif" w:hAnsi="Arial;sans-serif"/>
          <w:b/>
          <w:sz w:val="20"/>
          <w:u w:val="single"/>
        </w:rPr>
        <w:t>www.proxydocs.com/ALHC</w:t>
      </w:r>
      <w:r>
        <w:rPr>
          <w:rFonts w:ascii="Arial;sans-serif" w:hAnsi="Arial;sans-serif"/>
          <w:b/>
          <w:sz w:val="20"/>
        </w:rPr>
        <w:t>. We are taking advantage of U.S. Securities and Exchange Commission rules that allow us to furnish proxy materials to our stockholders on the Internet. These materials will be available on the Internet on or about April 26, 2023.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w:t>
      </w:r>
      <w:r>
        <w:rPr>
          <w:rFonts w:ascii="Times New Roman" w:hAnsi="Times New Roman"/>
          <w:sz w:val="20"/>
        </w:rPr>
        <w:t xml:space="preserve"> </w:t>
      </w:r>
    </w:p>
    <w:p>
      <w:pPr>
        <w:pStyle w:val="TextBody"/>
        <w:spacing w:before="240" w:after="0"/>
        <w:jc w:val="left"/>
        <w:rPr/>
      </w:pPr>
      <w:r>
        <w:rPr/>
        <w:t> </w:t>
      </w:r>
    </w:p>
    <w:p>
      <w:pPr>
        <w:pStyle w:val="TextBody"/>
        <w:spacing w:before="240" w:after="0"/>
        <w:jc w:val="left"/>
        <w:rPr/>
      </w:pPr>
      <w:r>
        <w:rPr/>
        <w:t> </w:t>
      </w:r>
    </w:p>
    <w:p>
      <w:pPr>
        <w:pStyle w:val="TextBody"/>
        <w:spacing w:before="24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caps/>
          <w:sz w:val="20"/>
        </w:rPr>
        <w:t>Table of Contents</w:t>
      </w:r>
      <w:r>
        <w:rPr>
          <w:rFonts w:ascii="Times New Roman" w:hAnsi="Times New Roman"/>
          <w:caps/>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2"/>
        <w:gridCol w:w="9465"/>
        <w:gridCol w:w="146"/>
        <w:gridCol w:w="362"/>
      </w:tblGrid>
      <w:tr>
        <w:trPr/>
        <w:tc>
          <w:tcPr>
            <w:tcW w:w="232" w:type="dxa"/>
            <w:tcBorders/>
            <w:shd w:fill="auto" w:val="clear"/>
            <w:vAlign w:val="center"/>
          </w:tcPr>
          <w:p>
            <w:pPr>
              <w:pStyle w:val="TableContents"/>
              <w:spacing w:before="0" w:after="283"/>
              <w:rPr>
                <w:sz w:val="4"/>
                <w:szCs w:val="4"/>
              </w:rPr>
            </w:pPr>
            <w:r>
              <w:rPr>
                <w:sz w:val="4"/>
                <w:szCs w:val="4"/>
              </w:rPr>
            </w:r>
          </w:p>
        </w:tc>
        <w:tc>
          <w:tcPr>
            <w:tcW w:w="94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9697" w:type="dxa"/>
            <w:gridSpan w:val="2"/>
            <w:tcBorders/>
            <w:shd w:fill="auto" w:val="clear"/>
            <w:vAlign w:val="center"/>
          </w:tcPr>
          <w:p>
            <w:pPr>
              <w:pStyle w:val="TableContents"/>
              <w:spacing w:before="100" w:after="0"/>
              <w:ind w:left="0" w:right="0" w:hanging="0"/>
              <w:jc w:val="left"/>
              <w:rPr/>
            </w:pPr>
            <w:hyperlink w:anchor="commonly_asked_questions_and_answers">
              <w:r>
                <w:rPr>
                  <w:rStyle w:val="InternetLink"/>
                  <w:rFonts w:ascii="Arial;sans-serif" w:hAnsi="Arial;sans-serif"/>
                  <w:b w:val="false"/>
                  <w:sz w:val="20"/>
                  <w:u w:val="single"/>
                </w:rPr>
                <w:t>COMMONLY ASKED QUESTIONS AND ANSWERS ABOUT THE ANNUAL MEETING</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1</w:t>
            </w:r>
          </w:p>
        </w:tc>
      </w:tr>
      <w:tr>
        <w:trPr/>
        <w:tc>
          <w:tcPr>
            <w:tcW w:w="9697" w:type="dxa"/>
            <w:gridSpan w:val="2"/>
            <w:tcBorders/>
            <w:shd w:fill="auto" w:val="clear"/>
            <w:vAlign w:val="center"/>
          </w:tcPr>
          <w:p>
            <w:pPr>
              <w:pStyle w:val="TableContents"/>
              <w:spacing w:before="100" w:after="0"/>
              <w:ind w:left="0" w:right="0" w:hanging="0"/>
              <w:jc w:val="left"/>
              <w:rPr/>
            </w:pPr>
            <w:hyperlink w:anchor="proxy_summary">
              <w:r>
                <w:rPr>
                  <w:rStyle w:val="InternetLink"/>
                  <w:rFonts w:ascii="Arial;sans-serif" w:hAnsi="Arial;sans-serif"/>
                  <w:b w:val="false"/>
                  <w:sz w:val="20"/>
                  <w:u w:val="single"/>
                </w:rPr>
                <w:t>PROXY SUMMARY</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7</w:t>
            </w:r>
          </w:p>
        </w:tc>
      </w:tr>
      <w:tr>
        <w:trPr/>
        <w:tc>
          <w:tcPr>
            <w:tcW w:w="9697" w:type="dxa"/>
            <w:gridSpan w:val="2"/>
            <w:tcBorders/>
            <w:shd w:fill="auto" w:val="clear"/>
            <w:vAlign w:val="center"/>
          </w:tcPr>
          <w:p>
            <w:pPr>
              <w:pStyle w:val="TableContents"/>
              <w:spacing w:before="100" w:after="0"/>
              <w:ind w:left="0" w:right="0" w:hanging="0"/>
              <w:jc w:val="left"/>
              <w:rPr/>
            </w:pPr>
            <w:hyperlink w:anchor="proposal_1">
              <w:r>
                <w:rPr>
                  <w:rStyle w:val="InternetLink"/>
                  <w:rFonts w:ascii="Arial;sans-serif" w:hAnsi="Arial;sans-serif"/>
                  <w:b w:val="false"/>
                  <w:sz w:val="20"/>
                  <w:u w:val="single"/>
                </w:rPr>
                <w:t>PROPOSAL 1 – ELECTION OF DIRECTORS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12</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ntinuing_directors">
              <w:r>
                <w:rPr>
                  <w:rStyle w:val="InternetLink"/>
                  <w:rFonts w:ascii="Arial;sans-serif" w:hAnsi="Arial;sans-serif"/>
                  <w:b w:val="false"/>
                  <w:sz w:val="20"/>
                  <w:u w:val="single"/>
                </w:rPr>
                <w:t>Continuing Directors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15</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nomination_criteria_and_director_exper">
              <w:r>
                <w:rPr>
                  <w:rStyle w:val="InternetLink"/>
                  <w:rFonts w:ascii="Arial;sans-serif" w:hAnsi="Arial;sans-serif"/>
                  <w:b w:val="false"/>
                  <w:sz w:val="20"/>
                  <w:u w:val="single"/>
                </w:rPr>
                <w:t>Nomination Criteria and Director Experience</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18</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director_diversity">
              <w:r>
                <w:rPr>
                  <w:rStyle w:val="InternetLink"/>
                  <w:rFonts w:ascii="Arial;sans-serif" w:hAnsi="Arial;sans-serif"/>
                  <w:b w:val="false"/>
                  <w:sz w:val="20"/>
                  <w:u w:val="single"/>
                </w:rPr>
                <w:t>Director Diversity</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21</w:t>
            </w:r>
          </w:p>
        </w:tc>
      </w:tr>
      <w:tr>
        <w:trPr/>
        <w:tc>
          <w:tcPr>
            <w:tcW w:w="9697" w:type="dxa"/>
            <w:gridSpan w:val="2"/>
            <w:tcBorders/>
            <w:shd w:fill="auto" w:val="clear"/>
            <w:vAlign w:val="center"/>
          </w:tcPr>
          <w:p>
            <w:pPr>
              <w:pStyle w:val="TableContents"/>
              <w:spacing w:before="100" w:after="0"/>
              <w:ind w:left="0" w:right="0" w:hanging="0"/>
              <w:jc w:val="left"/>
              <w:rPr/>
            </w:pPr>
            <w:hyperlink w:anchor="corporate_governance">
              <w:r>
                <w:rPr>
                  <w:rStyle w:val="InternetLink"/>
                  <w:rFonts w:ascii="Arial;sans-serif" w:hAnsi="Arial;sans-serif"/>
                  <w:b w:val="false"/>
                  <w:sz w:val="20"/>
                  <w:u w:val="single"/>
                </w:rPr>
                <w:t>CORPORATE GOVERNANCE</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22</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and_corporate_governance_high">
              <w:r>
                <w:rPr>
                  <w:rStyle w:val="InternetLink"/>
                  <w:rFonts w:ascii="Arial;sans-serif" w:hAnsi="Arial;sans-serif"/>
                  <w:b w:val="false"/>
                  <w:sz w:val="20"/>
                  <w:u w:val="single"/>
                </w:rPr>
                <w:t>Board and Corporate Governance Highlights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22</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composition_and_director_indep">
              <w:r>
                <w:rPr>
                  <w:rStyle w:val="InternetLink"/>
                  <w:rFonts w:ascii="Arial;sans-serif" w:hAnsi="Arial;sans-serif"/>
                  <w:b w:val="false"/>
                  <w:sz w:val="20"/>
                  <w:u w:val="single"/>
                </w:rPr>
                <w:t>Board Composition and Director Independence</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leadership_structure">
              <w:r>
                <w:rPr>
                  <w:rStyle w:val="InternetLink"/>
                  <w:rFonts w:ascii="Arial;sans-serif" w:hAnsi="Arial;sans-serif"/>
                  <w:b w:val="false"/>
                  <w:sz w:val="20"/>
                  <w:u w:val="single"/>
                </w:rPr>
                <w:t>Board Leadership Structure</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24</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the_boards_role_in_risk_oversight">
              <w:r>
                <w:rPr>
                  <w:rStyle w:val="InternetLink"/>
                  <w:rFonts w:ascii="Arial;sans-serif" w:hAnsi="Arial;sans-serif"/>
                  <w:b w:val="false"/>
                  <w:sz w:val="20"/>
                  <w:u w:val="single"/>
                </w:rPr>
                <w:t>The Board’s Role in Risk Oversight</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25</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committees">
              <w:r>
                <w:rPr>
                  <w:rStyle w:val="InternetLink"/>
                  <w:rFonts w:ascii="Arial;sans-serif" w:hAnsi="Arial;sans-serif"/>
                  <w:b w:val="false"/>
                  <w:sz w:val="20"/>
                  <w:u w:val="single"/>
                </w:rPr>
                <w:t>Board Committees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27</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oversight_of_environmental_social">
              <w:r>
                <w:rPr>
                  <w:rStyle w:val="InternetLink"/>
                  <w:rFonts w:ascii="Arial;sans-serif" w:hAnsi="Arial;sans-serif"/>
                  <w:b w:val="false"/>
                  <w:sz w:val="20"/>
                  <w:u w:val="single"/>
                </w:rPr>
                <w:t>Board Oversight of Environmental, Social and Governance Matters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29</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stockholder_engagement">
              <w:r>
                <w:rPr>
                  <w:rStyle w:val="InternetLink"/>
                  <w:rFonts w:ascii="Arial;sans-serif" w:hAnsi="Arial;sans-serif"/>
                  <w:b w:val="false"/>
                  <w:sz w:val="20"/>
                  <w:u w:val="single"/>
                </w:rPr>
                <w:t>Stockholder Engagement</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family_relationships">
              <w:r>
                <w:rPr>
                  <w:rStyle w:val="InternetLink"/>
                  <w:rFonts w:ascii="Arial;sans-serif" w:hAnsi="Arial;sans-serif"/>
                  <w:b w:val="false"/>
                  <w:sz w:val="20"/>
                  <w:u w:val="single"/>
                </w:rPr>
                <w:t>Family Relationships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mpensation_committee_interlocks">
              <w:r>
                <w:rPr>
                  <w:rStyle w:val="InternetLink"/>
                  <w:rFonts w:ascii="Arial;sans-serif" w:hAnsi="Arial;sans-serif"/>
                  <w:b w:val="false"/>
                  <w:sz w:val="20"/>
                  <w:u w:val="single"/>
                </w:rPr>
                <w:t>Compensation Committee Interlocks and Insider Participation</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de_of_business_conduct_and_ethics">
              <w:r>
                <w:rPr>
                  <w:rStyle w:val="InternetLink"/>
                  <w:rFonts w:ascii="Arial;sans-serif" w:hAnsi="Arial;sans-serif"/>
                  <w:b w:val="false"/>
                  <w:sz w:val="20"/>
                  <w:u w:val="single"/>
                </w:rPr>
                <w:t>Code of Business Conduct and Ethics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34</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insider_trading_policy">
              <w:r>
                <w:rPr>
                  <w:rStyle w:val="InternetLink"/>
                  <w:rFonts w:ascii="Arial;sans-serif" w:hAnsi="Arial;sans-serif"/>
                  <w:b w:val="false"/>
                  <w:sz w:val="20"/>
                  <w:u w:val="single"/>
                </w:rPr>
                <w:t>Insider Trading Policy; Hedging and Other Transactions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34</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evaluation_practices">
              <w:r>
                <w:rPr>
                  <w:rStyle w:val="InternetLink"/>
                  <w:rFonts w:ascii="Arial;sans-serif" w:hAnsi="Arial;sans-serif"/>
                  <w:b w:val="false"/>
                  <w:sz w:val="20"/>
                  <w:u w:val="single"/>
                </w:rPr>
                <w:t>Board Evaluation Practices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35</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board_and_committee_meetings">
              <w:r>
                <w:rPr>
                  <w:rStyle w:val="InternetLink"/>
                  <w:rFonts w:ascii="Arial;sans-serif" w:hAnsi="Arial;sans-serif"/>
                  <w:b w:val="false"/>
                  <w:sz w:val="20"/>
                  <w:u w:val="single"/>
                </w:rPr>
                <w:t>Board and Committee Meetings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36</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mmunications_by_stockholders">
              <w:r>
                <w:rPr>
                  <w:rStyle w:val="InternetLink"/>
                  <w:rFonts w:ascii="Arial;sans-serif" w:hAnsi="Arial;sans-serif"/>
                  <w:b w:val="false"/>
                  <w:sz w:val="20"/>
                  <w:u w:val="single"/>
                </w:rPr>
                <w:t>Communications by Stockholders and Other Interested Parties with the Board</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36</w:t>
            </w:r>
          </w:p>
        </w:tc>
      </w:tr>
      <w:tr>
        <w:trPr/>
        <w:tc>
          <w:tcPr>
            <w:tcW w:w="9697" w:type="dxa"/>
            <w:gridSpan w:val="2"/>
            <w:tcBorders/>
            <w:shd w:fill="auto" w:val="clear"/>
            <w:vAlign w:val="center"/>
          </w:tcPr>
          <w:p>
            <w:pPr>
              <w:pStyle w:val="TableContents"/>
              <w:spacing w:before="100" w:after="0"/>
              <w:ind w:left="0" w:right="0" w:hanging="0"/>
              <w:jc w:val="left"/>
              <w:rPr/>
            </w:pPr>
            <w:hyperlink w:anchor="executive_officers">
              <w:r>
                <w:rPr>
                  <w:rStyle w:val="InternetLink"/>
                  <w:rFonts w:ascii="Arial;sans-serif" w:hAnsi="Arial;sans-serif"/>
                  <w:b w:val="false"/>
                  <w:sz w:val="20"/>
                  <w:u w:val="single"/>
                </w:rPr>
                <w:t>EXECUTIVE OFFICERS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37</w:t>
            </w:r>
          </w:p>
        </w:tc>
      </w:tr>
      <w:tr>
        <w:trPr/>
        <w:tc>
          <w:tcPr>
            <w:tcW w:w="9697" w:type="dxa"/>
            <w:gridSpan w:val="2"/>
            <w:tcBorders/>
            <w:shd w:fill="auto" w:val="clear"/>
            <w:vAlign w:val="center"/>
          </w:tcPr>
          <w:p>
            <w:pPr>
              <w:pStyle w:val="TableContents"/>
              <w:spacing w:before="100" w:after="0"/>
              <w:ind w:left="0" w:right="0" w:hanging="0"/>
              <w:jc w:val="left"/>
              <w:rPr/>
            </w:pPr>
            <w:hyperlink w:anchor="compensation_discussion_and_analysis">
              <w:r>
                <w:rPr>
                  <w:rStyle w:val="InternetLink"/>
                  <w:rFonts w:ascii="Arial;sans-serif" w:hAnsi="Arial;sans-serif"/>
                  <w:b w:val="false"/>
                  <w:sz w:val="20"/>
                  <w:u w:val="single"/>
                </w:rPr>
                <w:t>COMPENSATION DISCUSSION AND ANALYSIS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39</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executive_summary">
              <w:r>
                <w:rPr>
                  <w:rStyle w:val="InternetLink"/>
                  <w:rFonts w:ascii="Arial;sans-serif" w:hAnsi="Arial;sans-serif"/>
                  <w:b w:val="false"/>
                  <w:sz w:val="20"/>
                  <w:u w:val="single"/>
                </w:rPr>
                <w:t>Executive Summary</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39</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mpensation_best_practices_policies">
              <w:r>
                <w:rPr>
                  <w:rStyle w:val="InternetLink"/>
                  <w:rFonts w:ascii="Arial;sans-serif" w:hAnsi="Arial;sans-serif"/>
                  <w:b w:val="false"/>
                  <w:sz w:val="20"/>
                  <w:u w:val="single"/>
                </w:rPr>
                <w:t>Compensation Best Practices &amp; Policies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41</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what_guides_our_program">
              <w:r>
                <w:rPr>
                  <w:rStyle w:val="InternetLink"/>
                  <w:rFonts w:ascii="Arial;sans-serif" w:hAnsi="Arial;sans-serif"/>
                  <w:b w:val="false"/>
                  <w:sz w:val="20"/>
                  <w:u w:val="single"/>
                </w:rPr>
                <w:t>What Guides Our Program</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42</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executive_compensation_decision_making">
              <w:r>
                <w:rPr>
                  <w:rStyle w:val="InternetLink"/>
                  <w:rFonts w:ascii="Arial;sans-serif" w:hAnsi="Arial;sans-serif"/>
                  <w:b w:val="false"/>
                  <w:sz w:val="20"/>
                  <w:u w:val="single"/>
                </w:rPr>
                <w:t>Executive Compensation Decision-Making Process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43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y2022_executive_compensation_program">
              <w:r>
                <w:rPr>
                  <w:rStyle w:val="InternetLink"/>
                  <w:rFonts w:ascii="Arial;sans-serif" w:hAnsi="Arial;sans-serif"/>
                  <w:b w:val="false"/>
                  <w:sz w:val="20"/>
                  <w:u w:val="single"/>
                </w:rPr>
                <w:t>2022 Executive Compensation Program in Detail</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45</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other_compensation_matters">
              <w:r>
                <w:rPr>
                  <w:rStyle w:val="InternetLink"/>
                  <w:rFonts w:ascii="Arial;sans-serif" w:hAnsi="Arial;sans-serif"/>
                  <w:b w:val="false"/>
                  <w:sz w:val="20"/>
                  <w:u w:val="single"/>
                </w:rPr>
                <w:t>Other Compensation Matters</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51</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ompensation_committee_report">
              <w:r>
                <w:rPr>
                  <w:rStyle w:val="InternetLink"/>
                  <w:rFonts w:ascii="Arial;sans-serif" w:hAnsi="Arial;sans-serif"/>
                  <w:b w:val="false"/>
                  <w:sz w:val="20"/>
                  <w:u w:val="single"/>
                </w:rPr>
                <w:t>Compensation Committee Report</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52</w:t>
            </w:r>
          </w:p>
        </w:tc>
      </w:tr>
      <w:tr>
        <w:trPr/>
        <w:tc>
          <w:tcPr>
            <w:tcW w:w="9697" w:type="dxa"/>
            <w:gridSpan w:val="2"/>
            <w:tcBorders/>
            <w:shd w:fill="auto" w:val="clear"/>
            <w:vAlign w:val="center"/>
          </w:tcPr>
          <w:p>
            <w:pPr>
              <w:pStyle w:val="TableContents"/>
              <w:spacing w:before="100" w:after="0"/>
              <w:ind w:left="0" w:right="0" w:hanging="0"/>
              <w:jc w:val="left"/>
              <w:rPr/>
            </w:pPr>
            <w:hyperlink w:anchor="executive_and_director_compensation">
              <w:r>
                <w:rPr>
                  <w:rStyle w:val="InternetLink"/>
                  <w:rFonts w:ascii="Arial;sans-serif" w:hAnsi="Arial;sans-serif"/>
                  <w:b w:val="false"/>
                  <w:sz w:val="20"/>
                  <w:u w:val="single"/>
                </w:rPr>
                <w:t>EXECUTIVE AND DIRECTOR COMPENSATION</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53</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pay_versus_performance">
              <w:r>
                <w:rPr>
                  <w:rStyle w:val="InternetLink"/>
                  <w:rFonts w:ascii="Arial;sans-serif" w:hAnsi="Arial;sans-serif"/>
                  <w:b w:val="false"/>
                  <w:sz w:val="20"/>
                  <w:u w:val="single"/>
                </w:rPr>
                <w:t>Pay Versus Performance</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66</w:t>
            </w:r>
          </w:p>
        </w:tc>
      </w:tr>
      <w:tr>
        <w:trPr/>
        <w:tc>
          <w:tcPr>
            <w:tcW w:w="232" w:type="dxa"/>
            <w:tcBorders/>
            <w:shd w:fill="auto" w:val="clear"/>
            <w:vAlign w:val="center"/>
          </w:tcPr>
          <w:p>
            <w:pPr>
              <w:pStyle w:val="TableContents"/>
              <w:spacing w:before="60" w:after="0"/>
              <w:ind w:left="0" w:right="0" w:hanging="0"/>
              <w:jc w:val="left"/>
              <w:rPr/>
            </w:pPr>
            <w:r>
              <w:rPr/>
              <w:t> </w:t>
            </w:r>
          </w:p>
        </w:tc>
        <w:tc>
          <w:tcPr>
            <w:tcW w:w="9465" w:type="dxa"/>
            <w:tcBorders/>
            <w:shd w:fill="auto" w:val="clear"/>
            <w:vAlign w:val="center"/>
          </w:tcPr>
          <w:p>
            <w:pPr>
              <w:pStyle w:val="TableContents"/>
              <w:spacing w:before="60" w:after="0"/>
              <w:ind w:left="0" w:right="0" w:hanging="0"/>
              <w:jc w:val="left"/>
              <w:rPr/>
            </w:pPr>
            <w:hyperlink w:anchor="ceo_pay_ratio">
              <w:r>
                <w:rPr>
                  <w:rStyle w:val="InternetLink"/>
                  <w:rFonts w:ascii="Arial;sans-serif" w:hAnsi="Arial;sans-serif"/>
                  <w:b w:val="false"/>
                  <w:sz w:val="20"/>
                  <w:u w:val="single"/>
                </w:rPr>
                <w:t>CEO Pay Ratio</w:t>
              </w:r>
            </w:hyperlink>
          </w:p>
        </w:tc>
        <w:tc>
          <w:tcPr>
            <w:tcW w:w="146" w:type="dxa"/>
            <w:tcBorders/>
            <w:shd w:fill="auto" w:val="clear"/>
            <w:vAlign w:val="center"/>
          </w:tcPr>
          <w:p>
            <w:pPr>
              <w:pStyle w:val="TableContents"/>
              <w:spacing w:before="60" w:after="0"/>
              <w:ind w:left="0" w:right="0" w:hanging="0"/>
              <w:jc w:val="left"/>
              <w:rPr/>
            </w:pPr>
            <w:r>
              <w:rPr/>
              <w:t> </w:t>
            </w:r>
          </w:p>
        </w:tc>
        <w:tc>
          <w:tcPr>
            <w:tcW w:w="362" w:type="dxa"/>
            <w:tcBorders/>
            <w:shd w:fill="auto" w:val="clear"/>
            <w:vAlign w:val="center"/>
          </w:tcPr>
          <w:p>
            <w:pPr>
              <w:pStyle w:val="TableContents"/>
              <w:spacing w:before="60" w:after="0"/>
              <w:ind w:left="0" w:right="0" w:hanging="0"/>
              <w:jc w:val="right"/>
              <w:rPr>
                <w:rFonts w:ascii="Arial;sans-serif" w:hAnsi="Arial;sans-serif"/>
                <w:b w:val="false"/>
                <w:sz w:val="20"/>
              </w:rPr>
            </w:pPr>
            <w:r>
              <w:rPr>
                <w:rFonts w:ascii="Arial;sans-serif" w:hAnsi="Arial;sans-serif"/>
                <w:b w:val="false"/>
                <w:sz w:val="20"/>
              </w:rPr>
              <w:t>70</w:t>
            </w:r>
          </w:p>
        </w:tc>
      </w:tr>
      <w:tr>
        <w:trPr/>
        <w:tc>
          <w:tcPr>
            <w:tcW w:w="9697" w:type="dxa"/>
            <w:gridSpan w:val="2"/>
            <w:tcBorders/>
            <w:shd w:fill="auto" w:val="clear"/>
            <w:vAlign w:val="center"/>
          </w:tcPr>
          <w:p>
            <w:pPr>
              <w:pStyle w:val="TableContents"/>
              <w:spacing w:before="100" w:after="0"/>
              <w:ind w:left="0" w:right="0" w:hanging="0"/>
              <w:jc w:val="left"/>
              <w:rPr/>
            </w:pPr>
            <w:hyperlink w:anchor="certain_relationships_and_related">
              <w:r>
                <w:rPr>
                  <w:rStyle w:val="InternetLink"/>
                  <w:rFonts w:ascii="Arial;sans-serif" w:hAnsi="Arial;sans-serif"/>
                  <w:b w:val="false"/>
                  <w:sz w:val="20"/>
                  <w:u w:val="single"/>
                </w:rPr>
                <w:t>CERTAIN RELATIONSHIPS AND RELATED PARTY TRANSACTIONS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71</w:t>
            </w:r>
          </w:p>
        </w:tc>
      </w:tr>
      <w:tr>
        <w:trPr/>
        <w:tc>
          <w:tcPr>
            <w:tcW w:w="9697" w:type="dxa"/>
            <w:gridSpan w:val="2"/>
            <w:tcBorders/>
            <w:shd w:fill="auto" w:val="clear"/>
            <w:vAlign w:val="center"/>
          </w:tcPr>
          <w:p>
            <w:pPr>
              <w:pStyle w:val="TableContents"/>
              <w:spacing w:before="100" w:after="0"/>
              <w:ind w:left="0" w:right="0" w:hanging="0"/>
              <w:jc w:val="left"/>
              <w:rPr/>
            </w:pPr>
            <w:hyperlink w:anchor="security_ownership_of_certain_beneficial">
              <w:r>
                <w:rPr>
                  <w:rStyle w:val="InternetLink"/>
                  <w:rFonts w:ascii="Arial;sans-serif" w:hAnsi="Arial;sans-serif"/>
                  <w:b w:val="false"/>
                  <w:sz w:val="20"/>
                  <w:u w:val="single"/>
                </w:rPr>
                <w:t>SECURITY OWNERSHIP OF CERTAIN BENEFICIAL OWNERS AND MANAGEMENT</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75</w:t>
            </w:r>
          </w:p>
        </w:tc>
      </w:tr>
      <w:tr>
        <w:trPr/>
        <w:tc>
          <w:tcPr>
            <w:tcW w:w="9697" w:type="dxa"/>
            <w:gridSpan w:val="2"/>
            <w:tcBorders/>
            <w:shd w:fill="auto" w:val="clear"/>
            <w:vAlign w:val="center"/>
          </w:tcPr>
          <w:p>
            <w:pPr>
              <w:pStyle w:val="TableContents"/>
              <w:spacing w:before="100" w:after="0"/>
              <w:ind w:left="0" w:right="0" w:hanging="0"/>
              <w:jc w:val="left"/>
              <w:rPr/>
            </w:pPr>
            <w:hyperlink w:anchor="proposal_2">
              <w:r>
                <w:rPr>
                  <w:rStyle w:val="InternetLink"/>
                  <w:rFonts w:ascii="Arial;sans-serif" w:hAnsi="Arial;sans-serif"/>
                  <w:b w:val="false"/>
                  <w:sz w:val="20"/>
                  <w:u w:val="single"/>
                </w:rPr>
                <w:t>PROPOSAL 2 – RATIFICATION OF APPOINTMENT OF INDEPENDENT REGISTERED PUBLIC ACCOUNTING FIRM</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78</w:t>
            </w:r>
          </w:p>
        </w:tc>
      </w:tr>
      <w:tr>
        <w:trPr/>
        <w:tc>
          <w:tcPr>
            <w:tcW w:w="9697" w:type="dxa"/>
            <w:gridSpan w:val="2"/>
            <w:tcBorders/>
            <w:shd w:fill="auto" w:val="clear"/>
            <w:vAlign w:val="center"/>
          </w:tcPr>
          <w:p>
            <w:pPr>
              <w:pStyle w:val="TableContents"/>
              <w:spacing w:before="100" w:after="0"/>
              <w:ind w:left="0" w:right="0" w:hanging="0"/>
              <w:jc w:val="left"/>
              <w:rPr/>
            </w:pPr>
            <w:hyperlink w:anchor="audit_committee_report">
              <w:r>
                <w:rPr>
                  <w:rStyle w:val="InternetLink"/>
                  <w:rFonts w:ascii="Arial;sans-serif" w:hAnsi="Arial;sans-serif"/>
                  <w:b w:val="false"/>
                  <w:sz w:val="20"/>
                  <w:u w:val="single"/>
                </w:rPr>
                <w:t>AUDIT COMMITTEE REPORT</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80</w:t>
            </w:r>
          </w:p>
        </w:tc>
      </w:tr>
      <w:tr>
        <w:trPr/>
        <w:tc>
          <w:tcPr>
            <w:tcW w:w="9697" w:type="dxa"/>
            <w:gridSpan w:val="2"/>
            <w:tcBorders/>
            <w:shd w:fill="auto" w:val="clear"/>
            <w:vAlign w:val="center"/>
          </w:tcPr>
          <w:p>
            <w:pPr>
              <w:pStyle w:val="TableContents"/>
              <w:spacing w:before="100" w:after="0"/>
              <w:ind w:left="0" w:right="0" w:hanging="0"/>
              <w:jc w:val="left"/>
              <w:rPr/>
            </w:pPr>
            <w:hyperlink w:anchor="proposal_3">
              <w:r>
                <w:rPr>
                  <w:rStyle w:val="InternetLink"/>
                  <w:rFonts w:ascii="Arial;sans-serif" w:hAnsi="Arial;sans-serif"/>
                  <w:b w:val="false"/>
                  <w:sz w:val="20"/>
                  <w:u w:val="single"/>
                </w:rPr>
                <w:t>PROPOSAL 3 – NON-BINDING ADVISORY VOTE ON EXECUTIVE COMPENSATION</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81</w:t>
            </w:r>
          </w:p>
        </w:tc>
      </w:tr>
      <w:tr>
        <w:trPr/>
        <w:tc>
          <w:tcPr>
            <w:tcW w:w="9697" w:type="dxa"/>
            <w:gridSpan w:val="2"/>
            <w:tcBorders/>
            <w:shd w:fill="auto" w:val="clear"/>
            <w:vAlign w:val="center"/>
          </w:tcPr>
          <w:p>
            <w:pPr>
              <w:pStyle w:val="TableContents"/>
              <w:spacing w:before="100" w:after="0"/>
              <w:ind w:left="0" w:right="0" w:hanging="0"/>
              <w:jc w:val="left"/>
              <w:rPr/>
            </w:pPr>
            <w:hyperlink w:anchor="other_matters">
              <w:r>
                <w:rPr>
                  <w:rStyle w:val="InternetLink"/>
                  <w:rFonts w:ascii="Arial;sans-serif" w:hAnsi="Arial;sans-serif"/>
                  <w:b w:val="false"/>
                  <w:sz w:val="20"/>
                  <w:u w:val="single"/>
                </w:rPr>
                <w:t>OTHER MATTERS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82</w:t>
            </w:r>
          </w:p>
        </w:tc>
      </w:tr>
      <w:tr>
        <w:trPr/>
        <w:tc>
          <w:tcPr>
            <w:tcW w:w="9697" w:type="dxa"/>
            <w:gridSpan w:val="2"/>
            <w:tcBorders/>
            <w:shd w:fill="auto" w:val="clear"/>
            <w:vAlign w:val="center"/>
          </w:tcPr>
          <w:p>
            <w:pPr>
              <w:pStyle w:val="TableContents"/>
              <w:spacing w:before="100" w:after="0"/>
              <w:ind w:left="0" w:right="0" w:hanging="0"/>
              <w:jc w:val="left"/>
              <w:rPr/>
            </w:pPr>
            <w:hyperlink w:anchor="availability_of_sec_filings">
              <w:r>
                <w:rPr>
                  <w:rStyle w:val="InternetLink"/>
                  <w:rFonts w:ascii="Arial;sans-serif" w:hAnsi="Arial;sans-serif"/>
                  <w:b w:val="false"/>
                  <w:sz w:val="20"/>
                  <w:u w:val="single"/>
                </w:rPr>
                <w:t>AVAILABILITY OF SEC FILINGS, CODE OF CONDUCT AND COMMITTEE CHARTERS</w:t>
              </w:r>
            </w:hyperlink>
          </w:p>
        </w:tc>
        <w:tc>
          <w:tcPr>
            <w:tcW w:w="146" w:type="dxa"/>
            <w:tcBorders/>
            <w:shd w:fill="auto" w:val="clear"/>
            <w:vAlign w:val="center"/>
          </w:tcPr>
          <w:p>
            <w:pPr>
              <w:pStyle w:val="TableContents"/>
              <w:spacing w:before="100" w:after="0"/>
              <w:ind w:left="0" w:right="0" w:hanging="0"/>
              <w:jc w:val="left"/>
              <w:rPr/>
            </w:pPr>
            <w:r>
              <w:rPr/>
              <w:t> </w:t>
            </w:r>
          </w:p>
        </w:tc>
        <w:tc>
          <w:tcPr>
            <w:tcW w:w="362"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82</w:t>
            </w:r>
          </w:p>
        </w:tc>
      </w:tr>
    </w:tbl>
    <w:p>
      <w:pPr>
        <w:pStyle w:val="TextBody"/>
        <w:spacing w:before="0" w:after="0"/>
        <w:jc w:val="left"/>
        <w:rPr/>
      </w:pPr>
      <w:r>
        <w:rPr/>
        <w:t> </w:t>
      </w:r>
    </w:p>
    <w:p>
      <w:pPr>
        <w:pStyle w:val="HorizontalLine"/>
        <w:rPr/>
      </w:pPr>
      <w:r>
        <w:rPr/>
      </w:r>
    </w:p>
    <w:p>
      <w:pPr>
        <w:pStyle w:val="TextBody"/>
        <w:spacing w:before="0" w:after="0"/>
        <w:jc w:val="left"/>
        <w:rPr/>
      </w:pPr>
      <w:r>
        <w:rPr/>
        <w:t> </w:t>
      </w:r>
    </w:p>
    <w:tbl>
      <w:tblPr>
        <w:tblW w:w="5143" w:type="dxa"/>
        <w:jc w:val="left"/>
        <w:tblInd w:w="0" w:type="dxa"/>
        <w:tblCellMar>
          <w:top w:w="28" w:type="dxa"/>
          <w:left w:w="28" w:type="dxa"/>
          <w:bottom w:w="28" w:type="dxa"/>
          <w:right w:w="28" w:type="dxa"/>
        </w:tblCellMar>
      </w:tblPr>
      <w:tblGrid>
        <w:gridCol w:w="4636"/>
        <w:gridCol w:w="146"/>
        <w:gridCol w:w="36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100" w:after="0"/>
              <w:ind w:left="0" w:right="0" w:hanging="0"/>
              <w:jc w:val="left"/>
              <w:rPr/>
            </w:pPr>
            <w:hyperlink w:anchor="where_to_find_additional_information">
              <w:r>
                <w:rPr>
                  <w:rStyle w:val="InternetLink"/>
                  <w:rFonts w:ascii="Arial;sans-serif" w:hAnsi="Arial;sans-serif"/>
                  <w:b w:val="false"/>
                  <w:sz w:val="20"/>
                  <w:u w:val="single"/>
                </w:rPr>
                <w:t>WHERE TO FIND ADDITIONAL INFORMATION</w:t>
              </w:r>
            </w:hyperlink>
          </w:p>
        </w:tc>
        <w:tc>
          <w:tcPr>
            <w:tcW w:w="146" w:type="dxa"/>
            <w:tcBorders/>
            <w:shd w:fill="auto" w:val="clear"/>
            <w:vAlign w:val="center"/>
          </w:tcPr>
          <w:p>
            <w:pPr>
              <w:pStyle w:val="TableContents"/>
              <w:spacing w:before="100" w:after="0"/>
              <w:ind w:left="0" w:right="0" w:hanging="0"/>
              <w:jc w:val="left"/>
              <w:rPr/>
            </w:pPr>
            <w:r>
              <w:rPr/>
              <w:t> </w:t>
            </w:r>
          </w:p>
        </w:tc>
        <w:tc>
          <w:tcPr>
            <w:tcW w:w="361"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82</w:t>
            </w:r>
          </w:p>
        </w:tc>
      </w:tr>
      <w:tr>
        <w:trPr/>
        <w:tc>
          <w:tcPr>
            <w:tcW w:w="4636" w:type="dxa"/>
            <w:tcBorders/>
            <w:shd w:fill="auto" w:val="clear"/>
            <w:vAlign w:val="center"/>
          </w:tcPr>
          <w:p>
            <w:pPr>
              <w:pStyle w:val="TableContents"/>
              <w:spacing w:before="100" w:after="0"/>
              <w:ind w:left="0" w:right="0" w:hanging="0"/>
              <w:jc w:val="left"/>
              <w:rPr/>
            </w:pPr>
            <w:hyperlink w:anchor="cost_of_proxy_solicitation">
              <w:r>
                <w:rPr>
                  <w:rStyle w:val="InternetLink"/>
                  <w:rFonts w:ascii="Arial;sans-serif" w:hAnsi="Arial;sans-serif"/>
                  <w:b w:val="false"/>
                  <w:sz w:val="20"/>
                  <w:u w:val="single"/>
                </w:rPr>
                <w:t>COST OF PROXY SOLICITATION</w:t>
              </w:r>
            </w:hyperlink>
          </w:p>
        </w:tc>
        <w:tc>
          <w:tcPr>
            <w:tcW w:w="146" w:type="dxa"/>
            <w:tcBorders/>
            <w:shd w:fill="auto" w:val="clear"/>
            <w:vAlign w:val="center"/>
          </w:tcPr>
          <w:p>
            <w:pPr>
              <w:pStyle w:val="TableContents"/>
              <w:spacing w:before="100" w:after="0"/>
              <w:ind w:left="0" w:right="0" w:hanging="0"/>
              <w:jc w:val="left"/>
              <w:rPr/>
            </w:pPr>
            <w:r>
              <w:rPr/>
              <w:t> </w:t>
            </w:r>
          </w:p>
        </w:tc>
        <w:tc>
          <w:tcPr>
            <w:tcW w:w="361"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82</w:t>
            </w:r>
          </w:p>
        </w:tc>
      </w:tr>
      <w:tr>
        <w:trPr/>
        <w:tc>
          <w:tcPr>
            <w:tcW w:w="4636" w:type="dxa"/>
            <w:tcBorders/>
            <w:shd w:fill="auto" w:val="clear"/>
            <w:vAlign w:val="center"/>
          </w:tcPr>
          <w:p>
            <w:pPr>
              <w:pStyle w:val="TableContents"/>
              <w:spacing w:before="100" w:after="0"/>
              <w:ind w:left="0" w:right="0" w:hanging="0"/>
              <w:jc w:val="left"/>
              <w:rPr/>
            </w:pPr>
            <w:hyperlink w:anchor="appendix_non_gaap_financial_measures">
              <w:r>
                <w:rPr>
                  <w:rStyle w:val="InternetLink"/>
                  <w:rFonts w:ascii="Arial;sans-serif" w:hAnsi="Arial;sans-serif"/>
                  <w:b w:val="false"/>
                  <w:sz w:val="20"/>
                  <w:u w:val="single"/>
                </w:rPr>
                <w:t>APPENDIX – NON-GAAP FINANCIAL MEASURES</w:t>
              </w:r>
            </w:hyperlink>
          </w:p>
        </w:tc>
        <w:tc>
          <w:tcPr>
            <w:tcW w:w="146" w:type="dxa"/>
            <w:tcBorders/>
            <w:shd w:fill="auto" w:val="clear"/>
            <w:vAlign w:val="center"/>
          </w:tcPr>
          <w:p>
            <w:pPr>
              <w:pStyle w:val="TableContents"/>
              <w:spacing w:before="100" w:after="0"/>
              <w:ind w:left="0" w:right="0" w:hanging="0"/>
              <w:jc w:val="left"/>
              <w:rPr/>
            </w:pPr>
            <w:r>
              <w:rPr/>
              <w:t> </w:t>
            </w:r>
          </w:p>
        </w:tc>
        <w:tc>
          <w:tcPr>
            <w:tcW w:w="361" w:type="dxa"/>
            <w:tcBorders/>
            <w:shd w:fill="auto" w:val="clear"/>
            <w:vAlign w:val="center"/>
          </w:tcPr>
          <w:p>
            <w:pPr>
              <w:pStyle w:val="TableContents"/>
              <w:spacing w:before="100" w:after="0"/>
              <w:ind w:left="0" w:right="0" w:hanging="0"/>
              <w:jc w:val="right"/>
              <w:rPr>
                <w:rFonts w:ascii="Arial;sans-serif" w:hAnsi="Arial;sans-serif"/>
                <w:b w:val="false"/>
                <w:sz w:val="20"/>
              </w:rPr>
            </w:pPr>
            <w:r>
              <w:rPr>
                <w:rFonts w:ascii="Arial;sans-serif" w:hAnsi="Arial;sans-serif"/>
                <w:b w:val="false"/>
                <w:sz w:val="20"/>
              </w:rPr>
              <w:t>83</w:t>
            </w:r>
          </w:p>
        </w:tc>
      </w:tr>
    </w:tbl>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Cautionary Note Regarding Forward-Looking Statements</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Centers for Medicare and Medicaid ("CMS") Five Star Quality Rating System ("CMS Star Ratings"); risks associated with being a government contractor; changes in laws and regulations applicable to our business model; risk related to our indebtedness, including the potential for rising interest rates; changes in market or industry conditions and receptivity to our technology and services; results of litigation or a security incident; the impact of shortages of qualified personnel and related increases in our labor costs; and the impact of COVID-19 on our business and results of operation. For a detailed discussion of the risk factors that could affect our actual results, please refer to the risk factors identified in our reports filed with the U.S. Securities and Exchange Commission ("SEC"), including our Annual Report on Form 10-K filed with the SEC on February 28, 2023. All information provided in this proxy statement is as of the date hereof, and we undertake no duty to update or revise this information unless required by law.</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Website References</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References to our website throughout this proxy statement are intended to provide inactive, textual references and are provided for convenience only. The content on our website does not constitute a part of this proxy statement.</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commonly_asked_questions_and_answers"/>
      <w:bookmarkEnd w:id="2"/>
      <w:r>
        <w:rPr>
          <w:rFonts w:ascii="Arial;sans-serif" w:hAnsi="Arial;sans-serif"/>
          <w:b/>
          <w:sz w:val="20"/>
        </w:rPr>
        <w:t>COMMONLY ASKED QUESTIONS AND ANSWERS</w:t>
      </w:r>
      <w:r>
        <w:rPr>
          <w:rFonts w:ascii="Times New Roman" w:hAnsi="Times New Roman"/>
          <w:sz w:val="20"/>
        </w:rPr>
        <w:t xml:space="preserve"> </w:t>
      </w:r>
      <w:r>
        <w:rPr>
          <w:rFonts w:ascii="Arial;sans-serif" w:hAnsi="Arial;sans-serif"/>
          <w:b/>
          <w:sz w:val="20"/>
        </w:rPr>
        <w:t>ABOUT THE ANNUAL MEETING</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sz w:val="20"/>
        </w:rPr>
        <w:t>Why did I receive these materials?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val="false"/>
          <w:sz w:val="20"/>
        </w:rPr>
        <w:t>The Board of Alignment Healthcare, Inc. (“Alignment” or the “Company”) is soliciting your proxy to vote at our 2023 Annual Meeting of Stockholders (or at any postponement or adjournment of the meeting) (the “Annual Meeting”). Stockholders who own shares of our common stock as April 10, 2023 (the “Record Date”), are entitled to vote at the Annual Meeting. These proxy materials are first being distributed to stockholders on or about April 26, 2023. You should review these proxy materials carefully as they give important information about the proposals that will be voted on at the Annual Meeting, as well as other important information about Alignment.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Notice of Electronic Availability of Proxy Statement and Annual Report</w:t>
      </w:r>
      <w:r>
        <w:rPr>
          <w:rFonts w:ascii="Arial;sans-serif" w:hAnsi="Arial;sans-serif"/>
          <w:b w:val="false"/>
          <w:sz w:val="20"/>
        </w:rPr>
        <w:t>. As permitted by SEC rules, we 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Householding</w:t>
      </w:r>
      <w:r>
        <w:rPr>
          <w:rFonts w:ascii="Arial;sans-serif" w:hAnsi="Arial;sans-serif"/>
          <w:b w:val="false"/>
          <w:sz w:val="20"/>
        </w:rPr>
        <w:t>. The SEC’s rules permit us to print an individual’s multiple accounts on a single notice or set of Annual Meeting materials. To take 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Mediant, Inc.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w:t>
      </w:r>
    </w:p>
    <w:p>
      <w:pPr>
        <w:pStyle w:val="TextBody"/>
        <w:spacing w:before="240" w:after="0"/>
        <w:jc w:val="left"/>
        <w:rPr>
          <w:rFonts w:ascii="Times New Roman" w:hAnsi="Times New Roman"/>
          <w:sz w:val="20"/>
        </w:rPr>
      </w:pPr>
      <w:r>
        <w:rPr>
          <w:rFonts w:ascii="Arial;sans-serif" w:hAnsi="Arial;sans-serif"/>
          <w:b/>
          <w:sz w:val="20"/>
        </w:rPr>
        <w:t>Who will be entitled to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Stockholders who own shares of our common stock as of the Record Date are entitled to vote at the Annual Meeting. As of the Record Date, Alignment had approximately 188,370,007 shares of common stock outstanding. Holders of shares of common stock are entitled to one vote per share. Cumulative voting is not permitted with respect to the election of directors or any other matter to be considered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sz w:val="20"/>
        </w:rPr>
        <w:t>What will I be voting 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You will be voting on:</w:t>
      </w:r>
      <w:r>
        <w:rPr>
          <w:rFonts w:ascii="Times New Roman" w:hAnsi="Times New Roman"/>
          <w:sz w:val="20"/>
        </w:rPr>
        <w:t xml:space="preserve"> </w:t>
      </w:r>
    </w:p>
    <w:p>
      <w:pPr>
        <w:pStyle w:val="TextBody"/>
        <w:spacing w:before="200" w:after="0"/>
        <w:jc w:val="left"/>
        <w:rPr/>
      </w:pPr>
      <w:r>
        <w:rPr/>
        <w:t>•</w:t>
      </w:r>
    </w:p>
    <w:p>
      <w:pPr>
        <w:pStyle w:val="TextBody"/>
        <w:spacing w:before="200" w:after="0"/>
        <w:jc w:val="left"/>
        <w:rPr/>
      </w:pPr>
      <w:r>
        <w:rPr>
          <w:rFonts w:ascii="Arial;sans-serif" w:hAnsi="Arial;sans-serif"/>
          <w:b/>
          <w:sz w:val="20"/>
        </w:rPr>
        <w:t>Proposal 1</w:t>
      </w:r>
      <w:r>
        <w:rPr>
          <w:rFonts w:ascii="Arial;sans-serif" w:hAnsi="Arial;sans-serif"/>
          <w:b w:val="false"/>
          <w:sz w:val="20"/>
        </w:rPr>
        <w:t>: Election of four nominees identified in this proxy statement to serve as Class II directors to hold office until the 2026 Annual Meeting of Stockholders;</w:t>
      </w:r>
    </w:p>
    <w:p>
      <w:pPr>
        <w:pStyle w:val="TextBody"/>
        <w:spacing w:before="200" w:after="0"/>
        <w:jc w:val="left"/>
        <w:rPr/>
      </w:pPr>
      <w:r>
        <w:rPr/>
        <w:t>•</w:t>
      </w:r>
    </w:p>
    <w:p>
      <w:pPr>
        <w:pStyle w:val="TextBody"/>
        <w:spacing w:before="200" w:after="283"/>
        <w:jc w:val="left"/>
        <w:rPr/>
      </w:pPr>
      <w:r>
        <w:rPr>
          <w:rFonts w:ascii="Arial;sans-serif" w:hAnsi="Arial;sans-serif"/>
          <w:b/>
          <w:sz w:val="20"/>
        </w:rPr>
        <w:t>Proposal 2</w:t>
      </w:r>
      <w:r>
        <w:rPr>
          <w:rFonts w:ascii="Arial;sans-serif" w:hAnsi="Arial;sans-serif"/>
          <w:b w:val="false"/>
          <w:sz w:val="20"/>
        </w:rPr>
        <w:t>: Ratification of the appointment of Deloitte &amp; Touche LLP as our independent registered public accounting firm for the year ending December 31, 2023; and</w:t>
      </w:r>
    </w:p>
    <w:p>
      <w:pPr>
        <w:pStyle w:val="TextBody"/>
        <w:spacing w:before="24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283"/>
        <w:jc w:val="left"/>
        <w:rPr/>
      </w:pPr>
      <w:r>
        <w:rPr>
          <w:rFonts w:ascii="Arial;sans-serif" w:hAnsi="Arial;sans-serif"/>
          <w:b/>
          <w:sz w:val="20"/>
        </w:rPr>
        <w:t>Proposal 3</w:t>
      </w:r>
      <w:r>
        <w:rPr>
          <w:rFonts w:ascii="Arial;sans-serif" w:hAnsi="Arial;sans-serif"/>
          <w:b w:val="false"/>
          <w:sz w:val="20"/>
        </w:rPr>
        <w:t>: Approval, on an advisory basis, of the compensation of our named executive officers (“Named Executive Officers” or “NEOs”).</w:t>
      </w:r>
    </w:p>
    <w:p>
      <w:pPr>
        <w:pStyle w:val="TextBody"/>
        <w:spacing w:before="200" w:after="240"/>
        <w:jc w:val="left"/>
        <w:rPr>
          <w:rFonts w:ascii="Arial;sans-serif" w:hAnsi="Arial;sans-serif"/>
          <w:b w:val="false"/>
          <w:sz w:val="20"/>
        </w:rPr>
      </w:pPr>
      <w:r>
        <w:rPr>
          <w:rFonts w:ascii="Arial;sans-serif" w:hAnsi="Arial;sans-serif"/>
          <w:b w:val="false"/>
          <w:sz w:val="20"/>
        </w:rPr>
        <w:t>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w:t>
      </w:r>
    </w:p>
    <w:tbl>
      <w:tblPr>
        <w:tblW w:w="7306" w:type="dxa"/>
        <w:jc w:val="left"/>
        <w:tblInd w:w="0" w:type="dxa"/>
        <w:tblCellMar>
          <w:top w:w="28" w:type="dxa"/>
          <w:left w:w="28" w:type="dxa"/>
          <w:bottom w:w="28" w:type="dxa"/>
          <w:right w:w="28" w:type="dxa"/>
        </w:tblCellMar>
      </w:tblPr>
      <w:tblGrid>
        <w:gridCol w:w="7306"/>
      </w:tblGrid>
      <w:tr>
        <w:trPr/>
        <w:tc>
          <w:tcPr>
            <w:tcW w:w="7306" w:type="dxa"/>
            <w:tcBorders/>
            <w:shd w:fill="auto" w:val="clear"/>
            <w:vAlign w:val="center"/>
          </w:tcPr>
          <w:p>
            <w:pPr>
              <w:pStyle w:val="TableContents"/>
              <w:spacing w:before="0" w:after="283"/>
              <w:rPr>
                <w:sz w:val="4"/>
                <w:szCs w:val="4"/>
              </w:rPr>
            </w:pPr>
            <w:r>
              <w:rPr>
                <w:sz w:val="4"/>
                <w:szCs w:val="4"/>
              </w:rPr>
            </w:r>
          </w:p>
        </w:tc>
      </w:tr>
      <w:tr>
        <w:trPr/>
        <w:tc>
          <w:tcPr>
            <w:tcW w:w="730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200" w:after="240"/>
              <w:ind w:left="0" w:right="0" w:hanging="0"/>
              <w:jc w:val="center"/>
              <w:rPr>
                <w:rFonts w:ascii="Times New Roman" w:hAnsi="Times New Roman"/>
                <w:sz w:val="20"/>
              </w:rPr>
            </w:pPr>
            <w:r>
              <w:rPr>
                <w:rFonts w:ascii="Arial;sans-serif" w:hAnsi="Arial;sans-serif"/>
                <w:b/>
                <w:sz w:val="20"/>
              </w:rPr>
              <w:t xml:space="preserve">THE BOARD OF DIRECTORS RECOMMENDS THAT YOU VOTE </w:t>
              <w:br/>
              <w:t>“FOR” THE ELECTION OF EACH DIRECTOR NOMINEE UNDER PROPOSAL 1</w:t>
              <w:br/>
              <w:t>AND “FOR” PROPOSALS 2 AND 3</w:t>
            </w:r>
            <w:r>
              <w:rPr>
                <w:rFonts w:ascii="Times New Roman" w:hAnsi="Times New Roman"/>
                <w:sz w:val="20"/>
              </w:rPr>
              <w:t xml:space="preserve"> </w:t>
            </w:r>
          </w:p>
        </w:tc>
      </w:tr>
    </w:tbl>
    <w:p>
      <w:pPr>
        <w:pStyle w:val="TextBody"/>
        <w:spacing w:before="240" w:after="0"/>
        <w:jc w:val="left"/>
        <w:rPr>
          <w:rFonts w:ascii="Arial;sans-serif" w:hAnsi="Arial;sans-serif"/>
          <w:b/>
          <w:sz w:val="20"/>
        </w:rPr>
      </w:pPr>
      <w:r>
        <w:rPr>
          <w:rFonts w:ascii="Arial;sans-serif" w:hAnsi="Arial;sans-serif"/>
          <w:b/>
          <w:sz w:val="20"/>
        </w:rPr>
        <w:t>How can I attend the Annual Meeting?</w:t>
      </w:r>
    </w:p>
    <w:p>
      <w:pPr>
        <w:pStyle w:val="TextBody"/>
        <w:spacing w:before="200" w:after="0"/>
        <w:jc w:val="left"/>
        <w:rPr>
          <w:rFonts w:ascii="Times New Roman" w:hAnsi="Times New Roman"/>
          <w:sz w:val="20"/>
        </w:rPr>
      </w:pPr>
      <w:r>
        <w:rPr>
          <w:rFonts w:ascii="Arial;sans-serif" w:hAnsi="Arial;sans-serif"/>
          <w:b w:val="false"/>
          <w:sz w:val="20"/>
        </w:rPr>
        <w:t xml:space="preserve">The Annual Meeting is being held as a virtual-only meeting. </w:t>
      </w:r>
      <w:r>
        <w:rPr>
          <w:rFonts w:ascii="Arial;sans-serif" w:hAnsi="Arial;sans-serif"/>
          <w:b/>
          <w:sz w:val="20"/>
        </w:rPr>
        <w:t>In order to attend the Annual Meeting, you must register at www.proxydocs.com/ALHC by no later than 5:00 p.m. Pacific Time on June 5, 2023.</w:t>
      </w:r>
      <w:r>
        <w:rPr>
          <w:rFonts w:ascii="Times New Roman" w:hAnsi="Times New Roman"/>
          <w:sz w:val="20"/>
        </w:rPr>
        <w:t xml:space="preserve"> </w:t>
      </w:r>
      <w:r>
        <w:rPr>
          <w:rFonts w:ascii="Arial;sans-serif" w:hAnsi="Arial;sans-serif"/>
          <w:b w:val="false"/>
          <w:sz w:val="20"/>
        </w:rPr>
        <w:t>If you are a stockholder of record as of the Record Date,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w:t>
      </w:r>
    </w:p>
    <w:p>
      <w:pPr>
        <w:pStyle w:val="TextBody"/>
        <w:spacing w:before="240" w:after="0"/>
        <w:jc w:val="left"/>
        <w:rPr>
          <w:rFonts w:ascii="Times New Roman" w:hAnsi="Times New Roman"/>
          <w:sz w:val="20"/>
        </w:rPr>
      </w:pPr>
      <w:r>
        <w:rPr>
          <w:rFonts w:ascii="Arial;sans-serif" w:hAnsi="Arial;sans-serif"/>
          <w:b w:val="false"/>
          <w:sz w:val="20"/>
        </w:rPr>
        <w:t>The audio broadcast of the Annual Meeting will be archived on the investor relations section of our website,</w:t>
      </w:r>
      <w:r>
        <w:rPr>
          <w:rFonts w:ascii="Times New Roman" w:hAnsi="Times New Roman"/>
          <w:sz w:val="20"/>
        </w:rPr>
        <w:t xml:space="preserve"> </w:t>
      </w:r>
      <w:r>
        <w:rPr>
          <w:rFonts w:ascii="Arial;sans-serif" w:hAnsi="Arial;sans-serif"/>
          <w:b w:val="false"/>
          <w:sz w:val="20"/>
        </w:rPr>
        <w:t>https://ir.alignmenthealth.com/, for at least one year.</w:t>
      </w:r>
      <w:r>
        <w:rPr>
          <w:rFonts w:ascii="Times New Roman" w:hAnsi="Times New Roman"/>
          <w:sz w:val="20"/>
        </w:rPr>
        <w:t xml:space="preserve"> </w:t>
      </w:r>
    </w:p>
    <w:p>
      <w:pPr>
        <w:pStyle w:val="TextBody"/>
        <w:spacing w:before="240" w:after="0"/>
        <w:jc w:val="left"/>
        <w:rPr>
          <w:rFonts w:ascii="Arial;sans-serif" w:hAnsi="Arial;sans-serif"/>
          <w:b/>
          <w:sz w:val="20"/>
        </w:rPr>
      </w:pPr>
      <w:r>
        <w:rPr>
          <w:rFonts w:ascii="Arial;sans-serif" w:hAnsi="Arial;sans-serif"/>
          <w:b/>
          <w:sz w:val="20"/>
        </w:rPr>
        <w:t>How can I ask questions at the Annual Meeting?</w:t>
      </w:r>
    </w:p>
    <w:p>
      <w:pPr>
        <w:pStyle w:val="TextBody"/>
        <w:spacing w:before="240" w:after="0"/>
        <w:jc w:val="left"/>
        <w:rPr>
          <w:rFonts w:ascii="Times New Roman" w:hAnsi="Times New Roman"/>
          <w:sz w:val="20"/>
        </w:rPr>
      </w:pPr>
      <w:r>
        <w:rPr>
          <w:rFonts w:ascii="Arial;sans-serif" w:hAnsi="Arial;sans-serif"/>
          <w:b w:val="false"/>
          <w:sz w:val="20"/>
        </w:rPr>
        <w:t>We have designed the virtual Annual Meeting to provide substantially the same opportunities to participate as stockholders would have at an in-person meeting. The virtual Annual Meeting format allows stockholders to ask questions of our management and Board of Directors, as appropriate. If you have questions, you may type them into the dialog box provided at any point during the meeting (until the floor is closed to questions).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w:t>
      </w:r>
      <w:r>
        <w:rPr>
          <w:rFonts w:ascii="Times New Roman" w:hAnsi="Times New Roman"/>
          <w:sz w:val="20"/>
        </w:rPr>
        <w:t xml:space="preserve"> </w:t>
      </w:r>
      <w:r>
        <w:rPr>
          <w:rFonts w:ascii="Arial;sans-serif" w:hAnsi="Arial;sans-serif"/>
          <w:b w:val="false"/>
          <w:sz w:val="20"/>
        </w:rPr>
        <w:t>https://ir.alignmenthealth.com/, as soon as practicable after the Annual Meeting.</w:t>
      </w:r>
    </w:p>
    <w:p>
      <w:pPr>
        <w:pStyle w:val="TextBody"/>
        <w:spacing w:before="240" w:after="0"/>
        <w:jc w:val="left"/>
        <w:rPr>
          <w:rFonts w:ascii="Times New Roman" w:hAnsi="Times New Roman"/>
          <w:sz w:val="20"/>
        </w:rPr>
      </w:pPr>
      <w:r>
        <w:rPr>
          <w:rFonts w:ascii="Arial;sans-serif" w:hAnsi="Arial;sans-serif"/>
          <w:b w:val="false"/>
          <w:sz w:val="20"/>
        </w:rPr>
        <w:t>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Meeting. The rules of conduct will also be available on the Annual Meeting platform during the Annual Meeting.</w:t>
      </w:r>
    </w:p>
    <w:p>
      <w:pPr>
        <w:pStyle w:val="TextBody"/>
        <w:spacing w:before="240" w:after="0"/>
        <w:jc w:val="left"/>
        <w:rPr>
          <w:rFonts w:ascii="Arial;sans-serif" w:hAnsi="Arial;sans-serif"/>
          <w:b/>
          <w:sz w:val="20"/>
        </w:rPr>
      </w:pPr>
      <w:r>
        <w:rPr>
          <w:rFonts w:ascii="Arial;sans-serif" w:hAnsi="Arial;sans-serif"/>
          <w:b/>
          <w:sz w:val="20"/>
        </w:rPr>
        <w:t>How can I access technical support for the Annual Meeting?</w:t>
      </w:r>
    </w:p>
    <w:p>
      <w:pPr>
        <w:pStyle w:val="TextBody"/>
        <w:spacing w:before="240" w:after="0"/>
        <w:jc w:val="left"/>
        <w:rPr>
          <w:rFonts w:ascii="Arial;sans-serif" w:hAnsi="Arial;sans-serif"/>
          <w:b w:val="false"/>
          <w:sz w:val="20"/>
        </w:rPr>
      </w:pPr>
      <w:r>
        <w:rPr>
          <w:rFonts w:ascii="Arial;sans-serif" w:hAnsi="Arial;sans-serif"/>
          <w:b w:val="false"/>
          <w:sz w:val="20"/>
        </w:rPr>
        <w:t>If you encounter any difficulties accessing the virtual Annual Meeting during the check-in or meeting time, please call the technical support number that will be posted on the virtual meeting login page for assistance. 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w:t>
      </w:r>
    </w:p>
    <w:p>
      <w:pPr>
        <w:pStyle w:val="TextBody"/>
        <w:spacing w:before="240" w:after="0"/>
        <w:jc w:val="left"/>
        <w:rPr>
          <w:rFonts w:ascii="Arial;sans-serif" w:hAnsi="Arial;sans-serif"/>
          <w:b/>
          <w:sz w:val="20"/>
        </w:rPr>
      </w:pPr>
      <w:r>
        <w:rPr>
          <w:rFonts w:ascii="Arial;sans-serif" w:hAnsi="Arial;sans-serif"/>
          <w:b/>
          <w:sz w:val="20"/>
        </w:rPr>
        <w:t>Why is the Annual Meeting virtual only?</w:t>
      </w:r>
    </w:p>
    <w:p>
      <w:pPr>
        <w:pStyle w:val="TextBody"/>
        <w:spacing w:before="240" w:after="0"/>
        <w:jc w:val="left"/>
        <w:rPr>
          <w:rFonts w:ascii="Arial;sans-serif" w:hAnsi="Arial;sans-serif"/>
          <w:b w:val="false"/>
          <w:sz w:val="20"/>
        </w:rPr>
      </w:pPr>
      <w:r>
        <w:rPr>
          <w:rFonts w:ascii="Arial;sans-serif" w:hAnsi="Arial;sans-serif"/>
          <w:b w:val="false"/>
          <w:sz w:val="20"/>
        </w:rPr>
        <w:t>In order to make the Annual Meeting accessible to a large number of our stockholders, the Annual Meeting will be conducted virtually via audio-only webcast.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w:t>
      </w:r>
    </w:p>
    <w:p>
      <w:pPr>
        <w:pStyle w:val="TextBody"/>
        <w:spacing w:before="240" w:after="0"/>
        <w:jc w:val="left"/>
        <w:rPr>
          <w:rFonts w:ascii="Arial;sans-serif" w:hAnsi="Arial;sans-serif"/>
          <w:b/>
          <w:sz w:val="20"/>
        </w:rPr>
      </w:pPr>
      <w:r>
        <w:rPr>
          <w:rFonts w:ascii="Arial;sans-serif" w:hAnsi="Arial;sans-serif"/>
          <w:b/>
          <w:sz w:val="20"/>
        </w:rPr>
        <w:t>How do I cast my vote?</w:t>
      </w:r>
    </w:p>
    <w:p>
      <w:pPr>
        <w:pStyle w:val="TextBody"/>
        <w:spacing w:before="240" w:after="0"/>
        <w:jc w:val="left"/>
        <w:rPr>
          <w:rFonts w:ascii="Times New Roman" w:hAnsi="Times New Roman"/>
          <w:sz w:val="20"/>
        </w:rPr>
      </w:pPr>
      <w:r>
        <w:rPr>
          <w:rFonts w:ascii="Arial;sans-serif" w:hAnsi="Arial;sans-serif"/>
          <w:b w:val="false"/>
          <w:i/>
          <w:sz w:val="20"/>
        </w:rPr>
        <w:t>Beneficial Stockholders</w:t>
      </w:r>
      <w:r>
        <w:rPr>
          <w:rFonts w:ascii="Arial;sans-serif" w:hAnsi="Arial;sans-serif"/>
          <w:b w:val="false"/>
          <w:sz w:val="20"/>
        </w:rPr>
        <w:t>. If you hold your shares through a broker, trustee or other nominee, you are a beneficial stockholder. In order to vote your shares, please refer to the materials forwarded to you by your broker, bank or other nominee for instructions on how to vote the shares you hold as a beneficial stockholder.</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i/>
          <w:sz w:val="20"/>
        </w:rPr>
        <w:t>Registered Stockholders.</w:t>
      </w:r>
      <w:r>
        <w:rPr>
          <w:rFonts w:ascii="Times New Roman" w:hAnsi="Times New Roman"/>
          <w:sz w:val="20"/>
        </w:rPr>
        <w:t xml:space="preserve"> </w:t>
      </w:r>
      <w:r>
        <w:rPr>
          <w:rFonts w:ascii="Arial;sans-serif" w:hAnsi="Arial;sans-serif"/>
          <w:b w:val="false"/>
          <w:sz w:val="20"/>
        </w:rPr>
        <w:t>If you are a stockholder of record, you may vote at the Annual Meeting, vote by proxy over the telephone, vote by proxy through the Internet or vote by proxy card. Whether or not you plan to attend the Annual Meeting, we urge you to vote by proxy to ensure your vote is counted. You may still attend the Annual Meeting and vote even if you have already voted by proxy.</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pPr>
      <w:r>
        <w:rPr>
          <w:rFonts w:ascii="Arial;sans-serif" w:hAnsi="Arial;sans-serif"/>
          <w:b/>
          <w:sz w:val="20"/>
        </w:rPr>
        <w:t>TO VOTE DURING THE ANNUAL MEETING</w:t>
      </w:r>
      <w:r>
        <w:rPr>
          <w:rFonts w:ascii="Arial;sans-serif" w:hAnsi="Arial;sans-serif"/>
          <w:b w:val="false"/>
          <w:sz w:val="20"/>
        </w:rPr>
        <w:t>: To vote during the live webcast of the Annual Meeting, you must first register at 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 7:00 a.m. Pacific Time on June 6, 2023 pursuant to the unique access instructions they receive following their registration at www.proxydocs.com/ALHC.</w:t>
      </w:r>
    </w:p>
    <w:p>
      <w:pPr>
        <w:pStyle w:val="TextBody"/>
        <w:spacing w:before="240" w:after="0"/>
        <w:jc w:val="left"/>
        <w:rPr/>
      </w:pPr>
      <w:r>
        <w:rPr/>
        <w:t>•</w:t>
      </w:r>
    </w:p>
    <w:p>
      <w:pPr>
        <w:pStyle w:val="TextBody"/>
        <w:spacing w:before="240" w:after="0"/>
        <w:jc w:val="left"/>
        <w:rPr/>
      </w:pPr>
      <w:r>
        <w:rPr>
          <w:rFonts w:ascii="Arial;sans-serif" w:hAnsi="Arial;sans-serif"/>
          <w:b/>
          <w:sz w:val="20"/>
        </w:rPr>
        <w:t>TO VOTE BY PHONE</w:t>
      </w:r>
      <w:r>
        <w:rPr>
          <w:rFonts w:ascii="Arial;sans-serif" w:hAnsi="Arial;sans-serif"/>
          <w:b w:val="false"/>
          <w:sz w:val="20"/>
        </w:rPr>
        <w:t>: To vote by telephone, dial toll-free 866-314-3346 using any touch-tone telephone and follow the recorded instructions.</w:t>
      </w:r>
    </w:p>
    <w:p>
      <w:pPr>
        <w:pStyle w:val="TextBody"/>
        <w:spacing w:before="240" w:after="0"/>
        <w:jc w:val="left"/>
        <w:rPr/>
      </w:pPr>
      <w:r>
        <w:rPr/>
        <w:t>•</w:t>
      </w:r>
    </w:p>
    <w:p>
      <w:pPr>
        <w:pStyle w:val="TextBody"/>
        <w:spacing w:before="240" w:after="283"/>
        <w:jc w:val="left"/>
        <w:rPr/>
      </w:pPr>
      <w:r>
        <w:rPr>
          <w:rFonts w:ascii="Arial;sans-serif" w:hAnsi="Arial;sans-serif"/>
          <w:b/>
          <w:sz w:val="20"/>
        </w:rPr>
        <w:t>TO VOTE BY INTERNET</w:t>
      </w:r>
      <w:r>
        <w:rPr>
          <w:rFonts w:ascii="Arial;sans-serif" w:hAnsi="Arial;sans-serif"/>
          <w:b w:val="false"/>
          <w:sz w:val="20"/>
        </w:rPr>
        <w:t xml:space="preserve">: To vote through the Internet, you may complete an electronic proxy card at www.proxydocs.com/ALHC. </w:t>
      </w:r>
    </w:p>
    <w:p>
      <w:pPr>
        <w:pStyle w:val="TextBody"/>
        <w:spacing w:before="240" w:after="0"/>
        <w:jc w:val="left"/>
        <w:rPr>
          <w:rFonts w:ascii="Times New Roman" w:hAnsi="Times New Roman"/>
          <w:sz w:val="20"/>
        </w:rPr>
      </w:pPr>
      <w:r>
        <w:rPr>
          <w:rFonts w:ascii="Arial;sans-serif" w:hAnsi="Arial;sans-serif"/>
          <w:b w:val="false"/>
          <w:sz w:val="20"/>
        </w:rPr>
        <w:t>The Board has appointed John Kao and Thomas Freeman to serve as proxy holders to vote your shares according to the instructions you submit. If you properly submit a proxy but do not indicate how you want your shares to be voted on one or more items, your shares will be voted on such items in accordance with the recommendations of our Board as set forth above under “</w:t>
      </w:r>
      <w:r>
        <w:rPr>
          <w:rFonts w:ascii="Arial;sans-serif" w:hAnsi="Arial;sans-serif"/>
          <w:b w:val="false"/>
          <w:i/>
          <w:sz w:val="20"/>
        </w:rPr>
        <w:t>What will I be voting on?</w:t>
      </w:r>
      <w:r>
        <w:rPr>
          <w:rFonts w:ascii="Times New Roman" w:hAnsi="Times New Roman"/>
          <w:sz w:val="20"/>
        </w:rPr>
        <w:t xml:space="preserve">” </w:t>
      </w:r>
      <w:r>
        <w:rPr>
          <w:rFonts w:ascii="Arial;sans-serif" w:hAnsi="Arial;sans-serif"/>
          <w:b w:val="false"/>
          <w:sz w:val="20"/>
        </w:rPr>
        <w:t>With respect to any other matter properly presented at the Annual Meeting, your proxy, if properly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submitted, gives authority to the proxy holders to vote your shares on such matter in accordance with their best judgment.</w:t>
      </w:r>
    </w:p>
    <w:p>
      <w:pPr>
        <w:pStyle w:val="TextBody"/>
        <w:spacing w:before="240" w:after="0"/>
        <w:jc w:val="left"/>
        <w:rPr>
          <w:rFonts w:ascii="Times New Roman" w:hAnsi="Times New Roman"/>
          <w:sz w:val="20"/>
        </w:rPr>
      </w:pPr>
      <w:r>
        <w:rPr>
          <w:rFonts w:ascii="Arial;sans-serif" w:hAnsi="Arial;sans-serif"/>
          <w:b/>
          <w:sz w:val="20"/>
        </w:rPr>
        <w:t>Can I access the proxy materials electronically?</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val="false"/>
          <w:sz w:val="20"/>
        </w:rPr>
        <w:t>Yes. Your notice, proxy card or voting instruction card will contain instructions on how to:</w:t>
      </w:r>
      <w:r>
        <w:rPr>
          <w:rFonts w:ascii="Times New Roman" w:hAnsi="Times New Roman"/>
          <w:sz w:val="20"/>
        </w:rPr>
        <w:t xml:space="preserve"> </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Arial;sans-serif" w:hAnsi="Arial;sans-serif"/>
          <w:b w:val="false"/>
          <w:sz w:val="20"/>
        </w:rPr>
      </w:pPr>
      <w:r>
        <w:rPr>
          <w:rFonts w:ascii="Arial;sans-serif" w:hAnsi="Arial;sans-serif"/>
          <w:b w:val="false"/>
          <w:sz w:val="20"/>
        </w:rPr>
        <w:t xml:space="preserve">view our proxy materials for the Annual Meeting on the Internet; and </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rFonts w:ascii="Arial;sans-serif" w:hAnsi="Arial;sans-serif"/>
          <w:b w:val="false"/>
          <w:sz w:val="20"/>
        </w:rPr>
      </w:pPr>
      <w:r>
        <w:rPr>
          <w:rFonts w:ascii="Arial;sans-serif" w:hAnsi="Arial;sans-serif"/>
          <w:b w:val="false"/>
          <w:sz w:val="20"/>
        </w:rPr>
        <w:t>instruct us to send our future proxy materials to you electronically by e-mail.</w:t>
      </w:r>
    </w:p>
    <w:p>
      <w:pPr>
        <w:pStyle w:val="TextBody"/>
        <w:spacing w:before="200" w:after="0"/>
        <w:jc w:val="left"/>
        <w:rPr>
          <w:rFonts w:ascii="Times New Roman" w:hAnsi="Times New Roman"/>
          <w:sz w:val="20"/>
        </w:rPr>
      </w:pPr>
      <w:r>
        <w:rPr>
          <w:rFonts w:ascii="Arial;sans-serif" w:hAnsi="Arial;sans-serif"/>
          <w:b w:val="false"/>
          <w:sz w:val="20"/>
        </w:rPr>
        <w:t>Our proxy materials are also available at www.proxydocs.com/ALHC and our proxy materials will be available starting on April 26,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sz w:val="20"/>
        </w:rPr>
        <w:t>How may I change or revoke my proxy?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Beneficial Stockholders</w:t>
      </w:r>
      <w:r>
        <w:rPr>
          <w:rFonts w:ascii="Arial;sans-serif" w:hAnsi="Arial;sans-serif"/>
          <w:b w:val="false"/>
          <w:sz w:val="20"/>
        </w:rPr>
        <w:t>. Beneficial stockholders should contact their broker, trustee or nominee for instructions on how to change their proxy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Registered Stockholders</w:t>
      </w:r>
      <w:r>
        <w:rPr>
          <w:rFonts w:ascii="Arial;sans-serif" w:hAnsi="Arial;sans-serif"/>
          <w:b w:val="false"/>
          <w:sz w:val="20"/>
        </w:rPr>
        <w:t>. Registered stockholders may change a properly executed proxy at any time before its exercise by:</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Arial;sans-serif" w:hAnsi="Arial;sans-serif"/>
          <w:b w:val="false"/>
          <w:sz w:val="20"/>
        </w:rPr>
      </w:pPr>
      <w:r>
        <w:rPr>
          <w:rFonts w:ascii="Arial;sans-serif" w:hAnsi="Arial;sans-serif"/>
          <w:b w:val="false"/>
          <w:sz w:val="20"/>
        </w:rPr>
        <w:t xml:space="preserve">delivering written notice of revocation to the General Counsel and Secretary at our principal executive offices at 1100 W. Town &amp; Country Rd., Suite 1600, Orange, CA 92868; </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0"/>
        <w:jc w:val="left"/>
        <w:rPr>
          <w:rFonts w:ascii="Arial;sans-serif" w:hAnsi="Arial;sans-serif"/>
          <w:b w:val="false"/>
          <w:sz w:val="20"/>
        </w:rPr>
      </w:pPr>
      <w:r>
        <w:rPr>
          <w:rFonts w:ascii="Arial;sans-serif" w:hAnsi="Arial;sans-serif"/>
          <w:b w:val="false"/>
          <w:sz w:val="20"/>
        </w:rPr>
        <w:t xml:space="preserve">submitting another proxy that is dated later than the original proxy (including a proxy via telephone or Internet); or </w:t>
      </w:r>
    </w:p>
    <w:p>
      <w:pPr>
        <w:pStyle w:val="TextBody"/>
        <w:spacing w:before="200" w:after="0"/>
        <w:jc w:val="left"/>
        <w:rPr>
          <w:rFonts w:ascii="Times New Roman" w:hAnsi="Times New Roman"/>
          <w:b w:val="false"/>
          <w:sz w:val="20"/>
        </w:rPr>
      </w:pPr>
      <w:r>
        <w:rPr>
          <w:rFonts w:ascii="Times New Roman" w:hAnsi="Times New Roman"/>
          <w:b w:val="false"/>
          <w:sz w:val="20"/>
        </w:rPr>
        <w:t>3.</w:t>
      </w:r>
    </w:p>
    <w:p>
      <w:pPr>
        <w:pStyle w:val="TextBody"/>
        <w:spacing w:before="200" w:after="283"/>
        <w:jc w:val="left"/>
        <w:rPr>
          <w:rFonts w:ascii="Arial;sans-serif" w:hAnsi="Arial;sans-serif"/>
          <w:b w:val="false"/>
          <w:sz w:val="20"/>
        </w:rPr>
      </w:pPr>
      <w:r>
        <w:rPr>
          <w:rFonts w:ascii="Arial;sans-serif" w:hAnsi="Arial;sans-serif"/>
          <w:b w:val="false"/>
          <w:sz w:val="20"/>
        </w:rPr>
        <w:t xml:space="preserve">voting via the Internet at the Annual Meeting. </w:t>
      </w:r>
    </w:p>
    <w:p>
      <w:pPr>
        <w:pStyle w:val="TextBody"/>
        <w:spacing w:before="24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0"/>
        </w:rPr>
        <w:t>What is the voting requirement to approve each of the proposals, and how are the votes counted?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850"/>
        <w:gridCol w:w="3909"/>
        <w:gridCol w:w="1411"/>
        <w:gridCol w:w="2035"/>
      </w:tblGrid>
      <w:tr>
        <w:trPr/>
        <w:tc>
          <w:tcPr>
            <w:tcW w:w="2850" w:type="dxa"/>
            <w:tcBorders/>
            <w:shd w:fill="FFFFFF" w:val="clear"/>
            <w:vAlign w:val="center"/>
          </w:tcPr>
          <w:p>
            <w:pPr>
              <w:pStyle w:val="TableContents"/>
              <w:spacing w:before="0" w:after="283"/>
              <w:rPr>
                <w:sz w:val="4"/>
                <w:szCs w:val="4"/>
              </w:rPr>
            </w:pPr>
            <w:r>
              <w:rPr>
                <w:sz w:val="4"/>
                <w:szCs w:val="4"/>
              </w:rPr>
            </w:r>
          </w:p>
        </w:tc>
        <w:tc>
          <w:tcPr>
            <w:tcW w:w="3909"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2035" w:type="dxa"/>
            <w:tcBorders/>
            <w:shd w:fill="FFFFFF" w:val="clear"/>
            <w:vAlign w:val="center"/>
          </w:tcPr>
          <w:p>
            <w:pPr>
              <w:pStyle w:val="TableContents"/>
              <w:spacing w:before="0" w:after="283"/>
              <w:rPr>
                <w:sz w:val="4"/>
                <w:szCs w:val="4"/>
              </w:rPr>
            </w:pPr>
            <w:r>
              <w:rPr>
                <w:sz w:val="4"/>
                <w:szCs w:val="4"/>
              </w:rPr>
            </w:r>
          </w:p>
        </w:tc>
      </w:tr>
      <w:tr>
        <w:trPr/>
        <w:tc>
          <w:tcPr>
            <w:tcW w:w="2850" w:type="dxa"/>
            <w:tcBorders>
              <w:bottom w:val="single" w:sz="12" w:space="0" w:color="000000"/>
            </w:tcBorders>
            <w:shd w:fill="auto" w:val="clear"/>
            <w:tcMar>
              <w:top w:w="0" w:type="dxa"/>
              <w:left w:w="0" w:type="dxa"/>
              <w:right w:w="0" w:type="dxa"/>
            </w:tcMar>
            <w:vAlign w:val="center"/>
          </w:tcPr>
          <w:p>
            <w:pPr>
              <w:pStyle w:val="TableContents"/>
              <w:spacing w:before="240" w:after="80"/>
              <w:ind w:left="0" w:right="0" w:hanging="0"/>
              <w:jc w:val="center"/>
              <w:rPr>
                <w:rFonts w:ascii="Arial;sans-serif" w:hAnsi="Arial;sans-serif"/>
                <w:b/>
                <w:i/>
                <w:sz w:val="18"/>
              </w:rPr>
            </w:pPr>
            <w:r>
              <w:rPr>
                <w:rFonts w:ascii="Arial;sans-serif" w:hAnsi="Arial;sans-serif"/>
                <w:b/>
                <w:i/>
                <w:sz w:val="18"/>
              </w:rPr>
              <w:t>Proposal</w:t>
            </w:r>
          </w:p>
        </w:tc>
        <w:tc>
          <w:tcPr>
            <w:tcW w:w="3909" w:type="dxa"/>
            <w:tcBorders>
              <w:bottom w:val="single" w:sz="12" w:space="0" w:color="000000"/>
            </w:tcBorders>
            <w:shd w:fill="auto" w:val="clear"/>
            <w:tcMar>
              <w:top w:w="0" w:type="dxa"/>
              <w:left w:w="0" w:type="dxa"/>
              <w:right w:w="0" w:type="dxa"/>
            </w:tcMar>
            <w:vAlign w:val="center"/>
          </w:tcPr>
          <w:p>
            <w:pPr>
              <w:pStyle w:val="TableContents"/>
              <w:spacing w:before="240" w:after="80"/>
              <w:ind w:left="0" w:right="0" w:hanging="0"/>
              <w:jc w:val="center"/>
              <w:rPr>
                <w:rFonts w:ascii="Times New Roman" w:hAnsi="Times New Roman"/>
                <w:sz w:val="18"/>
              </w:rPr>
            </w:pPr>
            <w:r>
              <w:rPr>
                <w:rFonts w:ascii="Arial;sans-serif" w:hAnsi="Arial;sans-serif"/>
                <w:b/>
                <w:i/>
                <w:sz w:val="18"/>
              </w:rPr>
              <w:t>Vote Required for Approval</w:t>
            </w:r>
            <w:r>
              <w:rPr>
                <w:rFonts w:ascii="Arial;sans-serif" w:hAnsi="Arial;sans-serif"/>
                <w:b/>
                <w:i/>
                <w:sz w:val="12"/>
              </w:rPr>
              <w:t>(1)</w:t>
            </w:r>
          </w:p>
        </w:tc>
        <w:tc>
          <w:tcPr>
            <w:tcW w:w="1411" w:type="dxa"/>
            <w:tcBorders>
              <w:bottom w:val="single" w:sz="12" w:space="0" w:color="000000"/>
            </w:tcBorders>
            <w:shd w:fill="auto" w:val="clear"/>
            <w:tcMar>
              <w:top w:w="0" w:type="dxa"/>
              <w:left w:w="0" w:type="dxa"/>
              <w:right w:w="0" w:type="dxa"/>
            </w:tcMar>
            <w:vAlign w:val="center"/>
          </w:tcPr>
          <w:p>
            <w:pPr>
              <w:pStyle w:val="TableContents"/>
              <w:spacing w:before="240" w:after="80"/>
              <w:ind w:left="0" w:right="0" w:hanging="0"/>
              <w:jc w:val="center"/>
              <w:rPr>
                <w:rFonts w:ascii="Times New Roman" w:hAnsi="Times New Roman"/>
                <w:sz w:val="18"/>
              </w:rPr>
            </w:pPr>
            <w:r>
              <w:rPr>
                <w:rFonts w:ascii="Arial;sans-serif" w:hAnsi="Arial;sans-serif"/>
                <w:b/>
                <w:i/>
                <w:sz w:val="18"/>
              </w:rPr>
              <w:t>Effect of Abstentions</w:t>
            </w:r>
            <w:r>
              <w:rPr>
                <w:rFonts w:ascii="Arial;sans-serif" w:hAnsi="Arial;sans-serif"/>
                <w:b/>
                <w:i/>
                <w:sz w:val="12"/>
              </w:rPr>
              <w:t>(2)</w:t>
            </w:r>
          </w:p>
        </w:tc>
        <w:tc>
          <w:tcPr>
            <w:tcW w:w="2035" w:type="dxa"/>
            <w:tcBorders>
              <w:bottom w:val="single" w:sz="12" w:space="0" w:color="000000"/>
            </w:tcBorders>
            <w:shd w:fill="auto" w:val="clear"/>
            <w:tcMar>
              <w:top w:w="0" w:type="dxa"/>
              <w:left w:w="0" w:type="dxa"/>
              <w:right w:w="0" w:type="dxa"/>
            </w:tcMar>
            <w:vAlign w:val="center"/>
          </w:tcPr>
          <w:p>
            <w:pPr>
              <w:pStyle w:val="TableContents"/>
              <w:spacing w:before="240" w:after="80"/>
              <w:ind w:left="0" w:right="0" w:hanging="0"/>
              <w:jc w:val="center"/>
              <w:rPr>
                <w:rFonts w:ascii="Times New Roman" w:hAnsi="Times New Roman"/>
                <w:sz w:val="18"/>
              </w:rPr>
            </w:pPr>
            <w:r>
              <w:rPr>
                <w:rFonts w:ascii="Arial;sans-serif" w:hAnsi="Arial;sans-serif"/>
                <w:b/>
                <w:i/>
                <w:sz w:val="18"/>
              </w:rPr>
              <w:t>Effect of Broker Non-Votes</w:t>
            </w:r>
            <w:r>
              <w:rPr>
                <w:rFonts w:ascii="Arial;sans-serif" w:hAnsi="Arial;sans-serif"/>
                <w:b/>
                <w:i/>
                <w:sz w:val="12"/>
              </w:rPr>
              <w:t>(2)</w:t>
            </w:r>
          </w:p>
        </w:tc>
      </w:tr>
      <w:tr>
        <w:trPr/>
        <w:tc>
          <w:tcPr>
            <w:tcW w:w="285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(1) Election of Directors</w:t>
            </w:r>
          </w:p>
        </w:tc>
        <w:tc>
          <w:tcPr>
            <w:tcW w:w="390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Times New Roman" w:hAnsi="Times New Roman"/>
                <w:sz w:val="18"/>
              </w:rPr>
            </w:pPr>
            <w:r>
              <w:rPr>
                <w:rFonts w:ascii="Arial;sans-serif" w:hAnsi="Arial;sans-serif"/>
                <w:b w:val="false"/>
                <w:sz w:val="18"/>
              </w:rPr>
              <w:t>Plurality of the votes cast at the Annual Meeting</w:t>
            </w:r>
            <w:r>
              <w:rPr>
                <w:rFonts w:ascii="Arial;sans-serif" w:hAnsi="Arial;sans-serif"/>
                <w:b w:val="false"/>
                <w:sz w:val="12"/>
              </w:rPr>
              <w:t>(3)</w:t>
            </w:r>
          </w:p>
        </w:tc>
        <w:tc>
          <w:tcPr>
            <w:tcW w:w="14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Not applicable</w:t>
            </w:r>
          </w:p>
        </w:tc>
        <w:tc>
          <w:tcPr>
            <w:tcW w:w="2035"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 effect</w:t>
            </w:r>
          </w:p>
        </w:tc>
      </w:tr>
      <w:tr>
        <w:trPr/>
        <w:tc>
          <w:tcPr>
            <w:tcW w:w="285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(2) Ratification of Appointment of Independent Registered Public Accounting Form</w:t>
            </w:r>
          </w:p>
        </w:tc>
        <w:tc>
          <w:tcPr>
            <w:tcW w:w="390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Affirmative vote of a majority of the voting power present in person or represented by proxy at the Annual Meeting and entitled to vote on the matter</w:t>
            </w:r>
          </w:p>
        </w:tc>
        <w:tc>
          <w:tcPr>
            <w:tcW w:w="14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Times New Roman" w:hAnsi="Times New Roman"/>
                <w:sz w:val="18"/>
              </w:rPr>
            </w:pPr>
            <w:r>
              <w:rPr>
                <w:rFonts w:ascii="Arial;sans-serif" w:hAnsi="Arial;sans-serif"/>
                <w:b w:val="false"/>
                <w:sz w:val="18"/>
              </w:rPr>
              <w:t>Vote “Against”</w:t>
            </w:r>
            <w:r>
              <w:rPr>
                <w:rFonts w:ascii="Arial;sans-serif" w:hAnsi="Arial;sans-serif"/>
                <w:b w:val="false"/>
                <w:sz w:val="12"/>
              </w:rPr>
              <w:t>(4)</w:t>
            </w:r>
          </w:p>
        </w:tc>
        <w:tc>
          <w:tcPr>
            <w:tcW w:w="2035"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Not applicable (brokers may vote uninstructed shares)</w:t>
            </w:r>
          </w:p>
        </w:tc>
      </w:tr>
      <w:tr>
        <w:trPr/>
        <w:tc>
          <w:tcPr>
            <w:tcW w:w="285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(3) Approval, on an Advisory Basis, of Executive Compensation</w:t>
            </w:r>
          </w:p>
        </w:tc>
        <w:tc>
          <w:tcPr>
            <w:tcW w:w="390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Affirmative vote of a majority of the voting power present in person or represented by proxy at the Annual Meeting and entitled to vote on the matter</w:t>
            </w:r>
          </w:p>
        </w:tc>
        <w:tc>
          <w:tcPr>
            <w:tcW w:w="14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Times New Roman" w:hAnsi="Times New Roman"/>
                <w:sz w:val="18"/>
              </w:rPr>
            </w:pPr>
            <w:r>
              <w:rPr>
                <w:rFonts w:ascii="Arial;sans-serif" w:hAnsi="Arial;sans-serif"/>
                <w:b w:val="false"/>
                <w:sz w:val="18"/>
              </w:rPr>
              <w:t>Vote “Against”</w:t>
            </w:r>
            <w:r>
              <w:rPr>
                <w:rFonts w:ascii="Arial;sans-serif" w:hAnsi="Arial;sans-serif"/>
                <w:b w:val="false"/>
                <w:sz w:val="12"/>
              </w:rPr>
              <w:t>(4)</w:t>
            </w:r>
          </w:p>
        </w:tc>
        <w:tc>
          <w:tcPr>
            <w:tcW w:w="2035"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 effect</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Arial;sans-serif" w:hAnsi="Arial;sans-serif"/>
          <w:b w:val="false"/>
          <w:sz w:val="16"/>
        </w:rPr>
      </w:pPr>
      <w:r>
        <w:rPr>
          <w:rFonts w:ascii="Arial;sans-serif" w:hAnsi="Arial;sans-serif"/>
          <w:b w:val="false"/>
          <w:sz w:val="16"/>
        </w:rPr>
        <w:t>Proxy cards that are signed and returned but include unmarked votes will be voted in accordance with our Board’s recommendations.</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Arial;sans-serif" w:hAnsi="Arial;sans-serif"/>
          <w:b w:val="false"/>
          <w:sz w:val="16"/>
        </w:rPr>
      </w:pPr>
      <w:r>
        <w:rPr>
          <w:rFonts w:ascii="Arial;sans-serif" w:hAnsi="Arial;sans-serif"/>
          <w:b w:val="false"/>
          <w:sz w:val="16"/>
        </w:rPr>
        <w:t>If you are a beneficial owner whose shares are held of record by a broker or other New York Stock Exchange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3, because they are not considered to be shares entitled to vote on these “non-routine” matters. Proposal 2 is a “routine” matter, and so brokers are permitted discretionary authority to vote.</w:t>
      </w:r>
    </w:p>
    <w:p>
      <w:pPr>
        <w:pStyle w:val="TextBody"/>
        <w:spacing w:before="240" w:after="0"/>
        <w:jc w:val="left"/>
        <w:rPr>
          <w:rFonts w:ascii="Times New Roman" w:hAnsi="Times New Roman"/>
          <w:b w:val="false"/>
          <w:sz w:val="16"/>
        </w:rPr>
      </w:pPr>
      <w:r>
        <w:rPr>
          <w:rFonts w:ascii="Times New Roman" w:hAnsi="Times New Roman"/>
          <w:b w:val="false"/>
          <w:sz w:val="16"/>
        </w:rPr>
        <w:t>(3)</w:t>
      </w:r>
    </w:p>
    <w:p>
      <w:pPr>
        <w:pStyle w:val="TextBody"/>
        <w:spacing w:before="240" w:after="0"/>
        <w:jc w:val="left"/>
        <w:rPr>
          <w:rFonts w:ascii="Arial;sans-serif" w:hAnsi="Arial;sans-serif"/>
          <w:b w:val="false"/>
          <w:sz w:val="16"/>
        </w:rPr>
      </w:pPr>
      <w:r>
        <w:rPr>
          <w:rFonts w:ascii="Arial;sans-serif" w:hAnsi="Arial;sans-serif"/>
          <w:b w:val="false"/>
          <w:sz w:val="16"/>
        </w:rPr>
        <w:t>A plurality of the votes cast by the shares of common stock present or represented by proxy at the meeting and entitled to vote thereon is required to elect each nominee named herein. This means that the four nominees receiving the highest number of votes at the Annual Meeting will be elected, even if those votes do not constitute a majority of the votes cast.</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283"/>
        <w:jc w:val="left"/>
        <w:rPr>
          <w:rFonts w:ascii="Arial;sans-serif" w:hAnsi="Arial;sans-serif"/>
          <w:b w:val="false"/>
          <w:sz w:val="16"/>
        </w:rPr>
      </w:pPr>
      <w:r>
        <w:rPr>
          <w:rFonts w:ascii="Arial;sans-serif" w:hAnsi="Arial;sans-serif"/>
          <w:b w:val="false"/>
          <w:sz w:val="16"/>
        </w:rPr>
        <w:t>Abstentions will be counted as present and entitled to vote on the proposals and will therefore have the effect of a negative vote.</w:t>
      </w:r>
    </w:p>
    <w:p>
      <w:pPr>
        <w:pStyle w:val="TextBody"/>
        <w:spacing w:before="240" w:after="0"/>
        <w:jc w:val="left"/>
        <w:rPr>
          <w:rFonts w:ascii="Arial;sans-serif" w:hAnsi="Arial;sans-serif"/>
          <w:b/>
          <w:sz w:val="20"/>
        </w:rPr>
      </w:pPr>
      <w:r>
        <w:rPr>
          <w:rFonts w:ascii="Arial;sans-serif" w:hAnsi="Arial;sans-serif"/>
          <w:b/>
          <w:sz w:val="20"/>
        </w:rPr>
        <w:t>What is a “broker non-vote”?</w:t>
      </w:r>
    </w:p>
    <w:p>
      <w:pPr>
        <w:pStyle w:val="TextBody"/>
        <w:spacing w:before="240" w:after="0"/>
        <w:jc w:val="left"/>
        <w:rPr>
          <w:rFonts w:ascii="Arial;sans-serif" w:hAnsi="Arial;sans-serif"/>
          <w:b w:val="false"/>
          <w:sz w:val="20"/>
        </w:rPr>
      </w:pPr>
      <w:r>
        <w:rPr>
          <w:rFonts w:ascii="Arial;sans-serif" w:hAnsi="Arial;sans-serif"/>
          <w:b w:val="false"/>
          <w:sz w:val="20"/>
        </w:rPr>
        <w:t>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2 is considered a “routine” matter.</w:t>
      </w:r>
    </w:p>
    <w:p>
      <w:pPr>
        <w:pStyle w:val="TextBody"/>
        <w:spacing w:before="240" w:after="0"/>
        <w:jc w:val="left"/>
        <w:rPr>
          <w:rFonts w:ascii="Arial;sans-serif" w:hAnsi="Arial;sans-serif"/>
          <w:b/>
          <w:sz w:val="20"/>
        </w:rPr>
      </w:pPr>
      <w:r>
        <w:rPr>
          <w:rFonts w:ascii="Arial;sans-serif" w:hAnsi="Arial;sans-serif"/>
          <w:b/>
          <w:sz w:val="20"/>
        </w:rPr>
        <w:t>What constitutes a “quorum”?</w:t>
      </w:r>
    </w:p>
    <w:p>
      <w:pPr>
        <w:pStyle w:val="TextBody"/>
        <w:spacing w:before="240" w:after="0"/>
        <w:jc w:val="left"/>
        <w:rPr>
          <w:rFonts w:ascii="Arial;sans-serif" w:hAnsi="Arial;sans-serif"/>
          <w:b w:val="false"/>
          <w:sz w:val="20"/>
        </w:rPr>
      </w:pPr>
      <w:r>
        <w:rPr>
          <w:rFonts w:ascii="Arial;sans-serif" w:hAnsi="Arial;sans-serif"/>
          <w:b w:val="false"/>
          <w:sz w:val="20"/>
        </w:rPr>
        <w:t>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w:t>
      </w:r>
    </w:p>
    <w:p>
      <w:pPr>
        <w:pStyle w:val="TextBody"/>
        <w:spacing w:before="24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sz w:val="20"/>
        </w:rPr>
        <w:t>When will the results of the vote be announced?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preliminary voting results will be announced at the Annual Meeting. The final voting results will be published in a Current Report on Form 8-K filed with the SEC within four business days after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sz w:val="20"/>
        </w:rPr>
        <w:t>What is the deadline for submitting a stockholder proposal or director nomination for the 2024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Stockholder proposals pursuant to SEC Rule 14a-8 for inclusion in the proxy statement and form of proxy for Alignment’s Annual Meeting of Stockholders to be held in 2024 must be received by us at our principal executive offices at 1100 W. Town &amp; Country Rd., Suite 1600, Orange, CA 92868 no later than the close of business on December 28, 2023. Stockholders wishing to make a director nomination or bring a proposal before the annual meeting to be held in 2024 (but not include it in our proxy materials) must provide written notice of such proposal to the General Counsel and Secretary at our principal executive offices no later than March 8, 2024 and not earlier than February 7, 2024, assuming we do not change the date of the 2024 annual meeting of stockholders by more than 30 days before or after the anniversary of the 2023 Annual Meeting. If we do, we will release an updated time frame for stockholder proposals. Any stockholder proposal or director nomination must comply with the other provisions of our Amended and Restated Bylaws and be submitted in writing to the General Counsel and Secretary at our principal executive offices in the form provided for in our Amended and Restated Bylaws.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7, 2024.</w:t>
      </w:r>
    </w:p>
    <w:p>
      <w:pPr>
        <w:pStyle w:val="TextBody"/>
        <w:spacing w:before="24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bookmarkStart w:id="3" w:name="proxy_summary"/>
      <w:bookmarkEnd w:id="3"/>
      <w:r>
        <w:rPr>
          <w:rFonts w:ascii="Arial;sans-serif" w:hAnsi="Arial;sans-serif"/>
          <w:b/>
          <w:sz w:val="20"/>
        </w:rPr>
        <w:t>PROXY SUMMARY</w:t>
      </w:r>
    </w:p>
    <w:p>
      <w:pPr>
        <w:pStyle w:val="TextBody"/>
        <w:spacing w:before="240" w:after="0"/>
        <w:jc w:val="left"/>
        <w:rPr>
          <w:rFonts w:ascii="Times New Roman" w:hAnsi="Times New Roman"/>
          <w:sz w:val="20"/>
        </w:rPr>
      </w:pPr>
      <w:r>
        <w:rPr>
          <w:rFonts w:ascii="Arial;sans-serif" w:hAnsi="Arial;sans-serif"/>
          <w:b w:val="false"/>
          <w:i/>
          <w:sz w:val="20"/>
        </w:rPr>
        <w:t>This summary highlights certain information contained elsewhere in our proxy statement. This summary does not contain all of the information that you should consider, and you should carefully read the entire proxy statement and our 2022 Annual Report to Stockholders before voting.</w:t>
      </w:r>
      <w:r>
        <w:rPr>
          <w:rFonts w:ascii="Times New Roman" w:hAnsi="Times New Roman"/>
          <w:sz w:val="20"/>
        </w:rPr>
        <w:t xml:space="preserve"> </w:t>
      </w:r>
    </w:p>
    <w:p>
      <w:pPr>
        <w:pStyle w:val="TextBody"/>
        <w:spacing w:before="200" w:after="0"/>
        <w:jc w:val="left"/>
        <w:rPr>
          <w:rFonts w:ascii="Arial;sans-serif" w:hAnsi="Arial;sans-serif"/>
          <w:b/>
          <w:sz w:val="20"/>
        </w:rPr>
      </w:pPr>
      <w:r>
        <w:rPr>
          <w:rFonts w:ascii="Arial;sans-serif" w:hAnsi="Arial;sans-serif"/>
          <w:b/>
          <w:sz w:val="20"/>
        </w:rPr>
        <w:t>About Us</w:t>
      </w:r>
    </w:p>
    <w:p>
      <w:pPr>
        <w:pStyle w:val="TextBody"/>
        <w:spacing w:before="200" w:after="0"/>
        <w:jc w:val="left"/>
        <w:rPr>
          <w:rFonts w:ascii="Arial;sans-serif" w:hAnsi="Arial;sans-serif"/>
          <w:b w:val="false"/>
          <w:sz w:val="20"/>
        </w:rPr>
      </w:pPr>
      <w:r>
        <w:rPr>
          <w:rFonts w:ascii="Arial;sans-serif" w:hAnsi="Arial;sans-serif"/>
          <w:b w:val="false"/>
          <w:sz w:val="20"/>
        </w:rPr>
        <w:t>Alignment is a next generation, consumer-centric platform designed to improve the health 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 As of January 1, 2023, we had approximately 108,300 members enrolled in our health maintenance organization and preferred provider organization contracts in 52 markets across six states. Our ultimate goal is to bring this differentiated, advocacy-driven health care experience to millions of senior consumers in the United States and to become the most trusted senior health care brand in the country.</w:t>
      </w:r>
    </w:p>
    <w:p>
      <w:pPr>
        <w:pStyle w:val="TextBody"/>
        <w:spacing w:before="240" w:after="0"/>
        <w:jc w:val="center"/>
        <w:rPr/>
      </w:pPr>
      <w:r>
        <w:rPr/>
        <w:drawing>
          <wp:inline distT="0" distB="0" distL="0" distR="0">
            <wp:extent cx="59436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419100"/>
                    </a:xfrm>
                    <a:prstGeom prst="rect">
                      <a:avLst/>
                    </a:prstGeom>
                  </pic:spPr>
                </pic:pic>
              </a:graphicData>
            </a:graphic>
          </wp:inline>
        </w:drawing>
      </w:r>
      <w:r>
        <w:rPr/>
        <w:t> </w:t>
      </w:r>
    </w:p>
    <w:p>
      <w:pPr>
        <w:pStyle w:val="TextBody"/>
        <w:spacing w:before="240" w:after="0"/>
        <w:jc w:val="left"/>
        <w:rPr>
          <w:rFonts w:ascii="Arial;sans-serif" w:hAnsi="Arial;sans-serif"/>
          <w:b w:val="false"/>
          <w:sz w:val="20"/>
        </w:rPr>
      </w:pPr>
      <w:r>
        <w:rPr>
          <w:rFonts w:ascii="Arial;sans-serif" w:hAnsi="Arial;sans-serif"/>
          <w:b w:val="false"/>
          <w:sz w:val="20"/>
        </w:rPr>
        <w:t>Our platform was developed to align with the six core principles that we believe will be required to successfully deliver health care in the 21st century and that we believe represent our key competitive strengths. Our platform enables us to:</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leverage data, technology and analytics to power all aspects of our model;</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engage consumers directly and develop products to meet their needs;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proactively manage and coordinate care for our most vulnerable members;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empower providers and employ flexible care delivery models;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design and deploy innovative value-based payment models;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cultivate a culture of innovation.</w:t>
      </w:r>
    </w:p>
    <w:p>
      <w:pPr>
        <w:pStyle w:val="TextBody"/>
        <w:spacing w:before="240" w:after="120"/>
        <w:jc w:val="left"/>
        <w:rPr>
          <w:rFonts w:ascii="Arial;sans-serif" w:hAnsi="Arial;sans-serif"/>
          <w:b/>
          <w:sz w:val="20"/>
        </w:rPr>
      </w:pPr>
      <w:r>
        <w:rPr>
          <w:rFonts w:ascii="Arial;sans-serif" w:hAnsi="Arial;sans-serif"/>
          <w:b/>
          <w:sz w:val="20"/>
        </w:rPr>
        <w:t>Voting Matters and Board Recommendations</w:t>
      </w:r>
    </w:p>
    <w:tbl>
      <w:tblPr>
        <w:tblW w:w="10205" w:type="dxa"/>
        <w:jc w:val="left"/>
        <w:tblInd w:w="0" w:type="dxa"/>
        <w:tblCellMar>
          <w:top w:w="28" w:type="dxa"/>
          <w:left w:w="28" w:type="dxa"/>
          <w:bottom w:w="28" w:type="dxa"/>
          <w:right w:w="28" w:type="dxa"/>
        </w:tblCellMar>
      </w:tblPr>
      <w:tblGrid>
        <w:gridCol w:w="935"/>
        <w:gridCol w:w="2574"/>
        <w:gridCol w:w="4033"/>
        <w:gridCol w:w="1951"/>
        <w:gridCol w:w="712"/>
      </w:tblGrid>
      <w:tr>
        <w:trPr/>
        <w:tc>
          <w:tcPr>
            <w:tcW w:w="935" w:type="dxa"/>
            <w:tcBorders/>
            <w:shd w:fill="FFFFFF" w:val="clear"/>
            <w:vAlign w:val="center"/>
          </w:tcPr>
          <w:p>
            <w:pPr>
              <w:pStyle w:val="TableContents"/>
              <w:spacing w:before="0" w:after="283"/>
              <w:rPr>
                <w:sz w:val="4"/>
                <w:szCs w:val="4"/>
              </w:rPr>
            </w:pPr>
            <w:r>
              <w:rPr>
                <w:sz w:val="4"/>
                <w:szCs w:val="4"/>
              </w:rPr>
            </w:r>
          </w:p>
        </w:tc>
        <w:tc>
          <w:tcPr>
            <w:tcW w:w="2574" w:type="dxa"/>
            <w:tcBorders/>
            <w:shd w:fill="FFFFFF" w:val="clear"/>
            <w:vAlign w:val="center"/>
          </w:tcPr>
          <w:p>
            <w:pPr>
              <w:pStyle w:val="TableContents"/>
              <w:spacing w:before="0" w:after="283"/>
              <w:rPr>
                <w:sz w:val="4"/>
                <w:szCs w:val="4"/>
              </w:rPr>
            </w:pPr>
            <w:r>
              <w:rPr>
                <w:sz w:val="4"/>
                <w:szCs w:val="4"/>
              </w:rPr>
            </w:r>
          </w:p>
        </w:tc>
        <w:tc>
          <w:tcPr>
            <w:tcW w:w="4033" w:type="dxa"/>
            <w:tcBorders/>
            <w:shd w:fill="FFFFFF" w:val="clear"/>
            <w:vAlign w:val="center"/>
          </w:tcPr>
          <w:p>
            <w:pPr>
              <w:pStyle w:val="TableContents"/>
              <w:spacing w:before="0" w:after="283"/>
              <w:rPr>
                <w:sz w:val="4"/>
                <w:szCs w:val="4"/>
              </w:rPr>
            </w:pPr>
            <w:r>
              <w:rPr>
                <w:sz w:val="4"/>
                <w:szCs w:val="4"/>
              </w:rPr>
            </w:r>
          </w:p>
        </w:tc>
        <w:tc>
          <w:tcPr>
            <w:tcW w:w="1951" w:type="dxa"/>
            <w:tcBorders/>
            <w:shd w:fill="FFFFFF" w:val="clear"/>
            <w:vAlign w:val="center"/>
          </w:tcPr>
          <w:p>
            <w:pPr>
              <w:pStyle w:val="TableContents"/>
              <w:spacing w:before="0" w:after="283"/>
              <w:rPr>
                <w:sz w:val="4"/>
                <w:szCs w:val="4"/>
              </w:rPr>
            </w:pPr>
            <w:r>
              <w:rPr>
                <w:sz w:val="4"/>
                <w:szCs w:val="4"/>
              </w:rPr>
            </w:r>
          </w:p>
        </w:tc>
        <w:tc>
          <w:tcPr>
            <w:tcW w:w="712" w:type="dxa"/>
            <w:tcBorders/>
            <w:shd w:fill="FFFFFF" w:val="clear"/>
            <w:vAlign w:val="center"/>
          </w:tcPr>
          <w:p>
            <w:pPr>
              <w:pStyle w:val="TableContents"/>
              <w:spacing w:before="0" w:after="283"/>
              <w:rPr>
                <w:sz w:val="4"/>
                <w:szCs w:val="4"/>
              </w:rPr>
            </w:pPr>
            <w:r>
              <w:rPr>
                <w:sz w:val="4"/>
                <w:szCs w:val="4"/>
              </w:rPr>
            </w:r>
          </w:p>
        </w:tc>
      </w:tr>
      <w:tr>
        <w:trPr/>
        <w:tc>
          <w:tcPr>
            <w:tcW w:w="9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7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Voting Matter</w:t>
            </w:r>
          </w:p>
        </w:tc>
        <w:tc>
          <w:tcPr>
            <w:tcW w:w="40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Vote Standard</w:t>
            </w:r>
          </w:p>
        </w:tc>
        <w:tc>
          <w:tcPr>
            <w:tcW w:w="19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Board Vote Recommendation</w:t>
            </w:r>
          </w:p>
        </w:tc>
        <w:tc>
          <w:tcPr>
            <w:tcW w:w="71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See Page</w:t>
            </w:r>
          </w:p>
        </w:tc>
      </w:tr>
      <w:tr>
        <w:trPr/>
        <w:tc>
          <w:tcPr>
            <w:tcW w:w="9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Proposal 1</w:t>
            </w:r>
          </w:p>
        </w:tc>
        <w:tc>
          <w:tcPr>
            <w:tcW w:w="257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Election of Directors</w:t>
            </w:r>
          </w:p>
        </w:tc>
        <w:tc>
          <w:tcPr>
            <w:tcW w:w="403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Plurality of votes cast</w:t>
            </w:r>
          </w:p>
        </w:tc>
        <w:tc>
          <w:tcPr>
            <w:tcW w:w="19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FOR EACH NOMINEE</w:t>
            </w:r>
          </w:p>
        </w:tc>
        <w:tc>
          <w:tcPr>
            <w:tcW w:w="712"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12</w:t>
            </w:r>
          </w:p>
        </w:tc>
      </w:tr>
      <w:tr>
        <w:trPr/>
        <w:tc>
          <w:tcPr>
            <w:tcW w:w="9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Proposal 2</w:t>
            </w:r>
          </w:p>
        </w:tc>
        <w:tc>
          <w:tcPr>
            <w:tcW w:w="257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Ratification of Independent Registered Public Accounting Firm</w:t>
            </w:r>
          </w:p>
        </w:tc>
        <w:tc>
          <w:tcPr>
            <w:tcW w:w="403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Majority of voting power present in person or represented by proxy at the Annual Meeting and entitled to vote on the matter</w:t>
            </w:r>
          </w:p>
        </w:tc>
        <w:tc>
          <w:tcPr>
            <w:tcW w:w="19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FOR</w:t>
            </w:r>
          </w:p>
        </w:tc>
        <w:tc>
          <w:tcPr>
            <w:tcW w:w="712"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78</w:t>
            </w:r>
          </w:p>
        </w:tc>
      </w:tr>
      <w:tr>
        <w:trPr/>
        <w:tc>
          <w:tcPr>
            <w:tcW w:w="9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sz w:val="18"/>
              </w:rPr>
            </w:pPr>
            <w:r>
              <w:rPr>
                <w:rFonts w:ascii="Arial;sans-serif" w:hAnsi="Arial;sans-serif"/>
                <w:b/>
                <w:sz w:val="18"/>
              </w:rPr>
              <w:t>Proposal 3</w:t>
            </w:r>
          </w:p>
        </w:tc>
        <w:tc>
          <w:tcPr>
            <w:tcW w:w="257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Non-Binding, Advisory Vote on Executive Compensation</w:t>
            </w:r>
          </w:p>
        </w:tc>
        <w:tc>
          <w:tcPr>
            <w:tcW w:w="403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Majority of voting power present in person or represented by proxy at the Annual Meeting and entitled to vote on the matter</w:t>
            </w:r>
          </w:p>
        </w:tc>
        <w:tc>
          <w:tcPr>
            <w:tcW w:w="19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FOR</w:t>
            </w:r>
          </w:p>
        </w:tc>
        <w:tc>
          <w:tcPr>
            <w:tcW w:w="712"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81</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Our Director Nominees</w:t>
      </w:r>
    </w:p>
    <w:p>
      <w:pPr>
        <w:pStyle w:val="TextBody"/>
        <w:spacing w:before="200" w:after="200"/>
        <w:jc w:val="left"/>
        <w:rPr>
          <w:rFonts w:ascii="Times New Roman" w:hAnsi="Times New Roman"/>
          <w:sz w:val="20"/>
        </w:rPr>
      </w:pPr>
      <w:r>
        <w:rPr>
          <w:rFonts w:ascii="Arial;sans-serif" w:hAnsi="Arial;sans-serif"/>
          <w:b w:val="false"/>
          <w:sz w:val="20"/>
        </w:rPr>
        <w:t>You are being asked to vote on the election of the four Class II Directors listed below. For additional information about each nominee’s background and experience, please see “</w:t>
      </w:r>
      <w:r>
        <w:rPr>
          <w:rFonts w:ascii="Arial;sans-serif" w:hAnsi="Arial;sans-serif"/>
          <w:b w:val="false"/>
          <w:i/>
          <w:sz w:val="20"/>
        </w:rPr>
        <w:t>Proposal 1 – Election of Directors—Director Nominees to Serve for a Three-Year Term Expiring at the 2026 Annual Meeting</w:t>
      </w:r>
      <w:r>
        <w:rPr>
          <w:rFonts w:ascii="Times New Roman" w:hAnsi="Times New Roman"/>
          <w:sz w:val="20"/>
        </w:rPr>
        <w:t xml:space="preserve">” </w:t>
      </w:r>
      <w:r>
        <w:rPr>
          <w:rFonts w:ascii="Arial;sans-serif" w:hAnsi="Arial;sans-serif"/>
          <w:b w:val="false"/>
          <w:sz w:val="20"/>
        </w:rPr>
        <w:t>beginning on page 12.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356"/>
        <w:gridCol w:w="451"/>
        <w:gridCol w:w="1045"/>
        <w:gridCol w:w="1156"/>
        <w:gridCol w:w="3028"/>
        <w:gridCol w:w="3169"/>
      </w:tblGrid>
      <w:tr>
        <w:trPr/>
        <w:tc>
          <w:tcPr>
            <w:tcW w:w="1356" w:type="dxa"/>
            <w:tcBorders/>
            <w:shd w:fill="FFFFFF" w:val="clear"/>
            <w:vAlign w:val="center"/>
          </w:tcPr>
          <w:p>
            <w:pPr>
              <w:pStyle w:val="TableContents"/>
              <w:spacing w:before="0" w:after="283"/>
              <w:rPr>
                <w:sz w:val="4"/>
                <w:szCs w:val="4"/>
              </w:rPr>
            </w:pPr>
            <w:r>
              <w:rPr>
                <w:sz w:val="4"/>
                <w:szCs w:val="4"/>
              </w:rPr>
            </w:r>
          </w:p>
        </w:tc>
        <w:tc>
          <w:tcPr>
            <w:tcW w:w="451" w:type="dxa"/>
            <w:tcBorders/>
            <w:shd w:fill="FFFFFF" w:val="clear"/>
            <w:vAlign w:val="center"/>
          </w:tcPr>
          <w:p>
            <w:pPr>
              <w:pStyle w:val="TableContents"/>
              <w:spacing w:before="0" w:after="283"/>
              <w:rPr>
                <w:sz w:val="4"/>
                <w:szCs w:val="4"/>
              </w:rPr>
            </w:pPr>
            <w:r>
              <w:rPr>
                <w:sz w:val="4"/>
                <w:szCs w:val="4"/>
              </w:rPr>
            </w:r>
          </w:p>
        </w:tc>
        <w:tc>
          <w:tcPr>
            <w:tcW w:w="1045" w:type="dxa"/>
            <w:tcBorders/>
            <w:shd w:fill="FFFFFF" w:val="clear"/>
            <w:vAlign w:val="center"/>
          </w:tcPr>
          <w:p>
            <w:pPr>
              <w:pStyle w:val="TableContents"/>
              <w:spacing w:before="0" w:after="283"/>
              <w:rPr>
                <w:sz w:val="4"/>
                <w:szCs w:val="4"/>
              </w:rPr>
            </w:pPr>
            <w:r>
              <w:rPr>
                <w:sz w:val="4"/>
                <w:szCs w:val="4"/>
              </w:rPr>
            </w:r>
          </w:p>
        </w:tc>
        <w:tc>
          <w:tcPr>
            <w:tcW w:w="1156" w:type="dxa"/>
            <w:tcBorders/>
            <w:shd w:fill="FFFFFF" w:val="clear"/>
            <w:vAlign w:val="center"/>
          </w:tcPr>
          <w:p>
            <w:pPr>
              <w:pStyle w:val="TableContents"/>
              <w:spacing w:before="0" w:after="283"/>
              <w:rPr>
                <w:sz w:val="4"/>
                <w:szCs w:val="4"/>
              </w:rPr>
            </w:pPr>
            <w:r>
              <w:rPr>
                <w:sz w:val="4"/>
                <w:szCs w:val="4"/>
              </w:rPr>
            </w:r>
          </w:p>
        </w:tc>
        <w:tc>
          <w:tcPr>
            <w:tcW w:w="3028" w:type="dxa"/>
            <w:tcBorders/>
            <w:shd w:fill="FFFFFF" w:val="clear"/>
            <w:vAlign w:val="center"/>
          </w:tcPr>
          <w:p>
            <w:pPr>
              <w:pStyle w:val="TableContents"/>
              <w:spacing w:before="0" w:after="283"/>
              <w:rPr>
                <w:sz w:val="4"/>
                <w:szCs w:val="4"/>
              </w:rPr>
            </w:pPr>
            <w:r>
              <w:rPr>
                <w:sz w:val="4"/>
                <w:szCs w:val="4"/>
              </w:rPr>
            </w:r>
          </w:p>
        </w:tc>
        <w:tc>
          <w:tcPr>
            <w:tcW w:w="3169" w:type="dxa"/>
            <w:tcBorders/>
            <w:shd w:fill="FFFFFF" w:val="clear"/>
            <w:vAlign w:val="center"/>
          </w:tcPr>
          <w:p>
            <w:pPr>
              <w:pStyle w:val="TableContents"/>
              <w:spacing w:before="0" w:after="283"/>
              <w:rPr>
                <w:sz w:val="4"/>
                <w:szCs w:val="4"/>
              </w:rPr>
            </w:pPr>
            <w:r>
              <w:rPr>
                <w:sz w:val="4"/>
                <w:szCs w:val="4"/>
              </w:rPr>
            </w:r>
          </w:p>
        </w:tc>
      </w:tr>
      <w:tr>
        <w:trPr/>
        <w:tc>
          <w:tcPr>
            <w:tcW w:w="13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Name</w:t>
            </w:r>
          </w:p>
        </w:tc>
        <w:tc>
          <w:tcPr>
            <w:tcW w:w="4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Age</w:t>
            </w:r>
          </w:p>
        </w:tc>
        <w:tc>
          <w:tcPr>
            <w:tcW w:w="104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Director Since</w:t>
            </w:r>
          </w:p>
        </w:tc>
        <w:tc>
          <w:tcPr>
            <w:tcW w:w="11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Independent</w:t>
            </w:r>
          </w:p>
        </w:tc>
        <w:tc>
          <w:tcPr>
            <w:tcW w:w="302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 xml:space="preserve">Selected Skills and </w:t>
              <w:br/>
              <w:t>Qualifications</w:t>
            </w:r>
          </w:p>
        </w:tc>
        <w:tc>
          <w:tcPr>
            <w:tcW w:w="316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Committees</w:t>
            </w:r>
          </w:p>
        </w:tc>
      </w:tr>
      <w:tr>
        <w:trPr/>
        <w:tc>
          <w:tcPr>
            <w:tcW w:w="13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Jody Bilney</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61</w:t>
            </w:r>
          </w:p>
        </w:tc>
        <w:tc>
          <w:tcPr>
            <w:tcW w:w="104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2022</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60"/>
              <w:jc w:val="center"/>
              <w:rPr>
                <w:rFonts w:ascii="Arial;sans-serif" w:hAnsi="Arial;sans-serif"/>
                <w:b w:val="false"/>
                <w:sz w:val="18"/>
              </w:rPr>
            </w:pPr>
            <w:r>
              <w:rPr>
                <w:rFonts w:ascii="Arial;sans-serif" w:hAnsi="Arial;sans-serif"/>
                <w:b w:val="false"/>
                <w:sz w:val="18"/>
              </w:rPr>
              <w:t>Yes</w:t>
            </w:r>
          </w:p>
        </w:tc>
        <w:tc>
          <w:tcPr>
            <w:tcW w:w="302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Executive Leadership</w:t>
            </w:r>
          </w:p>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Health Care Industry Expertise</w:t>
            </w:r>
          </w:p>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Direct Consumer Markets Experience</w:t>
            </w:r>
          </w:p>
        </w:tc>
        <w:tc>
          <w:tcPr>
            <w:tcW w:w="316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Nominating, Corporate Governance and Compliance (“NCGCC”)</w:t>
            </w:r>
          </w:p>
        </w:tc>
      </w:tr>
      <w:tr>
        <w:trPr/>
        <w:tc>
          <w:tcPr>
            <w:tcW w:w="13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David Hodgson</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66</w:t>
            </w:r>
          </w:p>
        </w:tc>
        <w:tc>
          <w:tcPr>
            <w:tcW w:w="104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2018</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60"/>
              <w:jc w:val="center"/>
              <w:rPr>
                <w:rFonts w:ascii="Arial;sans-serif" w:hAnsi="Arial;sans-serif"/>
                <w:b w:val="false"/>
                <w:sz w:val="18"/>
              </w:rPr>
            </w:pPr>
            <w:r>
              <w:rPr>
                <w:rFonts w:ascii="Arial;sans-serif" w:hAnsi="Arial;sans-serif"/>
                <w:b w:val="false"/>
                <w:sz w:val="18"/>
              </w:rPr>
              <w:t>Yes</w:t>
            </w:r>
          </w:p>
        </w:tc>
        <w:tc>
          <w:tcPr>
            <w:tcW w:w="302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Nominating / Governance Experience</w:t>
            </w:r>
          </w:p>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Health Care Industry Expertise</w:t>
            </w:r>
          </w:p>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Capital Markets</w:t>
            </w:r>
          </w:p>
        </w:tc>
        <w:tc>
          <w:tcPr>
            <w:tcW w:w="316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NCGCC (Chair)</w:t>
            </w:r>
          </w:p>
        </w:tc>
      </w:tr>
      <w:tr>
        <w:trPr/>
        <w:tc>
          <w:tcPr>
            <w:tcW w:w="13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Jacqueline Kosecoff</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73</w:t>
            </w:r>
          </w:p>
        </w:tc>
        <w:tc>
          <w:tcPr>
            <w:tcW w:w="104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2017</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60"/>
              <w:jc w:val="center"/>
              <w:rPr>
                <w:rFonts w:ascii="Arial;sans-serif" w:hAnsi="Arial;sans-serif"/>
                <w:b w:val="false"/>
                <w:sz w:val="18"/>
              </w:rPr>
            </w:pPr>
            <w:r>
              <w:rPr>
                <w:rFonts w:ascii="Arial;sans-serif" w:hAnsi="Arial;sans-serif"/>
                <w:b w:val="false"/>
                <w:sz w:val="18"/>
              </w:rPr>
              <w:t>Yes</w:t>
            </w:r>
          </w:p>
        </w:tc>
        <w:tc>
          <w:tcPr>
            <w:tcW w:w="302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Executive Leadership</w:t>
            </w:r>
          </w:p>
          <w:p>
            <w:pPr>
              <w:pStyle w:val="TableContents"/>
              <w:spacing w:before="80" w:after="80"/>
              <w:ind w:left="0" w:right="0" w:hanging="0"/>
              <w:jc w:val="left"/>
              <w:rPr/>
            </w:pPr>
            <w:r>
              <w:rPr/>
              <w:t>•</w:t>
            </w:r>
          </w:p>
          <w:p>
            <w:pPr>
              <w:pStyle w:val="TableContents"/>
              <w:spacing w:before="80" w:after="80"/>
              <w:jc w:val="left"/>
              <w:rPr>
                <w:rFonts w:ascii="Arial;sans-serif" w:hAnsi="Arial;sans-serif"/>
                <w:b w:val="false"/>
                <w:sz w:val="18"/>
              </w:rPr>
            </w:pPr>
            <w:r>
              <w:rPr>
                <w:rFonts w:ascii="Arial;sans-serif" w:hAnsi="Arial;sans-serif"/>
                <w:b w:val="false"/>
                <w:sz w:val="18"/>
              </w:rPr>
              <w:t>Health Care Industry Expertise</w:t>
            </w:r>
          </w:p>
          <w:p>
            <w:pPr>
              <w:pStyle w:val="TableContents"/>
              <w:spacing w:before="80" w:after="80"/>
              <w:ind w:left="0" w:right="0" w:hanging="0"/>
              <w:jc w:val="left"/>
              <w:rPr/>
            </w:pPr>
            <w:r>
              <w:rPr/>
              <w:t>•</w:t>
            </w:r>
          </w:p>
          <w:p>
            <w:pPr>
              <w:pStyle w:val="TableContents"/>
              <w:spacing w:before="80" w:after="80"/>
              <w:jc w:val="left"/>
              <w:rPr>
                <w:rFonts w:ascii="Arial;sans-serif" w:hAnsi="Arial;sans-serif"/>
                <w:b w:val="false"/>
                <w:sz w:val="18"/>
              </w:rPr>
            </w:pPr>
            <w:r>
              <w:rPr>
                <w:rFonts w:ascii="Arial;sans-serif" w:hAnsi="Arial;sans-serif"/>
                <w:b w:val="false"/>
                <w:sz w:val="18"/>
              </w:rPr>
              <w:t>Compensation Committee Experience</w:t>
            </w:r>
          </w:p>
        </w:tc>
        <w:tc>
          <w:tcPr>
            <w:tcW w:w="316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Compensation</w:t>
            </w:r>
          </w:p>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NCGCC</w:t>
            </w:r>
          </w:p>
        </w:tc>
      </w:tr>
      <w:tr>
        <w:trPr/>
        <w:tc>
          <w:tcPr>
            <w:tcW w:w="13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Jeffrey Margolis</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59</w:t>
            </w:r>
          </w:p>
        </w:tc>
        <w:tc>
          <w:tcPr>
            <w:tcW w:w="104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60"/>
              <w:jc w:val="center"/>
              <w:rPr>
                <w:rFonts w:ascii="Arial;sans-serif" w:hAnsi="Arial;sans-serif"/>
                <w:b w:val="false"/>
                <w:sz w:val="18"/>
              </w:rPr>
            </w:pPr>
            <w:r>
              <w:rPr>
                <w:rFonts w:ascii="Arial;sans-serif" w:hAnsi="Arial;sans-serif"/>
                <w:b w:val="false"/>
                <w:sz w:val="18"/>
              </w:rPr>
              <w:t>Yes</w:t>
            </w:r>
          </w:p>
        </w:tc>
        <w:tc>
          <w:tcPr>
            <w:tcW w:w="302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80"/>
              <w:ind w:left="0" w:right="0" w:hanging="0"/>
              <w:jc w:val="left"/>
              <w:rPr/>
            </w:pPr>
            <w:r>
              <w:rPr/>
              <w:t>•</w:t>
            </w:r>
          </w:p>
          <w:p>
            <w:pPr>
              <w:pStyle w:val="TableContents"/>
              <w:spacing w:before="120" w:after="80"/>
              <w:jc w:val="left"/>
              <w:rPr>
                <w:rFonts w:ascii="Arial;sans-serif" w:hAnsi="Arial;sans-serif"/>
                <w:b w:val="false"/>
                <w:sz w:val="18"/>
              </w:rPr>
            </w:pPr>
            <w:r>
              <w:rPr>
                <w:rFonts w:ascii="Arial;sans-serif" w:hAnsi="Arial;sans-serif"/>
                <w:b w:val="false"/>
                <w:sz w:val="18"/>
              </w:rPr>
              <w:t>Executive Leadership Experience</w:t>
            </w:r>
          </w:p>
          <w:p>
            <w:pPr>
              <w:pStyle w:val="TableContents"/>
              <w:spacing w:before="80" w:after="80"/>
              <w:ind w:left="0" w:right="0" w:hanging="0"/>
              <w:jc w:val="left"/>
              <w:rPr/>
            </w:pPr>
            <w:r>
              <w:rPr/>
              <w:t>•</w:t>
            </w:r>
          </w:p>
          <w:p>
            <w:pPr>
              <w:pStyle w:val="TableContents"/>
              <w:spacing w:before="80" w:after="80"/>
              <w:jc w:val="left"/>
              <w:rPr>
                <w:rFonts w:ascii="Arial;sans-serif" w:hAnsi="Arial;sans-serif"/>
                <w:b w:val="false"/>
                <w:sz w:val="18"/>
              </w:rPr>
            </w:pPr>
            <w:r>
              <w:rPr>
                <w:rFonts w:ascii="Arial;sans-serif" w:hAnsi="Arial;sans-serif"/>
                <w:b w:val="false"/>
                <w:sz w:val="18"/>
              </w:rPr>
              <w:t>Audit Committee Experience / Accounting &amp; Finance Expertise</w:t>
            </w:r>
          </w:p>
          <w:p>
            <w:pPr>
              <w:pStyle w:val="TableContents"/>
              <w:spacing w:before="80" w:after="80"/>
              <w:ind w:left="0" w:right="0" w:hanging="0"/>
              <w:jc w:val="left"/>
              <w:rPr/>
            </w:pPr>
            <w:r>
              <w:rPr/>
              <w:t>•</w:t>
            </w:r>
          </w:p>
          <w:p>
            <w:pPr>
              <w:pStyle w:val="TableContents"/>
              <w:spacing w:before="80" w:after="80"/>
              <w:jc w:val="left"/>
              <w:rPr>
                <w:rFonts w:ascii="Arial;sans-serif" w:hAnsi="Arial;sans-serif"/>
                <w:b w:val="false"/>
                <w:sz w:val="18"/>
              </w:rPr>
            </w:pPr>
            <w:r>
              <w:rPr>
                <w:rFonts w:ascii="Arial;sans-serif" w:hAnsi="Arial;sans-serif"/>
                <w:b w:val="false"/>
                <w:sz w:val="18"/>
              </w:rPr>
              <w:t>Health Care Industry Expertise</w:t>
            </w:r>
          </w:p>
        </w:tc>
        <w:tc>
          <w:tcPr>
            <w:tcW w:w="316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Audit (Chair)</w:t>
            </w:r>
          </w:p>
        </w:tc>
      </w:tr>
    </w:tbl>
    <w:p>
      <w:pPr>
        <w:pStyle w:val="TextBody"/>
        <w:spacing w:before="240" w:after="0"/>
        <w:jc w:val="left"/>
        <w:rPr>
          <w:rFonts w:ascii="Times New Roman" w:hAnsi="Times New Roman"/>
          <w:sz w:val="20"/>
        </w:rPr>
      </w:pPr>
      <w:r>
        <w:rPr>
          <w:rFonts w:ascii="Arial;sans-serif" w:hAnsi="Arial;sans-serif"/>
          <w:b/>
          <w:sz w:val="20"/>
        </w:rPr>
        <w:t>Board Diversity</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Board believes that a diverse board is better able to effectively oversee the Company’s management and strategy and better positions us to deliver long-term value for our stockholders. Our Board recognizes that gender, racial or ethnic diversity, tenure and experience add to the overall mix of perspectives of our Board as a whole. The following charts present the diversity profile of the directors currently serving on our Board:</w:t>
      </w:r>
    </w:p>
    <w:p>
      <w:pPr>
        <w:pStyle w:val="TextBody"/>
        <w:spacing w:before="120" w:after="0"/>
        <w:jc w:val="center"/>
        <w:rPr/>
      </w:pPr>
      <w:r>
        <w:rPr/>
        <w:drawing>
          <wp:inline distT="0" distB="0" distL="0" distR="0">
            <wp:extent cx="1066800" cy="1524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66800" cy="1524000"/>
                    </a:xfrm>
                    <a:prstGeom prst="rect">
                      <a:avLst/>
                    </a:prstGeom>
                  </pic:spPr>
                </pic:pic>
              </a:graphicData>
            </a:graphic>
          </wp:inline>
        </w:drawing>
      </w:r>
      <w:r>
        <w:rPr/>
        <w:drawing>
          <wp:inline distT="0" distB="0" distL="0" distR="0">
            <wp:extent cx="1533525" cy="1524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33525" cy="1524000"/>
                    </a:xfrm>
                    <a:prstGeom prst="rect">
                      <a:avLst/>
                    </a:prstGeom>
                  </pic:spPr>
                </pic:pic>
              </a:graphicData>
            </a:graphic>
          </wp:inline>
        </w:drawing>
      </w:r>
      <w:r>
        <w:rPr/>
        <w:t> </w:t>
      </w:r>
    </w:p>
    <w:p>
      <w:pPr>
        <w:pStyle w:val="TextBody"/>
        <w:spacing w:before="24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Stockholder Engagement Highlights</w:t>
      </w:r>
    </w:p>
    <w:p>
      <w:pPr>
        <w:pStyle w:val="TextBody"/>
        <w:spacing w:before="120" w:after="0"/>
        <w:jc w:val="left"/>
        <w:rPr>
          <w:rFonts w:ascii="Times New Roman" w:hAnsi="Times New Roman"/>
          <w:sz w:val="20"/>
        </w:rPr>
      </w:pPr>
      <w:r>
        <w:rPr>
          <w:rFonts w:ascii="Arial;sans-serif" w:hAnsi="Arial;sans-serif"/>
          <w:b w:val="false"/>
          <w:sz w:val="20"/>
        </w:rPr>
        <w:t>In 2022-2023, we continued our robust stockholder engagement program. We proactively engage with stockholders and other stakeholders throughout the year to learn more about their perspectives on significant issues, including company performance and strategy, executive compensation and environmental, social and governance ("ESG") matters. We take feedback and insights from our engagement with stockholders and other stakeholders into consideration as we review and evolve our practices and disclosures, and share this feedback with our Board, as appropriate. For more information, see “</w:t>
      </w:r>
      <w:r>
        <w:rPr>
          <w:rFonts w:ascii="Arial;sans-serif" w:hAnsi="Arial;sans-serif"/>
          <w:b w:val="false"/>
          <w:i/>
          <w:sz w:val="20"/>
        </w:rPr>
        <w:t>Corporate Governance—Stockholder Engagement</w:t>
      </w:r>
      <w:r>
        <w:rPr>
          <w:rFonts w:ascii="Times New Roman" w:hAnsi="Times New Roman"/>
          <w:sz w:val="20"/>
        </w:rPr>
        <w:t xml:space="preserve">” </w:t>
      </w:r>
      <w:r>
        <w:rPr>
          <w:rFonts w:ascii="Arial;sans-serif" w:hAnsi="Arial;sans-serif"/>
          <w:b w:val="false"/>
          <w:sz w:val="20"/>
        </w:rPr>
        <w:t>on page 33.</w:t>
      </w:r>
    </w:p>
    <w:p>
      <w:pPr>
        <w:pStyle w:val="TextBody"/>
        <w:spacing w:before="160" w:after="0"/>
        <w:jc w:val="left"/>
        <w:rPr>
          <w:rFonts w:ascii="Arial;sans-serif" w:hAnsi="Arial;sans-serif"/>
          <w:b/>
          <w:sz w:val="20"/>
        </w:rPr>
      </w:pPr>
      <w:r>
        <w:rPr>
          <w:rFonts w:ascii="Arial;sans-serif" w:hAnsi="Arial;sans-serif"/>
          <w:b/>
          <w:sz w:val="20"/>
        </w:rPr>
        <w:t>Corporate Governance Highlights</w:t>
      </w:r>
    </w:p>
    <w:p>
      <w:pPr>
        <w:pStyle w:val="TextBody"/>
        <w:spacing w:before="120" w:after="120"/>
        <w:jc w:val="left"/>
        <w:rPr>
          <w:rFonts w:ascii="Times New Roman" w:hAnsi="Times New Roman"/>
          <w:sz w:val="20"/>
        </w:rPr>
      </w:pPr>
      <w:r>
        <w:rPr>
          <w:rFonts w:ascii="Arial;sans-serif" w:hAnsi="Arial;sans-serif"/>
          <w:b w:val="false"/>
          <w:sz w:val="20"/>
        </w:rPr>
        <w:t>We are committed to governance practices that promote the long-term interests of our stockholders, strengthen Board and management accountability and continue to build trust in our Company. The Board regularly reviews our governance profile to ensure that it reflects the evolving governance landscape applicable to our Company and appropriately supports and serves the best interests of the Company and our stockholders. For more information, see “</w:t>
      </w:r>
      <w:r>
        <w:rPr>
          <w:rFonts w:ascii="Arial;sans-serif" w:hAnsi="Arial;sans-serif"/>
          <w:b w:val="false"/>
          <w:i/>
          <w:sz w:val="20"/>
        </w:rPr>
        <w:t>Corporate Governance</w:t>
      </w:r>
      <w:r>
        <w:rPr>
          <w:rFonts w:ascii="Times New Roman" w:hAnsi="Times New Roman"/>
          <w:sz w:val="20"/>
        </w:rPr>
        <w:t xml:space="preserve">” </w:t>
      </w:r>
      <w:r>
        <w:rPr>
          <w:rFonts w:ascii="Arial;sans-serif" w:hAnsi="Arial;sans-serif"/>
          <w:b w:val="false"/>
          <w:sz w:val="20"/>
        </w:rPr>
        <w:t>beginning on page 22.</w:t>
      </w:r>
    </w:p>
    <w:tbl>
      <w:tblPr>
        <w:tblW w:w="10205" w:type="dxa"/>
        <w:jc w:val="left"/>
        <w:tblInd w:w="0" w:type="dxa"/>
        <w:tblCellMar>
          <w:top w:w="28" w:type="dxa"/>
          <w:left w:w="28" w:type="dxa"/>
          <w:bottom w:w="28" w:type="dxa"/>
          <w:right w:w="28" w:type="dxa"/>
        </w:tblCellMar>
      </w:tblPr>
      <w:tblGrid>
        <w:gridCol w:w="3539"/>
        <w:gridCol w:w="3819"/>
        <w:gridCol w:w="2847"/>
      </w:tblGrid>
      <w:tr>
        <w:trPr/>
        <w:tc>
          <w:tcPr>
            <w:tcW w:w="3539"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c>
          <w:tcPr>
            <w:tcW w:w="284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tcBorders>
            <w:shd w:fill="auto" w:val="clear"/>
            <w:tcMar>
              <w:left w:w="0" w:type="dxa"/>
              <w:bottom w:w="0" w:type="dxa"/>
              <w:right w:w="0" w:type="dxa"/>
            </w:tcMar>
            <w:vAlign w:val="center"/>
          </w:tcPr>
          <w:p>
            <w:pPr>
              <w:pStyle w:val="TableContents"/>
              <w:spacing w:before="100" w:after="100"/>
              <w:ind w:left="0" w:right="0" w:firstLine="518"/>
              <w:jc w:val="left"/>
              <w:rPr>
                <w:rFonts w:ascii="Arial;sans-serif" w:hAnsi="Arial;sans-serif"/>
                <w:b/>
                <w:i/>
                <w:sz w:val="18"/>
              </w:rPr>
            </w:pPr>
            <w:r>
              <w:rPr>
                <w:rFonts w:ascii="Arial;sans-serif" w:hAnsi="Arial;sans-serif"/>
                <w:b/>
                <w:i/>
                <w:sz w:val="18"/>
              </w:rPr>
              <w:t>Board Structure &amp; Composition</w:t>
            </w:r>
          </w:p>
        </w:tc>
      </w:tr>
      <w:tr>
        <w:trPr/>
        <w:tc>
          <w:tcPr>
            <w:tcW w:w="3539" w:type="dxa"/>
            <w:tcBorders>
              <w:bottom w:val="single" w:sz="4" w:space="0" w:color="000000"/>
            </w:tcBorders>
            <w:shd w:fill="auto" w:val="clear"/>
            <w:tcMar>
              <w:top w:w="0" w:type="dxa"/>
              <w:left w:w="0" w:type="dxa"/>
              <w:right w:w="0" w:type="dxa"/>
            </w:tcMar>
            <w:vAlign w:val="center"/>
          </w:tcPr>
          <w:p>
            <w:pPr>
              <w:pStyle w:val="TableContents"/>
              <w:spacing w:before="100" w:after="100"/>
              <w:ind w:left="158"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9 of 11 Directors, and all Board Committee members, are independent</w:t>
            </w:r>
          </w:p>
          <w:p>
            <w:pPr>
              <w:pStyle w:val="TableContents"/>
              <w:spacing w:before="100" w:after="100"/>
              <w:ind w:left="158"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Board composed of a mix of long-tenured and new directors</w:t>
            </w:r>
          </w:p>
          <w:p>
            <w:pPr>
              <w:pStyle w:val="TableContents"/>
              <w:spacing w:before="100" w:after="100"/>
              <w:ind w:left="158" w:right="0" w:hanging="0"/>
              <w:jc w:val="left"/>
              <w:rPr/>
            </w:pPr>
            <w:r>
              <w:rPr/>
              <w:t>•</w:t>
            </w:r>
          </w:p>
          <w:p>
            <w:pPr>
              <w:pStyle w:val="TableContents"/>
              <w:spacing w:before="100" w:after="100"/>
              <w:ind w:left="0" w:right="0" w:firstLine="432"/>
              <w:jc w:val="left"/>
              <w:rPr>
                <w:rFonts w:ascii="Arial;sans-serif" w:hAnsi="Arial;sans-serif"/>
                <w:b w:val="false"/>
                <w:sz w:val="18"/>
              </w:rPr>
            </w:pPr>
            <w:r>
              <w:rPr>
                <w:rFonts w:ascii="Arial;sans-serif" w:hAnsi="Arial;sans-serif"/>
                <w:b w:val="false"/>
                <w:sz w:val="18"/>
              </w:rPr>
              <w:t>Directors reflect a variety of experiences and skills that give the Board the collective capability necessary to oversee the Company’s activities</w:t>
            </w:r>
          </w:p>
        </w:tc>
        <w:tc>
          <w:tcPr>
            <w:tcW w:w="3819"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Lead Independent Director empowered with agenda-setting authority and active involvement in oversight of Board functions, elected annually by the independent directors</w:t>
            </w:r>
          </w:p>
          <w:p>
            <w:pPr>
              <w:pStyle w:val="TableContents"/>
              <w:spacing w:before="100" w:after="100"/>
              <w:ind w:left="72" w:right="0" w:hanging="0"/>
              <w:jc w:val="left"/>
              <w:rPr/>
            </w:pPr>
            <w:r>
              <w:rPr/>
              <w:t>•</w:t>
            </w:r>
          </w:p>
          <w:p>
            <w:pPr>
              <w:pStyle w:val="TableContents"/>
              <w:spacing w:before="100" w:after="100"/>
              <w:ind w:left="0" w:right="0" w:firstLine="360"/>
              <w:jc w:val="left"/>
              <w:rPr>
                <w:rFonts w:ascii="Arial;sans-serif" w:hAnsi="Arial;sans-serif"/>
                <w:b w:val="false"/>
                <w:sz w:val="18"/>
              </w:rPr>
            </w:pPr>
            <w:r>
              <w:rPr>
                <w:rFonts w:ascii="Arial;sans-serif" w:hAnsi="Arial;sans-serif"/>
                <w:b w:val="false"/>
                <w:sz w:val="18"/>
              </w:rPr>
              <w:t>Active and empowered committee chairs, all of whom are independent</w:t>
            </w:r>
          </w:p>
        </w:tc>
        <w:tc>
          <w:tcPr>
            <w:tcW w:w="2847" w:type="dxa"/>
            <w:tcBorders>
              <w:bottom w:val="single" w:sz="4" w:space="0" w:color="000000"/>
            </w:tcBorders>
            <w:shd w:fill="auto" w:val="clear"/>
            <w:tcMar>
              <w:top w:w="0" w:type="dxa"/>
              <w:left w:w="0" w:type="dxa"/>
              <w:right w:w="0" w:type="dxa"/>
            </w:tcMar>
            <w:vAlign w:val="center"/>
          </w:tcPr>
          <w:p>
            <w:pPr>
              <w:pStyle w:val="TableContents"/>
              <w:spacing w:before="100" w:after="100"/>
              <w:ind w:left="0"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Annual assessment and determination of optimal Board leadership structure</w:t>
            </w:r>
          </w:p>
          <w:p>
            <w:pPr>
              <w:pStyle w:val="TableContents"/>
              <w:spacing w:before="100" w:after="100"/>
              <w:ind w:left="0"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 xml:space="preserve">Commitment to Board diversity of perspective, gender, and race or ethnicity </w:t>
            </w:r>
          </w:p>
          <w:p>
            <w:pPr>
              <w:pStyle w:val="TableContents"/>
              <w:spacing w:before="100" w:after="100"/>
              <w:ind w:left="0"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Directors attended about 96% of Board and Committee meetings combined in 2022</w:t>
            </w:r>
          </w:p>
        </w:tc>
      </w:tr>
      <w:tr>
        <w:trPr/>
        <w:tc>
          <w:tcPr>
            <w:tcW w:w="10205" w:type="dxa"/>
            <w:gridSpan w:val="3"/>
            <w:tcBorders/>
            <w:shd w:fill="auto" w:val="clear"/>
            <w:tcMar>
              <w:top w:w="0" w:type="dxa"/>
              <w:left w:w="0" w:type="dxa"/>
              <w:bottom w:w="0" w:type="dxa"/>
              <w:right w:w="0" w:type="dxa"/>
            </w:tcMar>
            <w:vAlign w:val="center"/>
          </w:tcPr>
          <w:p>
            <w:pPr>
              <w:pStyle w:val="TableContents"/>
              <w:spacing w:before="100" w:after="100"/>
              <w:ind w:left="0" w:right="0" w:firstLine="432"/>
              <w:jc w:val="left"/>
              <w:rPr>
                <w:rFonts w:ascii="Arial;sans-serif" w:hAnsi="Arial;sans-serif"/>
                <w:b/>
                <w:i/>
                <w:sz w:val="18"/>
              </w:rPr>
            </w:pPr>
            <w:r>
              <w:rPr>
                <w:rFonts w:ascii="Arial;sans-serif" w:hAnsi="Arial;sans-serif"/>
                <w:b/>
                <w:i/>
                <w:sz w:val="18"/>
              </w:rPr>
              <w:t>Good Governance Practices</w:t>
            </w:r>
          </w:p>
        </w:tc>
      </w:tr>
      <w:tr>
        <w:trPr/>
        <w:tc>
          <w:tcPr>
            <w:tcW w:w="3539"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Ongoing Board assessment and refreshment led by the NCGCC</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Annual Board and Committee self-assessments</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Insider trading policy</w:t>
            </w:r>
          </w:p>
          <w:p>
            <w:pPr>
              <w:pStyle w:val="TableContents"/>
              <w:spacing w:before="100" w:after="100"/>
              <w:ind w:left="72" w:right="0" w:hanging="0"/>
              <w:jc w:val="left"/>
              <w:rPr/>
            </w:pPr>
            <w:r>
              <w:rPr/>
              <w:t>•</w:t>
            </w:r>
          </w:p>
          <w:p>
            <w:pPr>
              <w:pStyle w:val="TableContents"/>
              <w:spacing w:before="100" w:after="100"/>
              <w:ind w:left="0" w:right="0" w:firstLine="432"/>
              <w:jc w:val="left"/>
              <w:rPr>
                <w:rFonts w:ascii="Arial;sans-serif" w:hAnsi="Arial;sans-serif"/>
                <w:b w:val="false"/>
                <w:sz w:val="18"/>
              </w:rPr>
            </w:pPr>
            <w:r>
              <w:rPr>
                <w:rFonts w:ascii="Arial;sans-serif" w:hAnsi="Arial;sans-serif"/>
                <w:b w:val="false"/>
                <w:sz w:val="18"/>
              </w:rPr>
              <w:t>Clawback policy implementation in process</w:t>
            </w:r>
          </w:p>
        </w:tc>
        <w:tc>
          <w:tcPr>
            <w:tcW w:w="3819"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Regular executive sessions of the independent directors at meetings of the Board, without management present</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Non-employee director stock ownership requirements</w:t>
            </w:r>
          </w:p>
          <w:p>
            <w:pPr>
              <w:pStyle w:val="TableContents"/>
              <w:spacing w:before="100" w:after="100"/>
              <w:ind w:left="72" w:right="0" w:hanging="0"/>
              <w:jc w:val="left"/>
              <w:rPr/>
            </w:pPr>
            <w:r>
              <w:rPr/>
              <w:t>•</w:t>
            </w:r>
          </w:p>
          <w:p>
            <w:pPr>
              <w:pStyle w:val="TableContents"/>
              <w:spacing w:before="100" w:after="100"/>
              <w:ind w:left="0" w:right="0" w:firstLine="432"/>
              <w:jc w:val="left"/>
              <w:rPr>
                <w:rFonts w:ascii="Arial;sans-serif" w:hAnsi="Arial;sans-serif"/>
                <w:b w:val="false"/>
                <w:sz w:val="18"/>
              </w:rPr>
            </w:pPr>
            <w:r>
              <w:rPr>
                <w:rFonts w:ascii="Arial;sans-serif" w:hAnsi="Arial;sans-serif"/>
                <w:b w:val="false"/>
                <w:sz w:val="18"/>
              </w:rPr>
              <w:t>Code of Conduct overseen by Board</w:t>
            </w:r>
          </w:p>
        </w:tc>
        <w:tc>
          <w:tcPr>
            <w:tcW w:w="2847"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Robust stockholder engagement program, with the participation of our Chairman, to share our perspectives and solicit feedback</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Lead Sponsors can call special stockholder meetings</w:t>
            </w:r>
          </w:p>
        </w:tc>
      </w:tr>
      <w:tr>
        <w:trPr/>
        <w:tc>
          <w:tcPr>
            <w:tcW w:w="10205" w:type="dxa"/>
            <w:gridSpan w:val="3"/>
            <w:tcBorders/>
            <w:shd w:fill="auto" w:val="clear"/>
            <w:tcMar>
              <w:top w:w="0" w:type="dxa"/>
              <w:left w:w="0" w:type="dxa"/>
              <w:bottom w:w="0" w:type="dxa"/>
              <w:right w:w="0" w:type="dxa"/>
            </w:tcMar>
            <w:vAlign w:val="center"/>
          </w:tcPr>
          <w:p>
            <w:pPr>
              <w:pStyle w:val="TableContents"/>
              <w:spacing w:before="100" w:after="100"/>
              <w:ind w:left="0" w:right="0" w:firstLine="432"/>
              <w:jc w:val="left"/>
              <w:rPr>
                <w:rFonts w:ascii="Arial;sans-serif" w:hAnsi="Arial;sans-serif"/>
                <w:b/>
                <w:i/>
                <w:sz w:val="18"/>
              </w:rPr>
            </w:pPr>
            <w:r>
              <w:rPr>
                <w:rFonts w:ascii="Arial;sans-serif" w:hAnsi="Arial;sans-serif"/>
                <w:b/>
                <w:i/>
                <w:sz w:val="18"/>
              </w:rPr>
              <w:t>Board Operations and Oversight</w:t>
            </w:r>
          </w:p>
        </w:tc>
      </w:tr>
      <w:tr>
        <w:trPr/>
        <w:tc>
          <w:tcPr>
            <w:tcW w:w="3539"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Active board oversight of strategic planning</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Robust oversight framework to assess and manage risks</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 xml:space="preserve">Revised charters recently adopted to clarify committee and full Board oversight roles </w:t>
            </w:r>
          </w:p>
          <w:p>
            <w:pPr>
              <w:pStyle w:val="TableContents"/>
              <w:spacing w:before="100" w:after="100"/>
              <w:ind w:left="72" w:right="0" w:hanging="0"/>
              <w:jc w:val="left"/>
              <w:rPr/>
            </w:pPr>
            <w:r>
              <w:rPr/>
              <w:t>•</w:t>
            </w:r>
          </w:p>
          <w:p>
            <w:pPr>
              <w:pStyle w:val="TableContents"/>
              <w:spacing w:before="100" w:after="100"/>
              <w:ind w:left="0" w:right="0" w:firstLine="432"/>
              <w:jc w:val="left"/>
              <w:rPr>
                <w:rFonts w:ascii="Arial;sans-serif" w:hAnsi="Arial;sans-serif"/>
                <w:b w:val="false"/>
                <w:sz w:val="18"/>
              </w:rPr>
            </w:pPr>
            <w:r>
              <w:rPr>
                <w:rFonts w:ascii="Arial;sans-serif" w:hAnsi="Arial;sans-serif"/>
                <w:b w:val="false"/>
                <w:sz w:val="18"/>
              </w:rPr>
              <w:t>Regular talent and succession planning discussions</w:t>
            </w:r>
          </w:p>
        </w:tc>
        <w:tc>
          <w:tcPr>
            <w:tcW w:w="3819"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 xml:space="preserve">Audit Committee oversight of financial risks, cybersecurity </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NCGCC oversight of nominating process and criteria, legal and regulatory compliance</w:t>
            </w:r>
          </w:p>
          <w:p>
            <w:pPr>
              <w:pStyle w:val="TableContents"/>
              <w:spacing w:before="100" w:after="100"/>
              <w:ind w:left="72" w:right="0" w:hanging="0"/>
              <w:jc w:val="left"/>
              <w:rPr/>
            </w:pPr>
            <w:r>
              <w:rPr/>
              <w:t>•</w:t>
            </w:r>
          </w:p>
          <w:p>
            <w:pPr>
              <w:pStyle w:val="TableContents"/>
              <w:spacing w:before="100" w:after="100"/>
              <w:ind w:left="0" w:right="0" w:firstLine="432"/>
              <w:jc w:val="left"/>
              <w:rPr>
                <w:rFonts w:ascii="Arial;sans-serif" w:hAnsi="Arial;sans-serif"/>
                <w:b w:val="false"/>
                <w:sz w:val="18"/>
              </w:rPr>
            </w:pPr>
            <w:r>
              <w:rPr>
                <w:rFonts w:ascii="Arial;sans-serif" w:hAnsi="Arial;sans-serif"/>
                <w:b w:val="false"/>
                <w:sz w:val="18"/>
              </w:rPr>
              <w:t>Compensation Committee oversight of compensation program, annual CEO evaluation</w:t>
            </w:r>
          </w:p>
        </w:tc>
        <w:tc>
          <w:tcPr>
            <w:tcW w:w="2847" w:type="dxa"/>
            <w:tcBorders>
              <w:bottom w:val="single" w:sz="4" w:space="0" w:color="000000"/>
            </w:tcBorders>
            <w:shd w:fill="auto" w:val="clear"/>
            <w:tcMar>
              <w:top w:w="0" w:type="dxa"/>
              <w:left w:w="0" w:type="dxa"/>
              <w:right w:w="0" w:type="dxa"/>
            </w:tcMar>
            <w:vAlign w:val="center"/>
          </w:tcPr>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Direct access by the Board to members of management, including Chief Compliance Officer</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Regular briefings on corporate governance practices and emerging corporate governance issues</w:t>
            </w:r>
          </w:p>
          <w:p>
            <w:pPr>
              <w:pStyle w:val="TableContents"/>
              <w:spacing w:before="100" w:after="100"/>
              <w:ind w:left="72" w:right="0" w:hanging="0"/>
              <w:jc w:val="left"/>
              <w:rPr/>
            </w:pPr>
            <w:r>
              <w:rPr/>
              <w:t>•</w:t>
            </w:r>
          </w:p>
          <w:p>
            <w:pPr>
              <w:pStyle w:val="TableContents"/>
              <w:spacing w:before="100" w:after="100"/>
              <w:jc w:val="left"/>
              <w:rPr>
                <w:rFonts w:ascii="Arial;sans-serif" w:hAnsi="Arial;sans-serif"/>
                <w:b w:val="false"/>
                <w:sz w:val="18"/>
              </w:rPr>
            </w:pPr>
            <w:r>
              <w:rPr>
                <w:rFonts w:ascii="Arial;sans-serif" w:hAnsi="Arial;sans-serif"/>
                <w:b w:val="false"/>
                <w:sz w:val="18"/>
              </w:rPr>
              <w:t>Monthly “teach-ins” addressing key strategic areas</w:t>
            </w:r>
          </w:p>
        </w:tc>
      </w:tr>
    </w:tbl>
    <w:p>
      <w:pPr>
        <w:pStyle w:val="TextBody"/>
        <w:spacing w:before="24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22"/>
        <w:gridCol w:w="3371"/>
        <w:gridCol w:w="2812"/>
      </w:tblGrid>
      <w:tr>
        <w:trPr/>
        <w:tc>
          <w:tcPr>
            <w:tcW w:w="4022" w:type="dxa"/>
            <w:tcBorders/>
            <w:shd w:fill="auto" w:val="clear"/>
            <w:vAlign w:val="center"/>
          </w:tcPr>
          <w:p>
            <w:pPr>
              <w:pStyle w:val="TableContents"/>
              <w:spacing w:before="0" w:after="283"/>
              <w:rPr>
                <w:sz w:val="4"/>
                <w:szCs w:val="4"/>
              </w:rPr>
            </w:pPr>
            <w:r>
              <w:rPr>
                <w:sz w:val="4"/>
                <w:szCs w:val="4"/>
              </w:rPr>
            </w:r>
          </w:p>
        </w:tc>
        <w:tc>
          <w:tcPr>
            <w:tcW w:w="3371"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tcBorders>
            <w:shd w:fill="auto" w:val="clear"/>
            <w:tcMar>
              <w:left w:w="0" w:type="dxa"/>
              <w:bottom w:w="0" w:type="dxa"/>
              <w:right w:w="0" w:type="dxa"/>
            </w:tcMar>
            <w:vAlign w:val="center"/>
          </w:tcPr>
          <w:p>
            <w:pPr>
              <w:pStyle w:val="TableContents"/>
              <w:spacing w:before="120" w:after="120"/>
              <w:ind w:left="0" w:right="0" w:firstLine="432"/>
              <w:jc w:val="left"/>
              <w:rPr>
                <w:rFonts w:ascii="Arial;sans-serif" w:hAnsi="Arial;sans-serif"/>
                <w:b/>
                <w:i/>
                <w:sz w:val="18"/>
              </w:rPr>
            </w:pPr>
            <w:r>
              <w:rPr>
                <w:rFonts w:ascii="Arial;sans-serif" w:hAnsi="Arial;sans-serif"/>
                <w:b/>
                <w:i/>
                <w:sz w:val="18"/>
              </w:rPr>
              <w:t>Commitment to Environmental, Social &amp; Governance Principles</w:t>
            </w:r>
          </w:p>
        </w:tc>
      </w:tr>
      <w:tr>
        <w:trPr/>
        <w:tc>
          <w:tcPr>
            <w:tcW w:w="4022"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Strong commitment to ESG principles as part of Company’s core mission, including focus on social determinants of health</w:t>
            </w:r>
          </w:p>
        </w:tc>
        <w:tc>
          <w:tcPr>
            <w:tcW w:w="3371"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 xml:space="preserve">Establishment of a management-led, interdepartmental ESG steering committee </w:t>
            </w:r>
          </w:p>
        </w:tc>
        <w:tc>
          <w:tcPr>
            <w:tcW w:w="2812"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Annual reporting via standalone Environmental, Social and Governance Report</w:t>
            </w:r>
          </w:p>
        </w:tc>
      </w:tr>
    </w:tbl>
    <w:p>
      <w:pPr>
        <w:pStyle w:val="TextBody"/>
        <w:spacing w:before="240" w:after="0"/>
        <w:jc w:val="left"/>
        <w:rPr>
          <w:rFonts w:ascii="Arial;sans-serif" w:hAnsi="Arial;sans-serif"/>
          <w:b/>
          <w:sz w:val="20"/>
        </w:rPr>
      </w:pPr>
      <w:r>
        <w:rPr>
          <w:rFonts w:ascii="Arial;sans-serif" w:hAnsi="Arial;sans-serif"/>
          <w:b/>
          <w:sz w:val="20"/>
        </w:rPr>
        <w:t>Executive Compensation Highlights</w:t>
      </w:r>
    </w:p>
    <w:p>
      <w:pPr>
        <w:pStyle w:val="TextBody"/>
        <w:spacing w:before="240" w:after="240"/>
        <w:jc w:val="left"/>
        <w:rPr>
          <w:rFonts w:ascii="Times New Roman" w:hAnsi="Times New Roman"/>
          <w:sz w:val="20"/>
        </w:rPr>
      </w:pPr>
      <w:r>
        <w:rPr>
          <w:rFonts w:ascii="Arial;sans-serif" w:hAnsi="Arial;sans-serif"/>
          <w:b w:val="false"/>
          <w:sz w:val="20"/>
        </w:rPr>
        <w:t>Our executive compensation philosophy is to forge critical connections between performance, long-term value creation, employee engagement and retention, compensation governance and our cultural values. The Compensation Committee reviews and approves the elements of our compensation program at least annually, with input from an independent compensation consultant. Our 2022 executive compensation program remained largely consistent with our 2021 program. Recent changes to the program are described in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of this proxy statement beginning on page 39. We believe the following practices and policies within our program promote sound compensation governance and are in the best interests of our stockholders and executives:</w:t>
      </w:r>
    </w:p>
    <w:tbl>
      <w:tblPr>
        <w:tblW w:w="10205" w:type="dxa"/>
        <w:jc w:val="left"/>
        <w:tblInd w:w="0" w:type="dxa"/>
        <w:tblCellMar>
          <w:top w:w="28" w:type="dxa"/>
          <w:left w:w="28" w:type="dxa"/>
          <w:bottom w:w="28" w:type="dxa"/>
          <w:right w:w="28" w:type="dxa"/>
        </w:tblCellMar>
      </w:tblPr>
      <w:tblGrid>
        <w:gridCol w:w="301"/>
        <w:gridCol w:w="6403"/>
        <w:gridCol w:w="286"/>
        <w:gridCol w:w="3215"/>
      </w:tblGrid>
      <w:tr>
        <w:trPr/>
        <w:tc>
          <w:tcPr>
            <w:tcW w:w="301" w:type="dxa"/>
            <w:tcBorders/>
            <w:shd w:fill="FFFFFF" w:val="clear"/>
            <w:vAlign w:val="center"/>
          </w:tcPr>
          <w:p>
            <w:pPr>
              <w:pStyle w:val="TableContents"/>
              <w:spacing w:before="0" w:after="283"/>
              <w:rPr>
                <w:sz w:val="4"/>
                <w:szCs w:val="4"/>
              </w:rPr>
            </w:pPr>
            <w:r>
              <w:rPr>
                <w:sz w:val="4"/>
                <w:szCs w:val="4"/>
              </w:rPr>
            </w:r>
          </w:p>
        </w:tc>
        <w:tc>
          <w:tcPr>
            <w:tcW w:w="6403"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3215" w:type="dxa"/>
            <w:tcBorders/>
            <w:shd w:fill="FFFFFF" w:val="clear"/>
            <w:vAlign w:val="center"/>
          </w:tcPr>
          <w:p>
            <w:pPr>
              <w:pStyle w:val="TableContents"/>
              <w:spacing w:before="0" w:after="283"/>
              <w:rPr>
                <w:sz w:val="4"/>
                <w:szCs w:val="4"/>
              </w:rPr>
            </w:pPr>
            <w:r>
              <w:rPr>
                <w:sz w:val="4"/>
                <w:szCs w:val="4"/>
              </w:rPr>
            </w:r>
          </w:p>
        </w:tc>
      </w:tr>
      <w:tr>
        <w:trPr/>
        <w:tc>
          <w:tcPr>
            <w:tcW w:w="6704"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What We Do</w:t>
            </w:r>
          </w:p>
        </w:tc>
        <w:tc>
          <w:tcPr>
            <w:tcW w:w="3501"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What We Don’t Do</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Set total direct compensation within a competitive range of our peer group to ensure that it is aligned with the level of position, experience, skills and performance of the executive</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No guaranteed or uncapped incentive payouts in our annual bonus plan</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Times New Roman" w:hAnsi="Times New Roman"/>
                <w:sz w:val="18"/>
              </w:rPr>
            </w:pPr>
            <w:r>
              <w:rPr>
                <w:rFonts w:ascii="Arial;sans-serif" w:hAnsi="Arial;sans-serif"/>
                <w:b w:val="false"/>
                <w:sz w:val="18"/>
              </w:rPr>
              <w:t>Emphasize variable pay over fixed pay, with a significant portion tied to our financial results</w:t>
            </w:r>
            <w:r>
              <w:rPr>
                <w:rFonts w:ascii="Times New Roman" w:hAnsi="Times New Roman"/>
                <w:sz w:val="18"/>
              </w:rPr>
              <w:t xml:space="preserve"> </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No repricing or exchange of underwater options without stockholder approval</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Disclose our corporate performance goals and achievements relative to these goals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No option or stock appreciation rights granted below fair market value</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Times New Roman" w:hAnsi="Times New Roman"/>
                <w:sz w:val="18"/>
              </w:rPr>
            </w:pPr>
            <w:r>
              <w:rPr>
                <w:rFonts w:ascii="Arial;sans-serif" w:hAnsi="Arial;sans-serif"/>
                <w:b w:val="false"/>
                <w:sz w:val="18"/>
              </w:rPr>
              <w:t>Use an independent compensation consultant</w:t>
            </w:r>
            <w:r>
              <w:rPr>
                <w:rFonts w:ascii="Times New Roman" w:hAnsi="Times New Roman"/>
                <w:sz w:val="18"/>
              </w:rPr>
              <w:t xml:space="preserve"> </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No significant perquisites</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Maintain anti-hedging and anti-pledging policies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No tax gross-ups, other than for certain relocation expenses</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64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18"/>
              </w:rPr>
            </w:pPr>
            <w:r>
              <w:rPr>
                <w:rFonts w:ascii="Arial;sans-serif" w:hAnsi="Arial;sans-serif"/>
                <w:b w:val="false"/>
                <w:sz w:val="18"/>
              </w:rPr>
              <w:t>Conduct an annual advisory vote on the compensation of our NEOs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 </w:t>
            </w:r>
          </w:p>
        </w:tc>
        <w:tc>
          <w:tcPr>
            <w:tcW w:w="3215"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pPr>
            <w:r>
              <w:rPr/>
              <w:t> </w:t>
            </w:r>
          </w:p>
        </w:tc>
      </w:tr>
    </w:tbl>
    <w:p>
      <w:pPr>
        <w:pStyle w:val="TextBody"/>
        <w:spacing w:before="240" w:after="240"/>
        <w:jc w:val="left"/>
        <w:rPr>
          <w:rFonts w:ascii="Arial;sans-serif" w:hAnsi="Arial;sans-serif"/>
          <w:b w:val="false"/>
          <w:sz w:val="20"/>
        </w:rPr>
      </w:pPr>
      <w:r>
        <w:rPr>
          <w:rFonts w:ascii="Arial;sans-serif" w:hAnsi="Arial;sans-serif"/>
          <w:b w:val="false"/>
          <w:sz w:val="20"/>
        </w:rPr>
        <w:t>The following table illustrates the elements of pay we currently employ, the manner in which we position these elements relative to the market and the objectives achieved by each element:</w:t>
      </w:r>
    </w:p>
    <w:tbl>
      <w:tblPr>
        <w:tblW w:w="10205" w:type="dxa"/>
        <w:jc w:val="left"/>
        <w:tblInd w:w="0" w:type="dxa"/>
        <w:tblCellMar>
          <w:top w:w="28" w:type="dxa"/>
          <w:left w:w="28" w:type="dxa"/>
          <w:bottom w:w="28" w:type="dxa"/>
          <w:right w:w="28" w:type="dxa"/>
        </w:tblCellMar>
      </w:tblPr>
      <w:tblGrid>
        <w:gridCol w:w="1013"/>
        <w:gridCol w:w="1270"/>
        <w:gridCol w:w="3722"/>
        <w:gridCol w:w="4200"/>
      </w:tblGrid>
      <w:tr>
        <w:trPr/>
        <w:tc>
          <w:tcPr>
            <w:tcW w:w="1013" w:type="dxa"/>
            <w:tcBorders/>
            <w:shd w:fill="FFFFFF" w:val="clear"/>
            <w:vAlign w:val="center"/>
          </w:tcPr>
          <w:p>
            <w:pPr>
              <w:pStyle w:val="TableContents"/>
              <w:spacing w:before="0" w:after="283"/>
              <w:rPr>
                <w:sz w:val="4"/>
                <w:szCs w:val="4"/>
              </w:rPr>
            </w:pPr>
            <w:r>
              <w:rPr>
                <w:sz w:val="4"/>
                <w:szCs w:val="4"/>
              </w:rPr>
            </w:r>
          </w:p>
        </w:tc>
        <w:tc>
          <w:tcPr>
            <w:tcW w:w="1270" w:type="dxa"/>
            <w:tcBorders/>
            <w:shd w:fill="FFFFFF" w:val="clear"/>
            <w:vAlign w:val="center"/>
          </w:tcPr>
          <w:p>
            <w:pPr>
              <w:pStyle w:val="TableContents"/>
              <w:spacing w:before="0" w:after="283"/>
              <w:rPr>
                <w:sz w:val="4"/>
                <w:szCs w:val="4"/>
              </w:rPr>
            </w:pPr>
            <w:r>
              <w:rPr>
                <w:sz w:val="4"/>
                <w:szCs w:val="4"/>
              </w:rPr>
            </w:r>
          </w:p>
        </w:tc>
        <w:tc>
          <w:tcPr>
            <w:tcW w:w="3722" w:type="dxa"/>
            <w:tcBorders/>
            <w:shd w:fill="FFFFFF" w:val="clear"/>
            <w:vAlign w:val="center"/>
          </w:tcPr>
          <w:p>
            <w:pPr>
              <w:pStyle w:val="TableContents"/>
              <w:spacing w:before="0" w:after="283"/>
              <w:rPr>
                <w:sz w:val="4"/>
                <w:szCs w:val="4"/>
              </w:rPr>
            </w:pPr>
            <w:r>
              <w:rPr>
                <w:sz w:val="4"/>
                <w:szCs w:val="4"/>
              </w:rPr>
            </w:r>
          </w:p>
        </w:tc>
        <w:tc>
          <w:tcPr>
            <w:tcW w:w="4200" w:type="dxa"/>
            <w:tcBorders/>
            <w:shd w:fill="FFFFFF" w:val="clear"/>
            <w:vAlign w:val="center"/>
          </w:tcPr>
          <w:p>
            <w:pPr>
              <w:pStyle w:val="TableContents"/>
              <w:spacing w:before="0" w:after="283"/>
              <w:ind w:left="0" w:right="0" w:firstLine="40"/>
              <w:rPr>
                <w:sz w:val="4"/>
                <w:szCs w:val="4"/>
              </w:rPr>
            </w:pPr>
            <w:r>
              <w:rPr>
                <w:sz w:val="4"/>
                <w:szCs w:val="4"/>
              </w:rPr>
            </w:r>
          </w:p>
        </w:tc>
      </w:tr>
      <w:tr>
        <w:trPr/>
        <w:tc>
          <w:tcPr>
            <w:tcW w:w="101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Element</w:t>
            </w:r>
          </w:p>
        </w:tc>
        <w:tc>
          <w:tcPr>
            <w:tcW w:w="127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Target</w:t>
              <w:br/>
              <w:t>Positioning vs.</w:t>
              <w:br/>
              <w:t>Market</w:t>
            </w:r>
          </w:p>
        </w:tc>
        <w:tc>
          <w:tcPr>
            <w:tcW w:w="372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Primary Objective</w:t>
            </w:r>
          </w:p>
        </w:tc>
        <w:tc>
          <w:tcPr>
            <w:tcW w:w="420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Determination Factors</w:t>
            </w:r>
          </w:p>
        </w:tc>
      </w:tr>
      <w:tr>
        <w:trPr/>
        <w:tc>
          <w:tcPr>
            <w:tcW w:w="101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0" w:right="0" w:firstLine="40"/>
              <w:jc w:val="left"/>
              <w:rPr>
                <w:rFonts w:ascii="Times New Roman" w:hAnsi="Times New Roman"/>
                <w:sz w:val="18"/>
              </w:rPr>
            </w:pPr>
            <w:r>
              <w:rPr>
                <w:rFonts w:ascii="Arial;sans-serif" w:hAnsi="Arial;sans-serif"/>
                <w:b/>
                <w:sz w:val="18"/>
              </w:rPr>
              <w:t>Base Salary</w:t>
            </w:r>
            <w:r>
              <w:rPr>
                <w:rFonts w:ascii="Times New Roman" w:hAnsi="Times New Roman"/>
                <w:sz w:val="18"/>
              </w:rPr>
              <w:t xml:space="preserve"> </w:t>
            </w:r>
          </w:p>
        </w:tc>
        <w:tc>
          <w:tcPr>
            <w:tcW w:w="127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40" w:right="80" w:hanging="0"/>
              <w:jc w:val="center"/>
              <w:rPr>
                <w:rFonts w:ascii="Arial;sans-serif" w:hAnsi="Arial;sans-serif"/>
                <w:b w:val="false"/>
                <w:sz w:val="18"/>
              </w:rPr>
            </w:pPr>
            <w:r>
              <w:rPr>
                <w:rFonts w:ascii="Arial;sans-serif" w:hAnsi="Arial;sans-serif"/>
                <w:b w:val="false"/>
                <w:sz w:val="18"/>
              </w:rPr>
              <w:t>Target at Median</w:t>
            </w:r>
          </w:p>
        </w:tc>
        <w:tc>
          <w:tcPr>
            <w:tcW w:w="3722" w:type="dxa"/>
            <w:tcBorders>
              <w:bottom w:val="single" w:sz="2" w:space="0" w:color="000000"/>
            </w:tcBorders>
            <w:shd w:fill="auto" w:val="clear"/>
            <w:tcMar>
              <w:top w:w="0" w:type="dxa"/>
              <w:left w:w="0" w:type="dxa"/>
              <w:right w:w="0" w:type="dxa"/>
            </w:tcMar>
            <w:vAlign w:val="center"/>
          </w:tcPr>
          <w:p>
            <w:pPr>
              <w:pStyle w:val="TableContents"/>
              <w:spacing w:before="60" w:after="60"/>
              <w:ind w:left="0" w:right="80" w:hanging="0"/>
              <w:jc w:val="left"/>
              <w:rPr/>
            </w:pPr>
            <w:r>
              <w:rPr/>
              <w:t> </w:t>
            </w:r>
          </w:p>
          <w:p>
            <w:pPr>
              <w:pStyle w:val="TableContents"/>
              <w:spacing w:before="0" w:after="60"/>
              <w:ind w:left="14" w:right="86" w:hanging="0"/>
              <w:jc w:val="left"/>
              <w:rPr/>
            </w:pPr>
            <w:r>
              <w:rPr/>
              <w:t>•</w:t>
            </w:r>
          </w:p>
          <w:p>
            <w:pPr>
              <w:pStyle w:val="TableContents"/>
              <w:spacing w:before="0" w:after="60"/>
              <w:jc w:val="left"/>
              <w:rPr>
                <w:rFonts w:ascii="Arial;sans-serif" w:hAnsi="Arial;sans-serif"/>
                <w:b w:val="false"/>
                <w:sz w:val="18"/>
              </w:rPr>
            </w:pPr>
            <w:r>
              <w:rPr>
                <w:rFonts w:ascii="Arial;sans-serif" w:hAnsi="Arial;sans-serif"/>
                <w:b w:val="false"/>
                <w:sz w:val="18"/>
              </w:rPr>
              <w:t xml:space="preserve">Attract and retain high-performing and experienced individuals </w:t>
            </w:r>
          </w:p>
          <w:p>
            <w:pPr>
              <w:pStyle w:val="TableContents"/>
              <w:spacing w:before="60" w:after="60"/>
              <w:ind w:left="14" w:right="86" w:hanging="0"/>
              <w:jc w:val="left"/>
              <w:rPr/>
            </w:pPr>
            <w:r>
              <w:rPr/>
              <w:t>•</w:t>
            </w:r>
          </w:p>
          <w:p>
            <w:pPr>
              <w:pStyle w:val="TableContents"/>
              <w:spacing w:before="60" w:after="60"/>
              <w:ind w:left="0" w:right="0" w:firstLine="389"/>
              <w:jc w:val="left"/>
              <w:rPr>
                <w:rFonts w:ascii="Arial;sans-serif" w:hAnsi="Arial;sans-serif"/>
                <w:b w:val="false"/>
                <w:sz w:val="18"/>
              </w:rPr>
            </w:pPr>
            <w:r>
              <w:rPr>
                <w:rFonts w:ascii="Arial;sans-serif" w:hAnsi="Arial;sans-serif"/>
                <w:b w:val="false"/>
                <w:sz w:val="18"/>
              </w:rPr>
              <w:t>Provide steady source of income so executives can focus on the needs of the business</w:t>
            </w:r>
          </w:p>
        </w:tc>
        <w:tc>
          <w:tcPr>
            <w:tcW w:w="4200"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Value of role in competitive marketplace</w:t>
            </w:r>
          </w:p>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Value of role to the Company</w:t>
            </w:r>
          </w:p>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Skills, experience and performance of individual compared to the market as well as others in the Company</w:t>
            </w:r>
          </w:p>
        </w:tc>
      </w:tr>
    </w:tbl>
    <w:p>
      <w:pPr>
        <w:pStyle w:val="TextBody"/>
        <w:spacing w:before="24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02"/>
        <w:gridCol w:w="1313"/>
        <w:gridCol w:w="2745"/>
        <w:gridCol w:w="4645"/>
      </w:tblGrid>
      <w:tr>
        <w:trPr/>
        <w:tc>
          <w:tcPr>
            <w:tcW w:w="1502" w:type="dxa"/>
            <w:tcBorders/>
            <w:shd w:fill="FFFFFF" w:val="clear"/>
            <w:vAlign w:val="center"/>
          </w:tcPr>
          <w:p>
            <w:pPr>
              <w:pStyle w:val="TableContents"/>
              <w:spacing w:before="0" w:after="283"/>
              <w:rPr>
                <w:sz w:val="4"/>
                <w:szCs w:val="4"/>
              </w:rPr>
            </w:pPr>
            <w:r>
              <w:rPr>
                <w:sz w:val="4"/>
                <w:szCs w:val="4"/>
              </w:rPr>
            </w:r>
          </w:p>
        </w:tc>
        <w:tc>
          <w:tcPr>
            <w:tcW w:w="1313" w:type="dxa"/>
            <w:tcBorders/>
            <w:shd w:fill="FFFFFF" w:val="clear"/>
            <w:vAlign w:val="center"/>
          </w:tcPr>
          <w:p>
            <w:pPr>
              <w:pStyle w:val="TableContents"/>
              <w:spacing w:before="0" w:after="283"/>
              <w:rPr>
                <w:sz w:val="4"/>
                <w:szCs w:val="4"/>
              </w:rPr>
            </w:pPr>
            <w:r>
              <w:rPr>
                <w:sz w:val="4"/>
                <w:szCs w:val="4"/>
              </w:rPr>
            </w:r>
          </w:p>
        </w:tc>
        <w:tc>
          <w:tcPr>
            <w:tcW w:w="2745" w:type="dxa"/>
            <w:tcBorders/>
            <w:shd w:fill="FFFFFF" w:val="clear"/>
            <w:vAlign w:val="center"/>
          </w:tcPr>
          <w:p>
            <w:pPr>
              <w:pStyle w:val="TableContents"/>
              <w:spacing w:before="0" w:after="283"/>
              <w:rPr>
                <w:sz w:val="4"/>
                <w:szCs w:val="4"/>
              </w:rPr>
            </w:pPr>
            <w:r>
              <w:rPr>
                <w:sz w:val="4"/>
                <w:szCs w:val="4"/>
              </w:rPr>
            </w:r>
          </w:p>
        </w:tc>
        <w:tc>
          <w:tcPr>
            <w:tcW w:w="4645" w:type="dxa"/>
            <w:tcBorders/>
            <w:shd w:fill="FFFFFF" w:val="clear"/>
            <w:vAlign w:val="center"/>
          </w:tcPr>
          <w:p>
            <w:pPr>
              <w:pStyle w:val="TableContents"/>
              <w:spacing w:before="0" w:after="283"/>
              <w:ind w:left="0" w:right="0" w:firstLine="40"/>
              <w:rPr>
                <w:sz w:val="4"/>
                <w:szCs w:val="4"/>
              </w:rPr>
            </w:pPr>
            <w:r>
              <w:rPr>
                <w:sz w:val="4"/>
                <w:szCs w:val="4"/>
              </w:rPr>
            </w:r>
          </w:p>
        </w:tc>
      </w:tr>
      <w:tr>
        <w:trPr/>
        <w:tc>
          <w:tcPr>
            <w:tcW w:w="150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Element</w:t>
            </w:r>
          </w:p>
        </w:tc>
        <w:tc>
          <w:tcPr>
            <w:tcW w:w="131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Target</w:t>
              <w:br/>
              <w:t>Positioning vs.</w:t>
              <w:br/>
              <w:t>Market</w:t>
            </w:r>
          </w:p>
        </w:tc>
        <w:tc>
          <w:tcPr>
            <w:tcW w:w="274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Primary Objective</w:t>
            </w:r>
          </w:p>
        </w:tc>
        <w:tc>
          <w:tcPr>
            <w:tcW w:w="464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Determination Factors</w:t>
            </w:r>
          </w:p>
        </w:tc>
      </w:tr>
      <w:tr>
        <w:trPr/>
        <w:tc>
          <w:tcPr>
            <w:tcW w:w="150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0" w:right="0" w:firstLine="40"/>
              <w:jc w:val="left"/>
              <w:rPr>
                <w:rFonts w:ascii="Arial;sans-serif" w:hAnsi="Arial;sans-serif"/>
                <w:b/>
                <w:sz w:val="18"/>
              </w:rPr>
            </w:pPr>
            <w:r>
              <w:rPr>
                <w:rFonts w:ascii="Arial;sans-serif" w:hAnsi="Arial;sans-serif"/>
                <w:b/>
                <w:sz w:val="18"/>
              </w:rPr>
              <w:t>Annual Cash Incentives</w:t>
            </w:r>
          </w:p>
        </w:tc>
        <w:tc>
          <w:tcPr>
            <w:tcW w:w="131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40" w:right="80" w:hanging="0"/>
              <w:jc w:val="center"/>
              <w:rPr>
                <w:rFonts w:ascii="Arial;sans-serif" w:hAnsi="Arial;sans-serif"/>
                <w:b w:val="false"/>
                <w:sz w:val="18"/>
              </w:rPr>
            </w:pPr>
            <w:r>
              <w:rPr>
                <w:rFonts w:ascii="Arial;sans-serif" w:hAnsi="Arial;sans-serif"/>
                <w:b w:val="false"/>
                <w:sz w:val="18"/>
              </w:rPr>
              <w:t>Target at Median</w:t>
            </w:r>
          </w:p>
        </w:tc>
        <w:tc>
          <w:tcPr>
            <w:tcW w:w="2745" w:type="dxa"/>
            <w:tcBorders>
              <w:bottom w:val="single" w:sz="2" w:space="0" w:color="000000"/>
            </w:tcBorders>
            <w:shd w:fill="auto" w:val="clear"/>
            <w:tcMar>
              <w:top w:w="0" w:type="dxa"/>
              <w:left w:w="0" w:type="dxa"/>
              <w:right w:w="0" w:type="dxa"/>
            </w:tcMar>
            <w:vAlign w:val="center"/>
          </w:tcPr>
          <w:p>
            <w:pPr>
              <w:pStyle w:val="TableContents"/>
              <w:spacing w:before="60" w:after="60"/>
              <w:ind w:left="0" w:right="80" w:hanging="0"/>
              <w:jc w:val="left"/>
              <w:rPr/>
            </w:pPr>
            <w:r>
              <w:rPr/>
              <w:t> </w:t>
            </w:r>
          </w:p>
          <w:p>
            <w:pPr>
              <w:pStyle w:val="TableContents"/>
              <w:spacing w:before="0" w:after="60"/>
              <w:ind w:left="14" w:right="86" w:hanging="0"/>
              <w:jc w:val="left"/>
              <w:rPr/>
            </w:pPr>
            <w:r>
              <w:rPr/>
              <w:t>•</w:t>
            </w:r>
          </w:p>
          <w:p>
            <w:pPr>
              <w:pStyle w:val="TableContents"/>
              <w:spacing w:before="0" w:after="60"/>
              <w:jc w:val="left"/>
              <w:rPr>
                <w:rFonts w:ascii="Arial;sans-serif" w:hAnsi="Arial;sans-serif"/>
                <w:b w:val="false"/>
                <w:sz w:val="18"/>
              </w:rPr>
            </w:pPr>
            <w:r>
              <w:rPr>
                <w:rFonts w:ascii="Arial;sans-serif" w:hAnsi="Arial;sans-serif"/>
                <w:b w:val="false"/>
                <w:sz w:val="18"/>
              </w:rPr>
              <w:t>Motivate executives to achieve challenging short-term performance goals</w:t>
            </w:r>
          </w:p>
          <w:p>
            <w:pPr>
              <w:pStyle w:val="TableContents"/>
              <w:spacing w:before="60" w:after="60"/>
              <w:ind w:left="14" w:right="86" w:hanging="0"/>
              <w:jc w:val="left"/>
              <w:rPr/>
            </w:pPr>
            <w:r>
              <w:rPr/>
              <w:t>•</w:t>
            </w:r>
          </w:p>
          <w:p>
            <w:pPr>
              <w:pStyle w:val="TableContents"/>
              <w:spacing w:before="60" w:after="60"/>
              <w:ind w:left="0" w:right="0" w:firstLine="389"/>
              <w:jc w:val="left"/>
              <w:rPr>
                <w:rFonts w:ascii="Arial;sans-serif" w:hAnsi="Arial;sans-serif"/>
                <w:b w:val="false"/>
                <w:sz w:val="18"/>
              </w:rPr>
            </w:pPr>
            <w:r>
              <w:rPr>
                <w:rFonts w:ascii="Arial;sans-serif" w:hAnsi="Arial;sans-serif"/>
                <w:b w:val="false"/>
                <w:sz w:val="18"/>
              </w:rPr>
              <w:t>Align with annual financial objectives</w:t>
            </w:r>
          </w:p>
        </w:tc>
        <w:tc>
          <w:tcPr>
            <w:tcW w:w="4645"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Target awards based on competitive marketplace, level of position, skills and performance of executive</w:t>
            </w:r>
          </w:p>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75% of actual awards based on achievement against the corporate metrics</w:t>
            </w:r>
          </w:p>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25% of actual awards based on achievement of individual goals (other than for the CEO)</w:t>
            </w:r>
          </w:p>
          <w:p>
            <w:pPr>
              <w:pStyle w:val="TableContents"/>
              <w:spacing w:before="60" w:after="60"/>
              <w:ind w:left="29" w:right="86" w:hanging="0"/>
              <w:jc w:val="left"/>
              <w:rPr/>
            </w:pPr>
            <w:r>
              <w:rPr/>
              <w:t>•</w:t>
            </w:r>
          </w:p>
          <w:p>
            <w:pPr>
              <w:pStyle w:val="TableContents"/>
              <w:spacing w:before="60" w:after="60"/>
              <w:ind w:left="0" w:right="0" w:firstLine="40"/>
              <w:jc w:val="left"/>
              <w:rPr>
                <w:rFonts w:ascii="Arial;sans-serif" w:hAnsi="Arial;sans-serif"/>
                <w:b w:val="false"/>
                <w:sz w:val="18"/>
              </w:rPr>
            </w:pPr>
            <w:r>
              <w:rPr>
                <w:rFonts w:ascii="Arial;sans-serif" w:hAnsi="Arial;sans-serif"/>
                <w:b w:val="false"/>
                <w:sz w:val="18"/>
              </w:rPr>
              <w:t>For 2022, awards were subject to a modifier (-20% to +50%) based on the Company’s CMS Star Ratings, with potential payouts ranging from 0% to 250% of target</w:t>
            </w:r>
          </w:p>
        </w:tc>
      </w:tr>
      <w:tr>
        <w:trPr/>
        <w:tc>
          <w:tcPr>
            <w:tcW w:w="150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0" w:right="0" w:firstLine="40"/>
              <w:jc w:val="left"/>
              <w:rPr>
                <w:rFonts w:ascii="Arial;sans-serif" w:hAnsi="Arial;sans-serif"/>
                <w:b/>
                <w:sz w:val="18"/>
              </w:rPr>
            </w:pPr>
            <w:r>
              <w:rPr>
                <w:rFonts w:ascii="Arial;sans-serif" w:hAnsi="Arial;sans-serif"/>
                <w:b/>
                <w:sz w:val="18"/>
              </w:rPr>
              <w:t>Long-Term Equity Incentives</w:t>
            </w:r>
          </w:p>
        </w:tc>
        <w:tc>
          <w:tcPr>
            <w:tcW w:w="131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60" w:after="60"/>
              <w:ind w:left="40" w:right="80" w:hanging="0"/>
              <w:jc w:val="center"/>
              <w:rPr>
                <w:rFonts w:ascii="Times New Roman" w:hAnsi="Times New Roman"/>
                <w:sz w:val="18"/>
              </w:rPr>
            </w:pPr>
            <w:r>
              <w:rPr>
                <w:rFonts w:ascii="Arial;sans-serif" w:hAnsi="Arial;sans-serif"/>
                <w:b w:val="false"/>
                <w:sz w:val="18"/>
              </w:rPr>
              <w:t>Target at</w:t>
            </w:r>
            <w:r>
              <w:rPr>
                <w:rFonts w:ascii="Times New Roman" w:hAnsi="Times New Roman"/>
                <w:sz w:val="18"/>
              </w:rPr>
              <w:t xml:space="preserve"> </w:t>
            </w:r>
          </w:p>
          <w:p>
            <w:pPr>
              <w:pStyle w:val="TableContents"/>
              <w:spacing w:before="60" w:after="60"/>
              <w:ind w:left="40" w:right="80" w:hanging="0"/>
              <w:jc w:val="center"/>
              <w:rPr>
                <w:rFonts w:ascii="Arial;sans-serif" w:hAnsi="Arial;sans-serif"/>
                <w:b w:val="false"/>
                <w:sz w:val="18"/>
              </w:rPr>
            </w:pPr>
            <w:r>
              <w:rPr>
                <w:rFonts w:ascii="Arial;sans-serif" w:hAnsi="Arial;sans-serif"/>
                <w:b w:val="false"/>
                <w:sz w:val="18"/>
              </w:rPr>
              <w:t>50th - 75th percentile</w:t>
            </w:r>
          </w:p>
        </w:tc>
        <w:tc>
          <w:tcPr>
            <w:tcW w:w="2745" w:type="dxa"/>
            <w:tcBorders>
              <w:bottom w:val="single" w:sz="2" w:space="0" w:color="000000"/>
            </w:tcBorders>
            <w:shd w:fill="auto" w:val="clear"/>
            <w:tcMar>
              <w:top w:w="0" w:type="dxa"/>
              <w:left w:w="0" w:type="dxa"/>
              <w:right w:w="0" w:type="dxa"/>
            </w:tcMar>
            <w:vAlign w:val="center"/>
          </w:tcPr>
          <w:p>
            <w:pPr>
              <w:pStyle w:val="TableContents"/>
              <w:spacing w:before="60" w:after="60"/>
              <w:ind w:left="0" w:right="80" w:hanging="0"/>
              <w:jc w:val="left"/>
              <w:rPr/>
            </w:pPr>
            <w:r>
              <w:rPr/>
              <w:t> </w:t>
            </w:r>
          </w:p>
          <w:p>
            <w:pPr>
              <w:pStyle w:val="TableContents"/>
              <w:spacing w:before="60" w:after="60"/>
              <w:ind w:left="14"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Align executives’ interests with those of stockholders</w:t>
            </w:r>
          </w:p>
          <w:p>
            <w:pPr>
              <w:pStyle w:val="TableContents"/>
              <w:spacing w:before="60" w:after="60"/>
              <w:ind w:left="14"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Align with long-term business strategy</w:t>
            </w:r>
          </w:p>
          <w:p>
            <w:pPr>
              <w:pStyle w:val="TableContents"/>
              <w:spacing w:before="60" w:after="60"/>
              <w:ind w:left="14"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Retain executive talent through multi-year vesting schedules</w:t>
            </w:r>
          </w:p>
          <w:p>
            <w:pPr>
              <w:pStyle w:val="TableContents"/>
              <w:spacing w:before="60" w:after="60"/>
              <w:ind w:left="14"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Motivate sustainable performance that creates long-term value for stockholders</w:t>
            </w:r>
          </w:p>
          <w:p>
            <w:pPr>
              <w:pStyle w:val="TableContents"/>
              <w:spacing w:before="60" w:after="60"/>
              <w:ind w:left="14" w:right="86" w:hanging="0"/>
              <w:jc w:val="left"/>
              <w:rPr/>
            </w:pPr>
            <w:r>
              <w:rPr/>
              <w:t>•</w:t>
            </w:r>
          </w:p>
          <w:p>
            <w:pPr>
              <w:pStyle w:val="TableContents"/>
              <w:spacing w:before="60" w:after="60"/>
              <w:ind w:left="0" w:right="0" w:firstLine="389"/>
              <w:jc w:val="left"/>
              <w:rPr>
                <w:rFonts w:ascii="Arial;sans-serif" w:hAnsi="Arial;sans-serif"/>
                <w:b w:val="false"/>
                <w:sz w:val="18"/>
              </w:rPr>
            </w:pPr>
            <w:r>
              <w:rPr>
                <w:rFonts w:ascii="Arial;sans-serif" w:hAnsi="Arial;sans-serif"/>
                <w:b w:val="false"/>
                <w:sz w:val="18"/>
              </w:rPr>
              <w:t>Foster our purpose and values to build teams that think and act like owners</w:t>
            </w:r>
          </w:p>
        </w:tc>
        <w:tc>
          <w:tcPr>
            <w:tcW w:w="4645"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60" w:after="60"/>
              <w:ind w:left="29" w:right="86" w:hanging="0"/>
              <w:jc w:val="left"/>
              <w:rPr/>
            </w:pPr>
            <w:r>
              <w:rPr/>
              <w:t>•</w:t>
            </w:r>
          </w:p>
          <w:p>
            <w:pPr>
              <w:pStyle w:val="TableContents"/>
              <w:spacing w:before="60" w:after="60"/>
              <w:jc w:val="left"/>
              <w:rPr>
                <w:rFonts w:ascii="Arial;sans-serif" w:hAnsi="Arial;sans-serif"/>
                <w:b w:val="false"/>
                <w:sz w:val="18"/>
              </w:rPr>
            </w:pPr>
            <w:r>
              <w:rPr>
                <w:rFonts w:ascii="Arial;sans-serif" w:hAnsi="Arial;sans-serif"/>
                <w:b w:val="false"/>
                <w:sz w:val="18"/>
              </w:rPr>
              <w:t>Awards based on competitive marketplace, level of position, skills and performance of the executive</w:t>
            </w:r>
          </w:p>
        </w:tc>
      </w:tr>
    </w:tbl>
    <w:p>
      <w:pPr>
        <w:pStyle w:val="TextBody"/>
        <w:spacing w:before="240" w:after="240"/>
        <w:jc w:val="left"/>
        <w:rPr>
          <w:rFonts w:ascii="Times New Roman" w:hAnsi="Times New Roman"/>
          <w:sz w:val="20"/>
        </w:rPr>
      </w:pPr>
      <w:r>
        <w:rPr>
          <w:rFonts w:ascii="Arial;sans-serif" w:hAnsi="Arial;sans-serif"/>
          <w:b w:val="false"/>
          <w:sz w:val="20"/>
        </w:rPr>
        <w:t>For more information regarding our executive compensation program, please see “</w:t>
      </w:r>
      <w:r>
        <w:rPr>
          <w:rFonts w:ascii="Arial;sans-serif" w:hAnsi="Arial;sans-serif"/>
          <w:b w:val="false"/>
          <w:i/>
          <w:sz w:val="20"/>
        </w:rPr>
        <w:t>Compensation Discussion and Analysis—2022 Executive Compensation Program in Detail</w:t>
      </w:r>
      <w:r>
        <w:rPr>
          <w:rFonts w:ascii="Times New Roman" w:hAnsi="Times New Roman"/>
          <w:sz w:val="20"/>
        </w:rPr>
        <w:t xml:space="preserve">” </w:t>
      </w:r>
      <w:r>
        <w:rPr>
          <w:rFonts w:ascii="Arial;sans-serif" w:hAnsi="Arial;sans-serif"/>
          <w:b w:val="false"/>
          <w:sz w:val="20"/>
        </w:rPr>
        <w:t>beginning on page 45. For information regarding the 2022 compensation paid to our Named Executive Officers, please see “</w:t>
      </w:r>
      <w:r>
        <w:rPr>
          <w:rFonts w:ascii="Arial;sans-serif" w:hAnsi="Arial;sans-serif"/>
          <w:b w:val="false"/>
          <w:i/>
          <w:sz w:val="20"/>
        </w:rPr>
        <w:t>Executive and Director Compensation</w:t>
      </w:r>
      <w:r>
        <w:rPr>
          <w:rFonts w:ascii="Times New Roman" w:hAnsi="Times New Roman"/>
          <w:sz w:val="20"/>
        </w:rPr>
        <w:t xml:space="preserve">” </w:t>
      </w:r>
      <w:r>
        <w:rPr>
          <w:rFonts w:ascii="Arial;sans-serif" w:hAnsi="Arial;sans-serif"/>
          <w:b w:val="false"/>
          <w:sz w:val="20"/>
        </w:rPr>
        <w:t>beginning on page 53.</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4" w:name="proposal_1"/>
      <w:bookmarkEnd w:id="4"/>
      <w:r>
        <w:rPr>
          <w:rFonts w:ascii="Arial;sans-serif" w:hAnsi="Arial;sans-serif"/>
          <w:b/>
          <w:sz w:val="20"/>
        </w:rPr>
        <w:t>PROPOSAL 1 – ELECTION OF DIRECTORS</w:t>
      </w:r>
    </w:p>
    <w:p>
      <w:pPr>
        <w:pStyle w:val="TextBody"/>
        <w:spacing w:before="240" w:after="120"/>
        <w:jc w:val="left"/>
        <w:rPr>
          <w:rFonts w:ascii="Arial;sans-serif" w:hAnsi="Arial;sans-serif"/>
          <w:b w:val="false"/>
          <w:sz w:val="20"/>
        </w:rPr>
      </w:pPr>
      <w:r>
        <w:rPr>
          <w:rFonts w:ascii="Arial;sans-serif" w:hAnsi="Arial;sans-serif"/>
          <w:b w:val="false"/>
          <w:sz w:val="20"/>
        </w:rPr>
        <w:t>Our Board recommends that the nominees below be elected as Class II members of the Board at the Annual Meeting for a term expiring at the 2026 Meeting of Stockholders:</w:t>
      </w:r>
    </w:p>
    <w:tbl>
      <w:tblPr>
        <w:tblW w:w="9465" w:type="dxa"/>
        <w:jc w:val="left"/>
        <w:tblInd w:w="0" w:type="dxa"/>
        <w:tblCellMar>
          <w:top w:w="28" w:type="dxa"/>
          <w:left w:w="28" w:type="dxa"/>
          <w:bottom w:w="28" w:type="dxa"/>
          <w:right w:w="28" w:type="dxa"/>
        </w:tblCellMar>
      </w:tblPr>
      <w:tblGrid>
        <w:gridCol w:w="1771"/>
        <w:gridCol w:w="451"/>
        <w:gridCol w:w="1336"/>
        <w:gridCol w:w="1156"/>
        <w:gridCol w:w="1540"/>
        <w:gridCol w:w="3211"/>
      </w:tblGrid>
      <w:tr>
        <w:trPr/>
        <w:tc>
          <w:tcPr>
            <w:tcW w:w="177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17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Name</w:t>
            </w:r>
          </w:p>
        </w:tc>
        <w:tc>
          <w:tcPr>
            <w:tcW w:w="4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Age</w:t>
            </w:r>
          </w:p>
        </w:tc>
        <w:tc>
          <w:tcPr>
            <w:tcW w:w="13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Director Since</w:t>
            </w:r>
          </w:p>
        </w:tc>
        <w:tc>
          <w:tcPr>
            <w:tcW w:w="11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Independent</w:t>
            </w:r>
          </w:p>
        </w:tc>
        <w:tc>
          <w:tcPr>
            <w:tcW w:w="154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Committees</w:t>
            </w:r>
          </w:p>
        </w:tc>
        <w:tc>
          <w:tcPr>
            <w:tcW w:w="32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Other Public Company Boards</w:t>
            </w:r>
          </w:p>
        </w:tc>
      </w:tr>
      <w:tr>
        <w:trPr/>
        <w:tc>
          <w:tcPr>
            <w:tcW w:w="17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Jody Bilney</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61</w:t>
            </w:r>
          </w:p>
        </w:tc>
        <w:tc>
          <w:tcPr>
            <w:tcW w:w="133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2022</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54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44"/>
              <w:jc w:val="left"/>
              <w:rPr>
                <w:rFonts w:ascii="Arial;sans-serif" w:hAnsi="Arial;sans-serif"/>
                <w:b w:val="false"/>
                <w:sz w:val="18"/>
              </w:rPr>
            </w:pPr>
            <w:r>
              <w:rPr>
                <w:rFonts w:ascii="Arial;sans-serif" w:hAnsi="Arial;sans-serif"/>
                <w:b w:val="false"/>
                <w:sz w:val="18"/>
              </w:rPr>
              <w:t>NCGCC</w:t>
            </w:r>
          </w:p>
        </w:tc>
        <w:tc>
          <w:tcPr>
            <w:tcW w:w="321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Chuy’s Holdings, Inc. </w:t>
            </w:r>
          </w:p>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Masonite International Corp.</w:t>
            </w:r>
          </w:p>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Cracker Barrel Old Country Store, Inc.</w:t>
            </w:r>
          </w:p>
        </w:tc>
      </w:tr>
      <w:tr>
        <w:trPr/>
        <w:tc>
          <w:tcPr>
            <w:tcW w:w="17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David Hodgson</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66</w:t>
            </w:r>
          </w:p>
        </w:tc>
        <w:tc>
          <w:tcPr>
            <w:tcW w:w="133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54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44"/>
              <w:jc w:val="left"/>
              <w:rPr>
                <w:rFonts w:ascii="Arial;sans-serif" w:hAnsi="Arial;sans-serif"/>
                <w:b w:val="false"/>
                <w:sz w:val="18"/>
              </w:rPr>
            </w:pPr>
            <w:r>
              <w:rPr>
                <w:rFonts w:ascii="Arial;sans-serif" w:hAnsi="Arial;sans-serif"/>
                <w:b w:val="false"/>
                <w:sz w:val="18"/>
              </w:rPr>
              <w:t>NCGCC (Chair)</w:t>
            </w:r>
          </w:p>
        </w:tc>
        <w:tc>
          <w:tcPr>
            <w:tcW w:w="3211" w:type="dxa"/>
            <w:tcBorders>
              <w:bottom w:val="single" w:sz="2" w:space="0" w:color="000000"/>
            </w:tcBorders>
            <w:shd w:fill="auto" w:val="clear"/>
            <w:tcMar>
              <w:top w:w="0" w:type="dxa"/>
              <w:left w:w="0" w:type="dxa"/>
              <w:right w:w="0" w:type="dxa"/>
            </w:tcMar>
            <w:vAlign w:val="center"/>
          </w:tcPr>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TriNet Group, Inc.</w:t>
            </w:r>
          </w:p>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Royalty Pharma plc</w:t>
            </w:r>
          </w:p>
        </w:tc>
      </w:tr>
      <w:tr>
        <w:trPr/>
        <w:tc>
          <w:tcPr>
            <w:tcW w:w="17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Jacqueline Kosecoff</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73</w:t>
            </w:r>
          </w:p>
        </w:tc>
        <w:tc>
          <w:tcPr>
            <w:tcW w:w="133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2017</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54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Compensation</w:t>
            </w:r>
          </w:p>
          <w:p>
            <w:pPr>
              <w:pStyle w:val="TableContents"/>
              <w:spacing w:before="120" w:after="120"/>
              <w:ind w:left="0" w:right="0" w:firstLine="144"/>
              <w:jc w:val="left"/>
              <w:rPr>
                <w:rFonts w:ascii="Arial;sans-serif" w:hAnsi="Arial;sans-serif"/>
                <w:b w:val="false"/>
                <w:sz w:val="18"/>
              </w:rPr>
            </w:pPr>
            <w:r>
              <w:rPr>
                <w:rFonts w:ascii="Arial;sans-serif" w:hAnsi="Arial;sans-serif"/>
                <w:b w:val="false"/>
                <w:sz w:val="18"/>
              </w:rPr>
              <w:t>NCGCC</w:t>
            </w:r>
          </w:p>
        </w:tc>
        <w:tc>
          <w:tcPr>
            <w:tcW w:w="3211" w:type="dxa"/>
            <w:tcBorders>
              <w:bottom w:val="single" w:sz="2" w:space="0" w:color="000000"/>
            </w:tcBorders>
            <w:shd w:fill="auto" w:val="clear"/>
            <w:tcMar>
              <w:top w:w="0" w:type="dxa"/>
              <w:left w:w="0" w:type="dxa"/>
              <w:right w:w="0" w:type="dxa"/>
            </w:tcMar>
            <w:vAlign w:val="center"/>
          </w:tcPr>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GoodRx Holdings, Inc.</w:t>
            </w:r>
          </w:p>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Houlihan Lokey, Inc.</w:t>
            </w:r>
          </w:p>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Steris plc</w:t>
            </w:r>
          </w:p>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TriNet Group, Inc.</w:t>
            </w:r>
          </w:p>
        </w:tc>
      </w:tr>
      <w:tr>
        <w:trPr/>
        <w:tc>
          <w:tcPr>
            <w:tcW w:w="17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Jeffrey Margolis</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59</w:t>
            </w:r>
          </w:p>
        </w:tc>
        <w:tc>
          <w:tcPr>
            <w:tcW w:w="133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54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44"/>
              <w:jc w:val="left"/>
              <w:rPr>
                <w:rFonts w:ascii="Arial;sans-serif" w:hAnsi="Arial;sans-serif"/>
                <w:b w:val="false"/>
                <w:sz w:val="18"/>
              </w:rPr>
            </w:pPr>
            <w:r>
              <w:rPr>
                <w:rFonts w:ascii="Arial;sans-serif" w:hAnsi="Arial;sans-serif"/>
                <w:b w:val="false"/>
                <w:sz w:val="18"/>
              </w:rPr>
              <w:t>Audit (Chair)</w:t>
            </w:r>
          </w:p>
        </w:tc>
        <w:tc>
          <w:tcPr>
            <w:tcW w:w="3211" w:type="dxa"/>
            <w:tcBorders>
              <w:bottom w:val="single" w:sz="2" w:space="0" w:color="000000"/>
            </w:tcBorders>
            <w:shd w:fill="auto" w:val="clear"/>
            <w:tcMar>
              <w:top w:w="0" w:type="dxa"/>
              <w:left w:w="0" w:type="dxa"/>
              <w:right w:w="0" w:type="dxa"/>
            </w:tcMar>
            <w:vAlign w:val="center"/>
          </w:tcPr>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NextGen Healthcare, Inc.</w:t>
            </w:r>
          </w:p>
        </w:tc>
      </w:tr>
    </w:tbl>
    <w:p>
      <w:pPr>
        <w:pStyle w:val="TextBody"/>
        <w:spacing w:before="200" w:after="200"/>
        <w:jc w:val="left"/>
        <w:rPr>
          <w:rFonts w:ascii="Times New Roman" w:hAnsi="Times New Roman"/>
          <w:sz w:val="20"/>
        </w:rPr>
      </w:pPr>
      <w:r>
        <w:rPr>
          <w:rFonts w:ascii="Arial;sans-serif" w:hAnsi="Arial;sans-serif"/>
          <w:b w:val="false"/>
          <w:sz w:val="20"/>
        </w:rPr>
        <w:t>Each nominee was recommended for re-election by the NCGCC for consideration by the Board and our stockholders. Mr. Hodgson has been nominated to serve on our Board by General Atlantic, L.P. (“General Atlantic”), one of our Lead Sponsors (defined below). See “</w:t>
      </w:r>
      <w:r>
        <w:rPr>
          <w:rFonts w:ascii="Arial;sans-serif" w:hAnsi="Arial;sans-serif"/>
          <w:b w:val="false"/>
          <w:i/>
          <w:sz w:val="20"/>
        </w:rPr>
        <w:t>Corporate Governance—Board Composition and Director Independence</w:t>
      </w:r>
      <w:r>
        <w:rPr>
          <w:rFonts w:ascii="Arial;sans-serif" w:hAnsi="Arial;sans-serif"/>
          <w:b w:val="false"/>
          <w:sz w:val="20"/>
        </w:rPr>
        <w:t>.”</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Arial;sans-serif" w:hAnsi="Arial;sans-serif"/>
          <w:b w:val="false"/>
          <w:sz w:val="20"/>
        </w:rPr>
        <w:t>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subject to the Stockholders Agreement (as defined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sz w:val="20"/>
        </w:rPr>
        <w:t>Director Nominees to Serve for a Three-Year Term Expiring at the 2026 Annual Meeting</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tcMar>
              <w:top w:w="0" w:type="dxa"/>
              <w:left w:w="0" w:type="dxa"/>
              <w:bottom w:w="0" w:type="dxa"/>
              <w:right w:w="0" w:type="dxa"/>
            </w:tcMar>
            <w:vAlign w:val="center"/>
          </w:tcPr>
          <w:p>
            <w:pPr>
              <w:pStyle w:val="TableContents"/>
              <w:spacing w:before="240" w:after="0"/>
              <w:ind w:left="0" w:right="0" w:hanging="0"/>
              <w:jc w:val="left"/>
              <w:rPr/>
            </w:pPr>
            <w:r>
              <w:rPr/>
              <w:drawing>
                <wp:inline distT="0" distB="0" distL="0" distR="0">
                  <wp:extent cx="1181100" cy="1104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81100" cy="1104900"/>
                          </a:xfrm>
                          <a:prstGeom prst="rect">
                            <a:avLst/>
                          </a:prstGeom>
                        </pic:spPr>
                      </pic:pic>
                    </a:graphicData>
                  </a:graphic>
                </wp:inline>
              </w:drawing>
            </w:r>
            <w:r>
              <w:rPr/>
              <w:t> </w:t>
            </w:r>
          </w:p>
          <w:p>
            <w:pPr>
              <w:pStyle w:val="TableContents"/>
              <w:spacing w:before="0" w:after="0"/>
              <w:ind w:left="0" w:right="0" w:hanging="0"/>
              <w:jc w:val="left"/>
              <w:rPr>
                <w:rFonts w:ascii="Arial;sans-serif" w:hAnsi="Arial;sans-serif"/>
                <w:b/>
                <w:i/>
                <w:sz w:val="20"/>
              </w:rPr>
            </w:pPr>
            <w:r>
              <w:rPr>
                <w:rFonts w:ascii="Arial;sans-serif" w:hAnsi="Arial;sans-serif"/>
                <w:b/>
                <w:i/>
                <w:sz w:val="20"/>
              </w:rPr>
              <w:t>Jody Bilney</w:t>
            </w:r>
          </w:p>
        </w:tc>
        <w:tc>
          <w:tcPr>
            <w:tcW w:w="8184" w:type="dxa"/>
            <w:tcBorders/>
            <w:shd w:fill="auto" w:val="clear"/>
            <w:tcMar>
              <w:top w:w="0" w:type="dxa"/>
              <w:left w:w="0" w:type="dxa"/>
              <w:bottom w:w="0" w:type="dxa"/>
              <w:right w:w="0" w:type="dxa"/>
            </w:tcMar>
            <w:vAlign w:val="center"/>
          </w:tcPr>
          <w:p>
            <w:pPr>
              <w:pStyle w:val="TableContents"/>
              <w:spacing w:before="240" w:after="0"/>
              <w:ind w:left="0" w:right="0" w:hanging="0"/>
              <w:jc w:val="left"/>
              <w:rPr>
                <w:rFonts w:ascii="Times New Roman" w:hAnsi="Times New Roman"/>
                <w:sz w:val="20"/>
              </w:rPr>
            </w:pPr>
            <w:r>
              <w:rPr>
                <w:rFonts w:ascii="Arial;sans-serif" w:hAnsi="Arial;sans-serif"/>
                <w:b w:val="false"/>
                <w:sz w:val="20"/>
              </w:rPr>
              <w:t>Ms. Bilney has served as a member of our Board since January 2022. Ms. Bilney served as the Chief Consumer Officer of Humana, Inc., a health insurance provider, from April 2013 until her retirement in 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 Inc., Charles Schwab &amp; Co., Inc., and Verizon Communications, Inc. Ms. Bilney has served as a director of Chuy’s Holdings, Inc. since 2021, Masonite International Corp. since 2014 and Cracker Barrel Old Country Store, Inc. since 2022. She earned a Bachelor of Science degree in Economics, with a minor in Marketing, from Clemson University. Ms. Bilney is a valuable member of our Board because of her leadership and industry-specific and marketing experience.</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tcMar>
              <w:top w:w="0" w:type="dxa"/>
              <w:left w:w="0" w:type="dxa"/>
              <w:bottom w:w="0" w:type="dxa"/>
              <w:right w:w="0" w:type="dxa"/>
            </w:tcMar>
            <w:vAlign w:val="center"/>
          </w:tcPr>
          <w:p>
            <w:pPr>
              <w:pStyle w:val="TableContents"/>
              <w:spacing w:before="240" w:after="0"/>
              <w:ind w:left="0" w:right="0" w:hanging="0"/>
              <w:jc w:val="left"/>
              <w:rPr/>
            </w:pPr>
            <w:r>
              <w:rPr/>
              <w:drawing>
                <wp:inline distT="0" distB="0" distL="0" distR="0">
                  <wp:extent cx="1181100" cy="1104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David Hodgson</w:t>
            </w:r>
          </w:p>
        </w:tc>
        <w:tc>
          <w:tcPr>
            <w:tcW w:w="8184" w:type="dxa"/>
            <w:tcBorders/>
            <w:shd w:fill="auto" w:val="clear"/>
            <w:tcMar>
              <w:top w:w="0" w:type="dxa"/>
              <w:left w:w="0" w:type="dxa"/>
              <w:bottom w:w="0" w:type="dxa"/>
              <w:right w:w="0" w:type="dxa"/>
            </w:tcMar>
            <w:vAlign w:val="center"/>
          </w:tcPr>
          <w:p>
            <w:pPr>
              <w:pStyle w:val="TableContents"/>
              <w:spacing w:before="200" w:after="0"/>
              <w:ind w:left="0" w:right="0" w:hanging="0"/>
              <w:jc w:val="left"/>
              <w:rPr>
                <w:rFonts w:ascii="Arial;sans-serif" w:hAnsi="Arial;sans-serif"/>
                <w:b w:val="false"/>
                <w:sz w:val="20"/>
              </w:rPr>
            </w:pPr>
            <w:r>
              <w:rPr>
                <w:rFonts w:ascii="Arial;sans-serif" w:hAnsi="Arial;sans-serif"/>
                <w:b w:val="false"/>
                <w:sz w:val="20"/>
              </w:rPr>
              <w:t>Mr. Hodgson has served as a member of our Board since 2014. Mr. Hodgson is a Managing Director and Vice Chairman of General Atlantic. He joined General Atlantic in 1982 and has over 30 years of experience identifying and assisting portfolio companies worldwide in all areas of their development. Currently, Mr. Hodgson is Chair of the board of directors of TriNet Group, Inc., a public human resources provider, and is a member of the board of directors of Royalty Pharma plc, a public pharmaceutical company. Mr. Hodgson has an MBA from Stanford Graduate School of Business (1982) and a Bachelor of Arts in Mathematics and Social Sciences from Dartmouth College (1978). Mr. Hodgson is a valuable member of our Board because of his private equity experience and his experience on other health care companies’ boards.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81100" cy="1104900"/>
                          </a:xfrm>
                          <a:prstGeom prst="rect">
                            <a:avLst/>
                          </a:prstGeom>
                        </pic:spPr>
                      </pic:pic>
                    </a:graphicData>
                  </a:graphic>
                </wp:inline>
              </w:drawing>
            </w:r>
            <w:r>
              <w:rPr/>
              <w:t> </w:t>
            </w:r>
          </w:p>
          <w:p>
            <w:pPr>
              <w:pStyle w:val="TableContents"/>
              <w:spacing w:before="0" w:after="0"/>
              <w:ind w:left="0" w:right="0" w:hanging="0"/>
              <w:jc w:val="left"/>
              <w:rPr>
                <w:rFonts w:ascii="Arial;sans-serif" w:hAnsi="Arial;sans-serif"/>
                <w:b/>
                <w:i/>
                <w:sz w:val="20"/>
              </w:rPr>
            </w:pPr>
            <w:r>
              <w:rPr>
                <w:rFonts w:ascii="Arial;sans-serif" w:hAnsi="Arial;sans-serif"/>
                <w:b/>
                <w:i/>
                <w:sz w:val="20"/>
              </w:rPr>
              <w:t>Jacqueline Kosecoff</w:t>
            </w:r>
          </w:p>
        </w:tc>
        <w:tc>
          <w:tcPr>
            <w:tcW w:w="8184" w:type="dxa"/>
            <w:tcBorders/>
            <w:shd w:fill="auto" w:val="clear"/>
            <w:vAlign w:val="center"/>
          </w:tcPr>
          <w:p>
            <w:pPr>
              <w:pStyle w:val="TableContents"/>
              <w:spacing w:before="200" w:after="120"/>
              <w:ind w:left="0" w:right="0" w:hanging="0"/>
              <w:jc w:val="left"/>
              <w:rPr>
                <w:rFonts w:ascii="Arial;sans-serif" w:hAnsi="Arial;sans-serif"/>
                <w:b w:val="false"/>
                <w:sz w:val="20"/>
              </w:rPr>
            </w:pPr>
            <w:r>
              <w:rPr>
                <w:rFonts w:ascii="Arial;sans-serif" w:hAnsi="Arial;sans-serif"/>
                <w:b w:val="false"/>
                <w:sz w:val="20"/>
              </w:rPr>
              <w:t>Dr. Kosecoff has served as a member of our Board since 2017. Since 2012, Dr. Kosecoff has served as a Managing Partner of Moriah Partners and also a Senior Advisor of Warburg Pincus. From 2002 to 2012, 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Prescription Solutions (now known as OptumRx). Prior to joining UnitedHealth Group-PacifiCare, Dr. Kosecoff was founder, President and Chief Operating Officer of Protocare. Currently Dr. Kosecoff sits on the board of directors of Steris, plc, TriNet Group, Inc., Houlihan Lokey, Inc. and GoodRx Holdings, Inc. From May 2005 through May 2021, Dr. Kosecoff served on the board directors of Sealed Air Corporation. From July 2012 through February 2019, Dr. Kosecoff served on the board of directors of athenahealth, Inc. Dr. Kosecoff holds a B.A. from the University of California, Los Angeles, an M.S. in Applied Mathematics from Brown University, and a doctorate from the University of California, Los Angeles. Dr. Kosecoff was appointed to serve on our board of directors because of her knowledge of Medicare Advantage and Medicare Part D, extensive experience in managing organizations and her experience serving on public company boards.</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81100" cy="1104900"/>
                          </a:xfrm>
                          <a:prstGeom prst="rect">
                            <a:avLst/>
                          </a:prstGeom>
                        </pic:spPr>
                      </pic:pic>
                    </a:graphicData>
                  </a:graphic>
                </wp:inline>
              </w:drawing>
            </w:r>
            <w:r>
              <w:rPr/>
              <w:t> </w:t>
            </w:r>
          </w:p>
          <w:p>
            <w:pPr>
              <w:pStyle w:val="TableContents"/>
              <w:spacing w:before="0" w:after="0"/>
              <w:ind w:left="0" w:right="0" w:hanging="0"/>
              <w:jc w:val="left"/>
              <w:rPr>
                <w:rFonts w:ascii="Times New Roman" w:hAnsi="Times New Roman"/>
                <w:sz w:val="20"/>
              </w:rPr>
            </w:pPr>
            <w:r>
              <w:rPr>
                <w:rFonts w:ascii="Arial;sans-serif" w:hAnsi="Arial;sans-serif"/>
                <w:b/>
                <w:i/>
                <w:sz w:val="20"/>
              </w:rPr>
              <w:t>Jeffrey Margolis</w:t>
            </w:r>
            <w:r>
              <w:rPr>
                <w:rFonts w:ascii="Times New Roman" w:hAnsi="Times New Roman"/>
                <w:sz w:val="20"/>
              </w:rPr>
              <w:t xml:space="preserve"> </w:t>
            </w:r>
          </w:p>
        </w:tc>
        <w:tc>
          <w:tcPr>
            <w:tcW w:w="8184" w:type="dxa"/>
            <w:tcBorders/>
            <w:shd w:fill="auto" w:val="clear"/>
            <w:vAlign w:val="center"/>
          </w:tcPr>
          <w:p>
            <w:pPr>
              <w:pStyle w:val="TableContents"/>
              <w:spacing w:before="240" w:after="0"/>
              <w:ind w:left="0" w:right="0" w:hanging="0"/>
              <w:jc w:val="left"/>
              <w:rPr>
                <w:rFonts w:ascii="Times New Roman" w:hAnsi="Times New Roman"/>
                <w:sz w:val="20"/>
              </w:rPr>
            </w:pPr>
            <w:r>
              <w:rPr>
                <w:rFonts w:ascii="Arial;sans-serif" w:hAnsi="Arial;sans-serif"/>
                <w:b w:val="false"/>
                <w:sz w:val="20"/>
              </w:rPr>
              <w:t>Mr. Margolis has served as a member of our Board since 2014. Mr. Margolis has served as Chairman of NextGen Healthcare, Inc. since November 2015 and as a member of the board since May 2014, as Vice Chairman of TriNetX, Inc. since October 2014, as a director of Get-Grin Inc. since December 2021 and as a director of Hydrogen Health since April 2021. He previously served as Chairman of Welltok, Inc. from October 2011 until November 2021, where he also served as CEO from April 2013 through April 2020. Mr. Margolis is Chairman Emeritus of TriZetto Corporation, where he served as the founding CEO beginning in 1997, served as Chairman and CEO until 2010, and continued as Chairman until October 2011. He also served as Senior Executive Advisor to the Oliver Wyman Health Innovation Center during 2012 and 2013. From 1989 to 1997, Mr. Margolis served as Senior Vice President and Chief Information Officer of FHP International Corp. Earlier in his career, Mr. Margolis served in various positions with Andersen Consulting (now Accenture) including his final position as Manager, Healthcare Consulting. Mr. Margolis currently serves on the board of directors of Hoag Hospital and is Chairman of the Hoag Clinic in Newport Beach, California. He also serves on the Advisory Boards of the University of California at Irvine’s Center for Healthcare Management &amp; Policy and Center for Digital Transformation. A published author on topics of health care information technology and systems, Mr. Margolis earned a bachelor’s degree in business administration/management information systems with high honors from the University of Illinois in 1984 and holds CPA</w:t>
            </w:r>
            <w:r>
              <w:rPr>
                <w:rFonts w:ascii="Times New Roman" w:hAnsi="Times New Roman"/>
                <w:sz w:val="20"/>
              </w:rPr>
              <w:t xml:space="preserve"> </w:t>
            </w:r>
          </w:p>
        </w:tc>
      </w:tr>
    </w:tbl>
    <w:p>
      <w:pPr>
        <w:pStyle w:val="TextBody"/>
        <w:spacing w:before="24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10044" w:type="dxa"/>
            <w:tcBorders/>
            <w:shd w:fill="auto" w:val="clear"/>
            <w:vAlign w:val="center"/>
          </w:tcPr>
          <w:p>
            <w:pPr>
              <w:pStyle w:val="TableContents"/>
              <w:spacing w:before="0" w:after="240"/>
              <w:ind w:left="0" w:right="0" w:hanging="0"/>
              <w:jc w:val="left"/>
              <w:rPr>
                <w:rFonts w:ascii="Arial;sans-serif" w:hAnsi="Arial;sans-serif"/>
                <w:b w:val="false"/>
                <w:sz w:val="20"/>
              </w:rPr>
            </w:pPr>
            <w:r>
              <w:rPr>
                <w:rFonts w:ascii="Arial;sans-serif" w:hAnsi="Arial;sans-serif"/>
                <w:b w:val="false"/>
                <w:sz w:val="20"/>
              </w:rPr>
              <w:t>certificates (currently inactive) in Colorado and Illinois. Mr. Margolis is a NACD Board Leadership Fellow and holds a Certified Global Management Accountant designation with the American Institute of Certified Public Accountants. Mr. Margolis is a valuable member of our Board because of his extensive experience as a chief executive officer in the health care information technology sector, his financial expertise and his experience as an executive officer and director of multiple public and private companies.</w:t>
            </w:r>
          </w:p>
        </w:tc>
      </w:tr>
    </w:tbl>
    <w:p>
      <w:pPr>
        <w:pStyle w:val="TextBody"/>
        <w:spacing w:before="0" w:after="0"/>
        <w:jc w:val="left"/>
        <w:rPr>
          <w:rFonts w:ascii="Arial;sans-serif" w:hAnsi="Arial;sans-serif"/>
          <w:b/>
          <w:i/>
          <w:sz w:val="20"/>
        </w:rPr>
      </w:pPr>
      <w:r>
        <w:rPr>
          <w:rFonts w:ascii="Arial;sans-serif" w:hAnsi="Arial;sans-serif"/>
          <w:b/>
          <w:i/>
          <w:sz w:val="20"/>
        </w:rPr>
        <w:t>Vote Required and Recommendation of the Board of Directors</w:t>
      </w:r>
    </w:p>
    <w:p>
      <w:pPr>
        <w:pStyle w:val="TextBody"/>
        <w:spacing w:before="120" w:after="360"/>
        <w:jc w:val="left"/>
        <w:rPr>
          <w:rFonts w:ascii="Arial;sans-serif" w:hAnsi="Arial;sans-serif"/>
          <w:b w:val="false"/>
          <w:sz w:val="20"/>
        </w:rPr>
      </w:pPr>
      <w:r>
        <w:rPr>
          <w:rFonts w:ascii="Arial;sans-serif" w:hAnsi="Arial;sans-serif"/>
          <w:b w:val="false"/>
          <w:sz w:val="20"/>
        </w:rPr>
        <w:t>A plurality of the votes cast by the shares of common stock present in person or represented by proxy at the Annual Meeting and entitled to vote thereon is required to elect each nominee named herein. This means that the four nominees receiving the highest number of votes at the Annual Meeting will be elected, even if those votes do not constitute a majority of the votes cast. Shares not present at the Annual Meeting and broker non-votes have no effect on the election of directors. Abstentions are not applicable to this vote.</w:t>
      </w:r>
    </w:p>
    <w:tbl>
      <w:tblPr>
        <w:tblW w:w="6031" w:type="dxa"/>
        <w:jc w:val="left"/>
        <w:tblInd w:w="0" w:type="dxa"/>
        <w:tblCellMar>
          <w:top w:w="28" w:type="dxa"/>
          <w:left w:w="28" w:type="dxa"/>
          <w:bottom w:w="28" w:type="dxa"/>
          <w:right w:w="28" w:type="dxa"/>
        </w:tblCellMar>
      </w:tblPr>
      <w:tblGrid>
        <w:gridCol w:w="6031"/>
      </w:tblGrid>
      <w:tr>
        <w:trPr/>
        <w:tc>
          <w:tcPr>
            <w:tcW w:w="6031" w:type="dxa"/>
            <w:tcBorders/>
            <w:shd w:fill="auto" w:val="clear"/>
            <w:vAlign w:val="center"/>
          </w:tcPr>
          <w:p>
            <w:pPr>
              <w:pStyle w:val="TableContents"/>
              <w:spacing w:before="0" w:after="283"/>
              <w:rPr>
                <w:sz w:val="4"/>
                <w:szCs w:val="4"/>
              </w:rPr>
            </w:pPr>
            <w:r>
              <w:rPr>
                <w:sz w:val="4"/>
                <w:szCs w:val="4"/>
              </w:rPr>
            </w:r>
          </w:p>
        </w:tc>
      </w:tr>
      <w:tr>
        <w:trPr/>
        <w:tc>
          <w:tcPr>
            <w:tcW w:w="603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240" w:after="240"/>
              <w:ind w:left="0" w:right="0" w:hanging="0"/>
              <w:jc w:val="center"/>
              <w:rPr>
                <w:rFonts w:ascii="Arial;sans-serif" w:hAnsi="Arial;sans-serif"/>
                <w:b/>
                <w:sz w:val="20"/>
              </w:rPr>
            </w:pPr>
            <w:r>
              <w:rPr>
                <w:rFonts w:ascii="Arial;sans-serif" w:hAnsi="Arial;sans-serif"/>
                <w:b/>
                <w:sz w:val="20"/>
              </w:rPr>
              <w:t xml:space="preserve">THE BOARD OF DIRECTORS RECOMMENDS THAT YOU VOTE </w:t>
              <w:br/>
              <w:t>“FOR” EACH OF THE ABOVE DIRECTOR NOMINEES.</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5" w:name="continuing_directors"/>
      <w:bookmarkEnd w:id="5"/>
      <w:r>
        <w:rPr>
          <w:rFonts w:ascii="Arial;sans-serif" w:hAnsi="Arial;sans-serif"/>
          <w:b/>
          <w:sz w:val="20"/>
        </w:rPr>
        <w:t>Continuing Directors</w:t>
      </w:r>
      <w:r>
        <w:rPr>
          <w:rFonts w:ascii="Times New Roman" w:hAnsi="Times New Roman"/>
          <w:sz w:val="20"/>
        </w:rPr>
        <w:t xml:space="preserve"> </w:t>
      </w:r>
    </w:p>
    <w:p>
      <w:pPr>
        <w:pStyle w:val="TextBody"/>
        <w:spacing w:before="240" w:after="120"/>
        <w:jc w:val="left"/>
        <w:rPr>
          <w:rFonts w:ascii="Arial;sans-serif" w:hAnsi="Arial;sans-serif"/>
          <w:b w:val="false"/>
          <w:sz w:val="20"/>
        </w:rPr>
      </w:pPr>
      <w:r>
        <w:rPr>
          <w:rFonts w:ascii="Arial;sans-serif" w:hAnsi="Arial;sans-serif"/>
          <w:b w:val="false"/>
          <w:sz w:val="20"/>
        </w:rPr>
        <w:t>The following table summarizes key facts regarding the members of our Board whose terms are continuing beyond the Annual Meeting:</w:t>
      </w:r>
    </w:p>
    <w:tbl>
      <w:tblPr>
        <w:tblW w:w="10205" w:type="dxa"/>
        <w:jc w:val="left"/>
        <w:tblInd w:w="0" w:type="dxa"/>
        <w:tblCellMar>
          <w:top w:w="28" w:type="dxa"/>
          <w:left w:w="28" w:type="dxa"/>
          <w:bottom w:w="28" w:type="dxa"/>
          <w:right w:w="28" w:type="dxa"/>
        </w:tblCellMar>
      </w:tblPr>
      <w:tblGrid>
        <w:gridCol w:w="2371"/>
        <w:gridCol w:w="601"/>
        <w:gridCol w:w="451"/>
        <w:gridCol w:w="1037"/>
        <w:gridCol w:w="979"/>
        <w:gridCol w:w="1156"/>
        <w:gridCol w:w="1729"/>
        <w:gridCol w:w="1881"/>
      </w:tblGrid>
      <w:tr>
        <w:trPr/>
        <w:tc>
          <w:tcPr>
            <w:tcW w:w="237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r>
      <w:tr>
        <w:trPr/>
        <w:tc>
          <w:tcPr>
            <w:tcW w:w="237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Name</w:t>
            </w:r>
          </w:p>
        </w:tc>
        <w:tc>
          <w:tcPr>
            <w:tcW w:w="6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Class</w:t>
            </w:r>
          </w:p>
        </w:tc>
        <w:tc>
          <w:tcPr>
            <w:tcW w:w="4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Age</w:t>
            </w:r>
          </w:p>
        </w:tc>
        <w:tc>
          <w:tcPr>
            <w:tcW w:w="103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Director Since</w:t>
            </w:r>
          </w:p>
        </w:tc>
        <w:tc>
          <w:tcPr>
            <w:tcW w:w="97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Term Expires</w:t>
            </w:r>
          </w:p>
        </w:tc>
        <w:tc>
          <w:tcPr>
            <w:tcW w:w="11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Independent</w:t>
            </w:r>
          </w:p>
        </w:tc>
        <w:tc>
          <w:tcPr>
            <w:tcW w:w="172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Committees</w:t>
            </w:r>
          </w:p>
        </w:tc>
        <w:tc>
          <w:tcPr>
            <w:tcW w:w="188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Other Public Company Boards</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Thomas Carella</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48</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2017</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2025</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18"/>
              </w:rPr>
            </w:pPr>
            <w:r>
              <w:rPr>
                <w:rFonts w:ascii="Arial;sans-serif" w:hAnsi="Arial;sans-serif"/>
                <w:b w:val="false"/>
                <w:sz w:val="18"/>
              </w:rPr>
              <w:t>Compensation</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Mark McClellan</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59</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2025</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44"/>
              <w:jc w:val="left"/>
              <w:rPr/>
            </w:pPr>
            <w:r>
              <w:rPr/>
              <w:t>—</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0"/>
              <w:ind w:left="0" w:right="0" w:hanging="0"/>
              <w:jc w:val="left"/>
              <w:rPr/>
            </w:pPr>
            <w:r>
              <w:rPr/>
              <w:t>•</w:t>
            </w:r>
          </w:p>
          <w:p>
            <w:pPr>
              <w:pStyle w:val="TableContents"/>
              <w:spacing w:before="120" w:after="0"/>
              <w:jc w:val="left"/>
              <w:rPr>
                <w:rFonts w:ascii="Arial;sans-serif" w:hAnsi="Arial;sans-serif"/>
                <w:b w:val="false"/>
                <w:sz w:val="18"/>
              </w:rPr>
            </w:pPr>
            <w:r>
              <w:rPr>
                <w:rFonts w:ascii="Arial;sans-serif" w:hAnsi="Arial;sans-serif"/>
                <w:b w:val="false"/>
                <w:sz w:val="18"/>
              </w:rPr>
              <w:t>Cigna Corporation</w:t>
            </w:r>
          </w:p>
          <w:p>
            <w:pPr>
              <w:pStyle w:val="TableContents"/>
              <w:spacing w:before="80" w:after="120"/>
              <w:ind w:left="0" w:right="0" w:hanging="0"/>
              <w:jc w:val="left"/>
              <w:rPr/>
            </w:pPr>
            <w:r>
              <w:rPr/>
              <w:t>•</w:t>
            </w:r>
          </w:p>
          <w:p>
            <w:pPr>
              <w:pStyle w:val="TableContents"/>
              <w:spacing w:before="80" w:after="120"/>
              <w:jc w:val="left"/>
              <w:rPr>
                <w:rFonts w:ascii="Arial;sans-serif" w:hAnsi="Arial;sans-serif"/>
                <w:b w:val="false"/>
                <w:sz w:val="18"/>
              </w:rPr>
            </w:pPr>
            <w:r>
              <w:rPr>
                <w:rFonts w:ascii="Arial;sans-serif" w:hAnsi="Arial;sans-serif"/>
                <w:b w:val="false"/>
                <w:sz w:val="18"/>
              </w:rPr>
              <w:t>Johnson &amp; Johnson</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Robbert Vorhoff</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44</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2025</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58"/>
              <w:jc w:val="left"/>
              <w:rPr>
                <w:rFonts w:ascii="Arial;sans-serif" w:hAnsi="Arial;sans-serif"/>
                <w:b w:val="false"/>
                <w:sz w:val="18"/>
              </w:rPr>
            </w:pPr>
            <w:r>
              <w:rPr>
                <w:rFonts w:ascii="Arial;sans-serif" w:hAnsi="Arial;sans-serif"/>
                <w:b w:val="false"/>
                <w:sz w:val="18"/>
              </w:rPr>
              <w:t>Compensation (Chair)</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Oak Street Health, Inc.</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Yon Jorden</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III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68</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2022</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58"/>
              <w:jc w:val="left"/>
              <w:rPr>
                <w:rFonts w:ascii="Arial;sans-serif" w:hAnsi="Arial;sans-serif"/>
                <w:b w:val="false"/>
                <w:sz w:val="18"/>
              </w:rPr>
            </w:pPr>
            <w:r>
              <w:rPr>
                <w:rFonts w:ascii="Arial;sans-serif" w:hAnsi="Arial;sans-serif"/>
                <w:b w:val="false"/>
                <w:sz w:val="18"/>
              </w:rPr>
              <w:t>Audit</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Cohu, Inc.</w:t>
            </w:r>
          </w:p>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Capstone Green Energy Corp.</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John Kao</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III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61</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No</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pPr>
            <w:r>
              <w:rPr/>
              <w:t>—</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Joseph Konowiecki, Chairman</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III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69</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2014</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No</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pPr>
            <w:r>
              <w:rPr/>
              <w:t>—</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tc>
      </w:tr>
      <w:tr>
        <w:trPr/>
        <w:tc>
          <w:tcPr>
            <w:tcW w:w="237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3"/>
              <w:jc w:val="left"/>
              <w:rPr>
                <w:rFonts w:ascii="Arial;sans-serif" w:hAnsi="Arial;sans-serif"/>
                <w:b w:val="false"/>
                <w:sz w:val="18"/>
              </w:rPr>
            </w:pPr>
            <w:r>
              <w:rPr>
                <w:rFonts w:ascii="Arial;sans-serif" w:hAnsi="Arial;sans-serif"/>
                <w:b w:val="false"/>
                <w:sz w:val="18"/>
              </w:rPr>
              <w:t>Margaret McCarthy, Lead Independent Director</w:t>
            </w:r>
          </w:p>
        </w:tc>
        <w:tc>
          <w:tcPr>
            <w:tcW w:w="6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7"/>
              <w:jc w:val="center"/>
              <w:rPr>
                <w:rFonts w:ascii="Arial;sans-serif" w:hAnsi="Arial;sans-serif"/>
                <w:b w:val="false"/>
                <w:sz w:val="18"/>
              </w:rPr>
            </w:pPr>
            <w:r>
              <w:rPr>
                <w:rFonts w:ascii="Arial;sans-serif" w:hAnsi="Arial;sans-serif"/>
                <w:b w:val="false"/>
                <w:sz w:val="18"/>
              </w:rPr>
              <w:t>III</w:t>
            </w:r>
          </w:p>
        </w:tc>
        <w:tc>
          <w:tcPr>
            <w:tcW w:w="4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17" w:right="0" w:hanging="0"/>
              <w:jc w:val="center"/>
              <w:rPr>
                <w:rFonts w:ascii="Arial;sans-serif" w:hAnsi="Arial;sans-serif"/>
                <w:b w:val="false"/>
                <w:sz w:val="18"/>
              </w:rPr>
            </w:pPr>
            <w:r>
              <w:rPr>
                <w:rFonts w:ascii="Arial;sans-serif" w:hAnsi="Arial;sans-serif"/>
                <w:b w:val="false"/>
                <w:sz w:val="18"/>
              </w:rPr>
              <w:t>69</w:t>
            </w:r>
          </w:p>
        </w:tc>
        <w:tc>
          <w:tcPr>
            <w:tcW w:w="103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2020</w:t>
            </w:r>
          </w:p>
        </w:tc>
        <w:tc>
          <w:tcPr>
            <w:tcW w:w="97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2024</w:t>
            </w:r>
          </w:p>
        </w:tc>
        <w:tc>
          <w:tcPr>
            <w:tcW w:w="11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18"/>
              </w:rPr>
            </w:pPr>
            <w:r>
              <w:rPr>
                <w:rFonts w:ascii="Arial;sans-serif" w:hAnsi="Arial;sans-serif"/>
                <w:b w:val="false"/>
                <w:sz w:val="18"/>
              </w:rPr>
              <w:t>Yes</w:t>
            </w:r>
          </w:p>
        </w:tc>
        <w:tc>
          <w:tcPr>
            <w:tcW w:w="17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firstLine="187"/>
              <w:jc w:val="left"/>
              <w:rPr>
                <w:rFonts w:ascii="Arial;sans-serif" w:hAnsi="Arial;sans-serif"/>
                <w:b w:val="false"/>
                <w:sz w:val="18"/>
              </w:rPr>
            </w:pPr>
            <w:r>
              <w:rPr>
                <w:rFonts w:ascii="Arial;sans-serif" w:hAnsi="Arial;sans-serif"/>
                <w:b w:val="false"/>
                <w:sz w:val="18"/>
              </w:rPr>
              <w:t>Audit</w:t>
            </w:r>
          </w:p>
        </w:tc>
        <w:tc>
          <w:tcPr>
            <w:tcW w:w="1881" w:type="dxa"/>
            <w:tcBorders>
              <w:bottom w:val="single" w:sz="2" w:space="0" w:color="000000"/>
            </w:tcBorders>
            <w:shd w:fill="auto" w:val="clear"/>
            <w:tcMar>
              <w:top w:w="0" w:type="dxa"/>
              <w:left w:w="0" w:type="dxa"/>
              <w:right w:w="0" w:type="dxa"/>
            </w:tcMar>
            <w:vAlign w:val="center"/>
          </w:tcPr>
          <w:p>
            <w:pPr>
              <w:pStyle w:val="TableContents"/>
              <w:spacing w:before="120" w:after="120"/>
              <w:ind w:left="14"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American Electric Power Co. Inc.</w:t>
            </w:r>
          </w:p>
          <w:p>
            <w:pPr>
              <w:pStyle w:val="TableContents"/>
              <w:spacing w:before="120" w:after="120"/>
              <w:ind w:left="14"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First American Financial Corp.</w:t>
            </w:r>
          </w:p>
          <w:p>
            <w:pPr>
              <w:pStyle w:val="TableContents"/>
              <w:spacing w:before="120" w:after="120"/>
              <w:ind w:left="14"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Marriott International</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120" w:after="0"/>
              <w:ind w:left="0" w:right="0" w:hanging="0"/>
              <w:jc w:val="left"/>
              <w:rPr/>
            </w:pPr>
            <w:r>
              <w:rPr/>
              <w:drawing>
                <wp:inline distT="0" distB="0" distL="0" distR="0">
                  <wp:extent cx="1181100" cy="11049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Thomas Carella</w:t>
            </w:r>
          </w:p>
          <w:p>
            <w:pPr>
              <w:pStyle w:val="TableContents"/>
              <w:spacing w:before="240" w:after="0"/>
              <w:ind w:left="0" w:right="0" w:hanging="0"/>
              <w:jc w:val="left"/>
              <w:rPr/>
            </w:pPr>
            <w:r>
              <w:rPr/>
              <w:t> </w:t>
            </w:r>
          </w:p>
        </w:tc>
        <w:tc>
          <w:tcPr>
            <w:tcW w:w="8184" w:type="dxa"/>
            <w:tcBorders/>
            <w:shd w:fill="auto" w:val="cle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Mr. Carella has served as a member of our Board since 2017. Mr. Carella has served as a Managing Director at Warburg Pincus since September 2016 where he is Head of Healthcare. Prior to joining Warburg Pincus, Mr. Carella was a Partner in the Merchant Banking Division of Goldman Sachs and Global Head of the division’s private equity activities in the health care sector. Mr. Carella currently serves on the board of directors of private health care companies including Aetion, Bond Vet, Polyplus, Quantum Health, Ensemble Health Partners and WebPT. Mr. Carella previously served on the board of public companies SOC Telemed, Inc. from October 2020 to April 2022 and Outset Medical, Inc. from April 2019 to January 2021. He also previously served on the board of private companies Summit Health/City MD from 2017 to 2023, and Vertice Pharma from 2020 to 2022. Mr. Carella holds a B.A. from Harvard College and an M.B.A. from Harvard Business School. Mr. Carella serves on our Board because of his private equity experience and his experience on other health care companies’ boards.</w:t>
            </w:r>
          </w:p>
        </w:tc>
      </w:tr>
    </w:tbl>
    <w:p>
      <w:pPr>
        <w:pStyle w:val="TextBody"/>
        <w:spacing w:before="24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Mark McClellan</w:t>
            </w:r>
          </w:p>
        </w:tc>
        <w:tc>
          <w:tcPr>
            <w:tcW w:w="8184" w:type="dxa"/>
            <w:tcBorders/>
            <w:shd w:fill="auto" w:val="clear"/>
            <w:vAlign w:val="center"/>
          </w:tcPr>
          <w:p>
            <w:pPr>
              <w:pStyle w:val="TableContents"/>
              <w:spacing w:before="240" w:after="0"/>
              <w:ind w:left="0" w:right="0" w:hanging="0"/>
              <w:jc w:val="left"/>
              <w:rPr>
                <w:rFonts w:ascii="Arial;sans-serif" w:hAnsi="Arial;sans-serif"/>
                <w:b w:val="false"/>
                <w:sz w:val="20"/>
              </w:rPr>
            </w:pPr>
            <w:r>
              <w:rPr>
                <w:rFonts w:ascii="Arial;sans-serif" w:hAnsi="Arial;sans-serif"/>
                <w:b w:val="false"/>
                <w:sz w:val="20"/>
              </w:rPr>
              <w:t>Dr. McClellan has served as a member of our Board since 2014. Dr. McClellan became the inaugural Director of the Duke-Robert J. Margolis, MD, Center for Health Policy and the Margolis Professor of 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 Brookings Institution. Dr. McClellan served as Administrator of the Centers for Medicare &amp; Medicaid Services (“CMS”) for the U.S. Department of Health and Human Services from 2004 to 2006 and as Commissioner of the U.S. Food and Drug Administration from 2002 to 2004. He served as a Member of the President’s Council of Economic Advisers and as Senior Director for Healthcare Policy at the White House from 2001 to 2002 and, during the Clinton administration, held the position of Deputy Assistant Secretary for Economic Policy for the Department of the Treasury. Dr. McClellan previously served as an Associate Professor of Economics and Medicine with tenure at Stanford University, where he also directed the Program on Health Outcomes Research. Dr. McClellan was the founding chair and currently serves as an advisor to the Reagan-Udall Foundation. He is also a member of the National Academy of Medicine, chairs the Academy’s Leadership Consortium: Collaboration for a Value and Science-Driven Learning Health System, and co-chairs the Guiding Committee of the Health Care Payment Learning and Action Network. He sits on the boards of directors of various nonprofit organizations including ResearchAmerica!, National Alliance for Hispanic Health, Institute for Accountable Care, PrognomIQ and United States of Care, as well as two public companies, Cigna Corporation and Johnson &amp; Johnson. Dr. McClellan received his Bachelor of Arts degree from the University of Texas, his Masters of Public Administration and Medical Doctorate from 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0" w:after="0"/>
              <w:ind w:left="0" w:right="0" w:hanging="0"/>
              <w:jc w:val="left"/>
              <w:rPr/>
            </w:pPr>
            <w:r>
              <w:rPr/>
              <w:t> </w:t>
            </w:r>
          </w:p>
        </w:tc>
        <w:tc>
          <w:tcPr>
            <w:tcW w:w="8184" w:type="dxa"/>
            <w:tcBorders/>
            <w:shd w:fill="auto" w:val="clear"/>
            <w:vAlign w:val="center"/>
          </w:tcPr>
          <w:p>
            <w:pPr>
              <w:pStyle w:val="TableContents"/>
              <w:spacing w:before="0" w:after="0"/>
              <w:ind w:left="0" w:right="0" w:hanging="0"/>
              <w:jc w:val="left"/>
              <w:rPr/>
            </w:pPr>
            <w:r>
              <w:rPr/>
              <w:t> </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Robbert Vorhoff</w:t>
            </w:r>
          </w:p>
        </w:tc>
        <w:tc>
          <w:tcPr>
            <w:tcW w:w="8184" w:type="dxa"/>
            <w:tcBorders/>
            <w:shd w:fill="auto" w:val="clear"/>
            <w:vAlign w:val="center"/>
          </w:tcPr>
          <w:p>
            <w:pPr>
              <w:pStyle w:val="TableContents"/>
              <w:spacing w:before="240" w:after="240"/>
              <w:ind w:left="0" w:right="0" w:hanging="0"/>
              <w:jc w:val="left"/>
              <w:rPr>
                <w:rFonts w:ascii="Arial;sans-serif" w:hAnsi="Arial;sans-serif"/>
                <w:b w:val="false"/>
                <w:sz w:val="20"/>
              </w:rPr>
            </w:pPr>
            <w:r>
              <w:rPr>
                <w:rFonts w:ascii="Arial;sans-serif" w:hAnsi="Arial;sans-serif"/>
                <w:b w:val="false"/>
                <w:sz w:val="20"/>
              </w:rPr>
              <w:t>Mr. Vorhoff has been a member of our Board since 2014. Mr. Vorhoff is a Managing Director, Management Committee member, Investment Committee member and the Head of Global Healthcare at General Atlantic, an investment management firm, in New York City. Before joining General Atlantic in 2003, Mr. Vorhoff worked at Greenhill &amp; Co., an investment bank, first in the mergers &amp; acquisitions and restructuring advisory group, then in the private equity group, Greenhill Capital Partners. Mr. Vorhoff is currently a member of the board of one public health care company, Oak Street Health, Inc., and of several private health care companies, including Equality Health, Included Health, Marathon Health, NationsBenefits, OneOncology, and WelbeHealth. Mr. Vorhoff previously was a member of the boards of Align Networks, Alternate Solutions Health Network, A Place for Mom, eviCore Healthcare, Landmark Health, and MedExpress. Mr. Vorhoff received a B.S. in Commerce with a concentration in Finance from the McIntire School of Commerce at the University of Virginia. Mr. Vorhoff is a valuable member of our Board because of his private equity experience and his experience on other health care companies’ boards.</w:t>
            </w:r>
          </w:p>
        </w:tc>
      </w:tr>
    </w:tbl>
    <w:p>
      <w:pPr>
        <w:pStyle w:val="TextBody"/>
        <w:spacing w:before="24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Yon Jorden</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Ms. Jorden has served as a member of our Board since January 2022. Ms. Jorden has served as a director and audit committee member of Cohu, Inc., a manufacturer of semiconductor equipment, since May 2021, and as a director of Capstone Green Energy Corp., a microturbine manufacturer, since April 2017. Additionally, she has served as a director and finance committee member of Methodist Health System, a not-for-profit Texas-based hospital system, since 2008. Prior to her current roles, Ms. Jorden served as director and a member of the audit committee for Maxwell Technologies, a manufacturer of energy storage and power delivery solutions, from 2008 to 2017. In addition, she also served as director and chairperson of the audit committee of Magnatek, Inc., a manufacturer of digital power control systems, U.S. Oncology, a privately held oncology services company, and BioScrip, a national provider of infusion and home care 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 Informix Corp. (now Ascential Software Corp.), a provider of information management software, Oxford Health Plans, a provider of managed health care services, and WellPoint, Inc., a managed care company. Earlier in her career, she was a senior auditor with Arthur Andersen &amp; Co., where she became a Certified Public Accountant (inactive) in the State of California. Ms. Jorden is a Board Leadership Fellow of the National Association of Corporate Directors. She received her Bachelor of Science degree in Accounting from the California State University, Los Angeles. Ms. Jorden is a valuable member of our Board because of her extensive experience as a chief financial officer, her financial expertise and her experience as a director of multiple public and private companies.</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Times New Roman" w:hAnsi="Times New Roman"/>
                <w:sz w:val="20"/>
              </w:rPr>
            </w:pPr>
            <w:r>
              <w:rPr>
                <w:rFonts w:ascii="Arial;sans-serif" w:hAnsi="Arial;sans-serif"/>
                <w:b/>
                <w:i/>
                <w:sz w:val="20"/>
              </w:rPr>
              <w:t>John Kao</w:t>
            </w:r>
            <w:r>
              <w:rPr>
                <w:rFonts w:ascii="Times New Roman" w:hAnsi="Times New Roman"/>
                <w:sz w:val="20"/>
              </w:rPr>
              <w:t xml:space="preserve"> </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Mr. Kao has served as our Chief Executive Officer and as a member of our Board since 2014. Mr. Kao is our founder, and he was appointed as our Chief Executive Officer and to serve on our board of directors because of his extensive experience in managing organizations in the health care industry. Mr. Kao previously served as president of CareMore Medical Enterprises, Inc. (“CareMore”), which Mr. Kao and his partners acquired in 2006. In August 2011, CareMore was acquired by Wellpoint, Inc. Mr. Kao has also 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 and investment banking with BancAmerica Securities, Inc. Mr. Kao received his Bachelor of Science degree from Santa Clara University and his MBA from the UCLA Anderson Graduate School of Management, where he was honored as a Venture Capital Fellow. Mr. Kao is qualified to serve on our Board because of his executive leadership experience and his extensive experience in the health care industry.</w:t>
            </w:r>
          </w:p>
        </w:tc>
      </w:tr>
    </w:tbl>
    <w:p>
      <w:pPr>
        <w:pStyle w:val="TextBody"/>
        <w:spacing w:before="24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Joseph Konowiecki</w:t>
            </w:r>
          </w:p>
        </w:tc>
        <w:tc>
          <w:tcPr>
            <w:tcW w:w="8184" w:type="dxa"/>
            <w:tcBorders/>
            <w:shd w:fill="auto" w:val="clear"/>
            <w:vAlign w:val="center"/>
          </w:tcPr>
          <w:p>
            <w:pPr>
              <w:pStyle w:val="TableContents"/>
              <w:spacing w:before="240" w:after="120"/>
              <w:ind w:left="0" w:right="0" w:hanging="0"/>
              <w:jc w:val="left"/>
              <w:rPr>
                <w:rFonts w:ascii="Times New Roman" w:hAnsi="Times New Roman"/>
                <w:sz w:val="20"/>
              </w:rPr>
            </w:pPr>
            <w:r>
              <w:rPr>
                <w:rFonts w:ascii="Arial;sans-serif" w:hAnsi="Arial;sans-serif"/>
                <w:b w:val="false"/>
                <w:sz w:val="20"/>
              </w:rPr>
              <w:t>Mr. Konowiecki</w:t>
            </w:r>
            <w:r>
              <w:rPr>
                <w:rFonts w:ascii="Times New Roman" w:hAnsi="Times New Roman"/>
                <w:sz w:val="20"/>
              </w:rPr>
              <w:t xml:space="preserve"> </w:t>
            </w:r>
            <w:r>
              <w:rPr>
                <w:rFonts w:ascii="Arial;sans-serif" w:hAnsi="Arial;sans-serif"/>
                <w:b w:val="false"/>
                <w:sz w:val="20"/>
              </w:rPr>
              <w:t>has served as chairman of the Board since 2014. In October 2022, he was appointed to an executive role with the Company, leading strategic network and business development. Since 2009, Mr. Konowiecki has served as managing partner of Moriah Partners, LLC and is the founder and CEO of Advanced Sports Media Group. Mr. Konowiecki previously served as Chairman and CEO of Apollo Enterprise Solutions, Inc. Mr. Konowiecki was previously CEO of Future Solutions with UnitedHealth Group’s Ovations division. Mr. Konowiecki has also held the positions of general counsel and executive vice president corporate affairs at PacifiCare Health Systems, Inc. In addition, he is a founding partner of the law firm Konowiecki &amp; Rank and serves as a member of the RAND Healthcare Advisory Board. Mr. Konowiecki received a Bachelor of Arts degree in Political Science from the University of California, Los Angeles and a JD from Hastings College. Mr. Konowiecki was appointed to serve on our board of directors because of his extensive experience in managing organizations as an executive officer and representing organizations in the health care industry.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0" w:after="0"/>
              <w:ind w:left="0" w:right="0" w:hanging="0"/>
              <w:jc w:val="left"/>
              <w:rPr/>
            </w:pPr>
            <w:r>
              <w:rPr/>
              <w:drawing>
                <wp:inline distT="0" distB="0" distL="0" distR="0">
                  <wp:extent cx="1181100" cy="11049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Times New Roman" w:hAnsi="Times New Roman"/>
                <w:sz w:val="20"/>
              </w:rPr>
            </w:pPr>
            <w:r>
              <w:rPr>
                <w:rFonts w:ascii="Arial;sans-serif" w:hAnsi="Arial;sans-serif"/>
                <w:b/>
                <w:i/>
                <w:sz w:val="20"/>
              </w:rPr>
              <w:t>Margaret McCarthy</w:t>
            </w:r>
            <w:r>
              <w:rPr>
                <w:rFonts w:ascii="Times New Roman" w:hAnsi="Times New Roman"/>
                <w:sz w:val="20"/>
              </w:rPr>
              <w:t xml:space="preserve"> </w:t>
            </w:r>
          </w:p>
        </w:tc>
        <w:tc>
          <w:tcPr>
            <w:tcW w:w="8184" w:type="dxa"/>
            <w:tcBorders/>
            <w:shd w:fill="auto" w:val="cle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Ms. McCarthy has served as a member of our Board since December 2020 and was appointed as our Lead Independent Director in October 2022. Ms. McCarthy retired in June 2019 as executive vice president of CVS Health following the completion of CVS Health’s acquisition of Aetna in 2018. She served as Executive Vice President of Operations and Technology for Aetna from 2010 until 2018, where she was responsible for innovation, technology, data security, procurement, real estate and service operations. Prior to joining Aetna in 2003, she served in information technology-related roles at Cigna and Catholic Health Initiatives, among others. Ms. McCarthy also worked in technology consulting at Accenture and was a consulting partner at Ernst &amp; Young. She has served as a director of Marriott International since March 2019, of First American Financial since June 2015, and of American Electric Power Co. Inc. since April 2019. She was director at Brighthouse Financial from November 2018 until June 2021. She also served on various advisory boards, councils and private-company boards. Ms. McCarthy holds a bachelor’s degree from Providence College and a master’s degree in public health, hospital administration from Yale University. Given her extensive experience managing large groups of employees, complex processes and enterprise-critical technology, Ms. McCarthy brings to the board valuable insights into areas of critical import to our operations.</w:t>
            </w:r>
          </w:p>
        </w:tc>
      </w:tr>
    </w:tbl>
    <w:p>
      <w:pPr>
        <w:pStyle w:val="TextBody"/>
        <w:spacing w:before="200" w:after="0"/>
        <w:jc w:val="left"/>
        <w:rPr>
          <w:rFonts w:ascii="Arial;sans-serif" w:hAnsi="Arial;sans-serif"/>
          <w:b/>
          <w:sz w:val="20"/>
        </w:rPr>
      </w:pPr>
      <w:bookmarkStart w:id="6" w:name="nomination_criteria_and_director_exper"/>
      <w:bookmarkEnd w:id="6"/>
      <w:r>
        <w:rPr>
          <w:rFonts w:ascii="Arial;sans-serif" w:hAnsi="Arial;sans-serif"/>
          <w:b/>
          <w:sz w:val="20"/>
        </w:rPr>
        <w:t>Nomination Criteria and Director Experience</w:t>
      </w:r>
    </w:p>
    <w:p>
      <w:pPr>
        <w:pStyle w:val="TextBody"/>
        <w:spacing w:before="240" w:after="0"/>
        <w:jc w:val="left"/>
        <w:rPr>
          <w:rFonts w:ascii="Arial;sans-serif" w:hAnsi="Arial;sans-serif"/>
          <w:b/>
          <w:i/>
          <w:sz w:val="20"/>
        </w:rPr>
      </w:pPr>
      <w:r>
        <w:rPr>
          <w:rFonts w:ascii="Arial;sans-serif" w:hAnsi="Arial;sans-serif"/>
          <w:b/>
          <w:i/>
          <w:sz w:val="20"/>
        </w:rPr>
        <w:t>Identifying Nominees for Directors</w:t>
      </w:r>
    </w:p>
    <w:p>
      <w:pPr>
        <w:pStyle w:val="TextBody"/>
        <w:spacing w:before="240" w:after="0"/>
        <w:jc w:val="left"/>
        <w:rPr>
          <w:rFonts w:ascii="Arial;sans-serif" w:hAnsi="Arial;sans-serif"/>
          <w:b w:val="false"/>
          <w:sz w:val="20"/>
        </w:rPr>
      </w:pPr>
      <w:r>
        <w:rPr>
          <w:rFonts w:ascii="Arial;sans-serif" w:hAnsi="Arial;sans-serif"/>
          <w:b w:val="false"/>
          <w:sz w:val="20"/>
        </w:rPr>
        <w:t>The Board has delegated an established screening process for director nominees to the NCGCC, with counsel from our Chairman, our Lead Independent Director, our Chief Executive Officer, and outside consultants as appropriate. The goal of the screening process is to assemble a group of potential board members with deep, varied experience, sound judgment, and commitment to the Company’s success.</w:t>
      </w:r>
    </w:p>
    <w:p>
      <w:pPr>
        <w:pStyle w:val="TextBody"/>
        <w:spacing w:before="240" w:after="0"/>
        <w:jc w:val="left"/>
        <w:rPr>
          <w:rFonts w:ascii="Times New Roman" w:hAnsi="Times New Roman"/>
          <w:sz w:val="20"/>
        </w:rPr>
      </w:pPr>
      <w:r>
        <w:rPr>
          <w:rFonts w:ascii="Arial;sans-serif" w:hAnsi="Arial;sans-serif"/>
          <w:b w:val="false"/>
          <w:sz w:val="20"/>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 result of its analysis, the NCGCC may recommend to the Board a need for an additional director, Board refreshment for certain requisite skills and qualifications, and/or the replacement of an existing director for other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sans-serif" w:hAnsi="Arial;sans-serif"/>
          <w:b w:val="false"/>
          <w:i/>
          <w:sz w:val="20"/>
        </w:rPr>
        <w:t>Corporate Governance—Board Evaluation Practices</w:t>
      </w:r>
      <w:r>
        <w:rPr>
          <w:rFonts w:ascii="Arial;sans-serif" w:hAnsi="Arial;sans-serif"/>
          <w:b w:val="false"/>
          <w:sz w:val="20"/>
        </w:rPr>
        <w:t>.”</w:t>
      </w:r>
    </w:p>
    <w:p>
      <w:pPr>
        <w:pStyle w:val="TextBody"/>
        <w:spacing w:before="240" w:after="0"/>
        <w:jc w:val="left"/>
        <w:rPr>
          <w:rFonts w:ascii="Times New Roman" w:hAnsi="Times New Roman"/>
          <w:sz w:val="20"/>
        </w:rPr>
      </w:pPr>
      <w:r>
        <w:rPr>
          <w:rFonts w:ascii="Arial;sans-serif" w:hAnsi="Arial;sans-serif"/>
          <w:b w:val="false"/>
          <w:sz w:val="20"/>
        </w:rPr>
        <w:t>The NCGCC will consider qualified candidates for director nominees suggested by the Company’s stockholders. Stockholders can suggest qualified candidates for director nominees by writing to the General Counsel and Corporate Secretary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2024 annual meeting of stockholders should provide their submission pursuant to the deadlines described above under “</w:t>
      </w:r>
      <w:r>
        <w:rPr>
          <w:rFonts w:ascii="Arial;sans-serif" w:hAnsi="Arial;sans-serif"/>
          <w:b w:val="false"/>
          <w:i/>
          <w:sz w:val="20"/>
        </w:rPr>
        <w:t>Commonly Asked Questions and Answers About the Annual Meeting</w:t>
      </w:r>
      <w:r>
        <w:rPr>
          <w:rFonts w:ascii="Arial;sans-serif" w:hAnsi="Arial;sans-serif"/>
          <w:b w:val="false"/>
          <w:sz w:val="20"/>
        </w:rPr>
        <w:t>.” The NCGCC does not intend to evaluate candidates proposed by stockholders any differently from other candidates.</w:t>
      </w:r>
    </w:p>
    <w:p>
      <w:pPr>
        <w:pStyle w:val="TextBody"/>
        <w:spacing w:before="240" w:after="0"/>
        <w:jc w:val="left"/>
        <w:rPr>
          <w:rFonts w:ascii="Arial;sans-serif" w:hAnsi="Arial;sans-serif"/>
          <w:b w:val="false"/>
          <w:sz w:val="20"/>
        </w:rPr>
      </w:pPr>
      <w:r>
        <w:rPr>
          <w:rFonts w:ascii="Arial;sans-serif" w:hAnsi="Arial;sans-serif"/>
          <w:b w:val="false"/>
          <w:sz w:val="20"/>
        </w:rPr>
        <w:t>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and any other criteria approved by the Board.</w:t>
      </w:r>
    </w:p>
    <w:p>
      <w:pPr>
        <w:pStyle w:val="TextBody"/>
        <w:spacing w:before="240" w:after="0"/>
        <w:jc w:val="left"/>
        <w:rPr>
          <w:rFonts w:ascii="Arial;sans-serif" w:hAnsi="Arial;sans-serif"/>
          <w:b/>
          <w:i/>
          <w:sz w:val="20"/>
        </w:rPr>
      </w:pPr>
      <w:r>
        <w:rPr>
          <w:rFonts w:ascii="Arial;sans-serif" w:hAnsi="Arial;sans-serif"/>
          <w:b/>
          <w:i/>
          <w:sz w:val="20"/>
        </w:rPr>
        <w:t>Director Skills and Qualifications</w:t>
      </w:r>
    </w:p>
    <w:p>
      <w:pPr>
        <w:pStyle w:val="TextBody"/>
        <w:spacing w:before="240" w:after="0"/>
        <w:jc w:val="left"/>
        <w:rPr>
          <w:rFonts w:ascii="Arial;sans-serif" w:hAnsi="Arial;sans-serif"/>
          <w:b w:val="false"/>
          <w:sz w:val="20"/>
        </w:rPr>
      </w:pPr>
      <w:r>
        <w:rPr>
          <w:rFonts w:ascii="Arial;sans-serif" w:hAnsi="Arial;sans-serif"/>
          <w:b w:val="false"/>
          <w:sz w:val="20"/>
        </w:rPr>
        <w:t>The NCGCC has identified qualifications, attributes, skills and experience that are important to be represented on the Board as a whole, in light of the Company’s current needs and business priorities.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and/or public policy and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w:t>
      </w:r>
    </w:p>
    <w:p>
      <w:pPr>
        <w:pStyle w:val="TextBody"/>
        <w:spacing w:before="240" w:after="0"/>
        <w:jc w:val="left"/>
        <w:rPr/>
      </w:pPr>
      <w:r>
        <w:rPr/>
        <w:t>•</w:t>
      </w:r>
    </w:p>
    <w:p>
      <w:pPr>
        <w:pStyle w:val="TextBody"/>
        <w:spacing w:before="240" w:after="0"/>
        <w:jc w:val="left"/>
        <w:rPr/>
      </w:pPr>
      <w:r>
        <w:rPr>
          <w:rFonts w:ascii="Arial;sans-serif" w:hAnsi="Arial;sans-serif"/>
          <w:b/>
          <w:i/>
          <w:sz w:val="20"/>
        </w:rPr>
        <w:t>Leadership experience</w:t>
      </w:r>
      <w:r>
        <w:rPr>
          <w:rFonts w:ascii="Arial;sans-serif" w:hAnsi="Arial;sans-serif"/>
          <w:b w:val="false"/>
          <w:sz w:val="20"/>
        </w:rPr>
        <w:t>. We believe that directors who have held significant leadership positions over an extended period provide the Company with unique insights. We believe such people have the ability to identify and develop leadership qualities in others. They demonstrate a practical understanding of organizations, processes, strategy and risk management, and they know how to drive change and growth.</w:t>
      </w:r>
    </w:p>
    <w:p>
      <w:pPr>
        <w:pStyle w:val="TextBody"/>
        <w:spacing w:before="240" w:after="0"/>
        <w:jc w:val="left"/>
        <w:rPr/>
      </w:pPr>
      <w:r>
        <w:rPr/>
        <w:t>•</w:t>
      </w:r>
    </w:p>
    <w:p>
      <w:pPr>
        <w:pStyle w:val="TextBody"/>
        <w:spacing w:before="240" w:after="283"/>
        <w:jc w:val="left"/>
        <w:rPr/>
      </w:pPr>
      <w:r>
        <w:rPr>
          <w:rFonts w:ascii="Arial;sans-serif" w:hAnsi="Arial;sans-serif"/>
          <w:b/>
          <w:i/>
          <w:sz w:val="20"/>
        </w:rPr>
        <w:t>Technology and business processes experience</w:t>
      </w:r>
      <w:r>
        <w:rPr>
          <w:rFonts w:ascii="Arial;sans-serif" w:hAnsi="Arial;sans-serif"/>
          <w:b w:val="false"/>
          <w:sz w:val="20"/>
        </w:rPr>
        <w:t>. As a technology-enabled Medicare Advantage platform, we seek directors with backgrounds in technology because our success depends on developing our platform and introducing it into new markets. We also value expertise in business processes as we continue to build into new markets and scale our operations, as well as expertise in data privacy and cybersecurity matters which represent important elements of our risk management strategy.</w:t>
      </w:r>
    </w:p>
    <w:p>
      <w:pPr>
        <w:pStyle w:val="TextBody"/>
        <w:spacing w:before="24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pPr>
      <w:r>
        <w:rPr/>
        <w:t>•</w:t>
      </w:r>
    </w:p>
    <w:p>
      <w:pPr>
        <w:pStyle w:val="TextBody"/>
        <w:spacing w:before="240" w:after="0"/>
        <w:jc w:val="left"/>
        <w:rPr/>
      </w:pPr>
      <w:r>
        <w:rPr>
          <w:rFonts w:ascii="Arial;sans-serif" w:hAnsi="Arial;sans-serif"/>
          <w:b/>
          <w:i/>
          <w:sz w:val="20"/>
        </w:rPr>
        <w:t>Financial experience</w:t>
      </w:r>
      <w:r>
        <w:rPr>
          <w:rFonts w:ascii="Arial;sans-serif" w:hAnsi="Arial;sans-serif"/>
          <w:b w:val="false"/>
          <w:sz w:val="20"/>
        </w:rPr>
        <w:t xml:space="preserve">. We believe that an understanding of finance and financial reporting processes is important for our directors, as 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 </w:t>
      </w:r>
    </w:p>
    <w:p>
      <w:pPr>
        <w:pStyle w:val="TextBody"/>
        <w:spacing w:before="240" w:after="0"/>
        <w:jc w:val="left"/>
        <w:rPr/>
      </w:pPr>
      <w:r>
        <w:rPr/>
        <w:t>•</w:t>
      </w:r>
    </w:p>
    <w:p>
      <w:pPr>
        <w:pStyle w:val="TextBody"/>
        <w:spacing w:before="240" w:after="0"/>
        <w:jc w:val="left"/>
        <w:rPr/>
      </w:pPr>
      <w:r>
        <w:rPr>
          <w:rFonts w:ascii="Arial;sans-serif" w:hAnsi="Arial;sans-serif"/>
          <w:b/>
          <w:i/>
          <w:sz w:val="20"/>
        </w:rPr>
        <w:t>Industry experience</w:t>
      </w:r>
      <w:r>
        <w:rPr>
          <w:rFonts w:ascii="Arial;sans-serif" w:hAnsi="Arial;sans-serif"/>
          <w:b w:val="false"/>
          <w:sz w:val="20"/>
        </w:rPr>
        <w:t>. We seek to have directors with experience as executives or directors or in other leadership positions in the Medicare Advantage space. We believe that this experience will help us effectively enhance our product offerings and successfully enter new markets.</w:t>
      </w:r>
    </w:p>
    <w:p>
      <w:pPr>
        <w:pStyle w:val="TextBody"/>
        <w:spacing w:before="240" w:after="240"/>
        <w:jc w:val="left"/>
        <w:rPr/>
      </w:pPr>
      <w:r>
        <w:rPr/>
        <w:t>•</w:t>
      </w:r>
    </w:p>
    <w:p>
      <w:pPr>
        <w:pStyle w:val="TextBody"/>
        <w:spacing w:before="240" w:after="240"/>
        <w:jc w:val="left"/>
        <w:rPr/>
      </w:pPr>
      <w:r>
        <w:rPr>
          <w:rFonts w:ascii="Arial;sans-serif" w:hAnsi="Arial;sans-serif"/>
          <w:b/>
          <w:i/>
          <w:sz w:val="20"/>
        </w:rPr>
        <w:t>Regulatory experience</w:t>
      </w:r>
      <w:r>
        <w:rPr>
          <w:rFonts w:ascii="Arial;sans-serif" w:hAnsi="Arial;sans-serif"/>
          <w:b w:val="false"/>
          <w:sz w:val="20"/>
        </w:rPr>
        <w:t>. Because we operate in a heavily regulated industry, we seek directors with significant government regulatory experience.</w:t>
      </w:r>
    </w:p>
    <w:p>
      <w:pPr>
        <w:pStyle w:val="TextBody"/>
        <w:spacing w:before="240" w:after="0"/>
        <w:jc w:val="left"/>
        <w:rPr/>
      </w:pPr>
      <w:r>
        <w:rPr/>
        <w:t>•</w:t>
      </w:r>
    </w:p>
    <w:p>
      <w:pPr>
        <w:pStyle w:val="TextBody"/>
        <w:spacing w:before="240" w:after="283"/>
        <w:jc w:val="left"/>
        <w:rPr/>
      </w:pPr>
      <w:r>
        <w:rPr>
          <w:rFonts w:ascii="Arial;sans-serif" w:hAnsi="Arial;sans-serif"/>
          <w:b/>
          <w:i/>
          <w:sz w:val="20"/>
        </w:rPr>
        <w:t>Marketing experience</w:t>
      </w:r>
      <w:r>
        <w:rPr>
          <w:rFonts w:ascii="Arial;sans-serif" w:hAnsi="Arial;sans-serif"/>
          <w:b w:val="false"/>
          <w:sz w:val="20"/>
        </w:rPr>
        <w:t>. As a consumer-facing business that is seeking to grow organically through new product offerings and in new markets, having directors with significant marketing experience is important to us.</w:t>
      </w:r>
    </w:p>
    <w:p>
      <w:pPr>
        <w:pStyle w:val="TextBody"/>
        <w:spacing w:before="240" w:after="0"/>
        <w:jc w:val="left"/>
        <w:rPr>
          <w:rFonts w:ascii="Arial;sans-serif" w:hAnsi="Arial;sans-serif"/>
          <w:b w:val="false"/>
          <w:sz w:val="20"/>
        </w:rPr>
      </w:pPr>
      <w:r>
        <w:rPr>
          <w:rFonts w:ascii="Arial;sans-serif" w:hAnsi="Arial;sans-serif"/>
          <w:b w:val="false"/>
          <w:sz w:val="20"/>
        </w:rPr>
        <w:t>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w:t>
      </w:r>
    </w:p>
    <w:p>
      <w:pPr>
        <w:pStyle w:val="TextBody"/>
        <w:spacing w:before="240" w:after="0"/>
        <w:jc w:val="left"/>
        <w:rPr>
          <w:rFonts w:ascii="Times New Roman" w:hAnsi="Times New Roman"/>
          <w:sz w:val="20"/>
        </w:rPr>
      </w:pPr>
      <w:r>
        <w:rPr>
          <w:rFonts w:ascii="Arial;sans-serif" w:hAnsi="Arial;sans-serif"/>
          <w:b w:val="false"/>
          <w:sz w:val="20"/>
        </w:rPr>
        <w:t>Our director nominations are subject to an agreement with our Lead Sponsors (defined below). See “</w:t>
      </w:r>
      <w:r>
        <w:rPr>
          <w:rFonts w:ascii="Arial;sans-serif" w:hAnsi="Arial;sans-serif"/>
          <w:b w:val="false"/>
          <w:i/>
          <w:sz w:val="20"/>
        </w:rPr>
        <w:t>Corporate Governance—Board Composition and Director Independence</w:t>
      </w:r>
      <w:r>
        <w:rPr>
          <w:rFonts w:ascii="Arial;sans-serif" w:hAnsi="Arial;sans-serif"/>
          <w:b w:val="false"/>
          <w:sz w:val="20"/>
        </w:rPr>
        <w:t>.”</w:t>
      </w:r>
    </w:p>
    <w:p>
      <w:pPr>
        <w:pStyle w:val="TextBody"/>
        <w:spacing w:before="240" w:after="240"/>
        <w:jc w:val="left"/>
        <w:rPr>
          <w:rFonts w:ascii="Times New Roman" w:hAnsi="Times New Roman"/>
          <w:sz w:val="20"/>
        </w:rPr>
      </w:pPr>
      <w:r>
        <w:rPr>
          <w:rFonts w:ascii="Arial;sans-serif" w:hAnsi="Arial;sans-serif"/>
          <w:b w:val="false"/>
          <w:sz w:val="20"/>
        </w:rPr>
        <w:t>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The following chart represents the skills matrix as currently constituted by the NCGCC:</w:t>
      </w:r>
    </w:p>
    <w:p>
      <w:pPr>
        <w:pStyle w:val="TextBody"/>
        <w:spacing w:before="0" w:after="0"/>
        <w:jc w:val="left"/>
        <w:rPr/>
      </w:pPr>
      <w:r>
        <w:rPr/>
        <w:t> </w:t>
      </w:r>
    </w:p>
    <w:p>
      <w:pPr>
        <w:pStyle w:val="TextBody"/>
        <w:spacing w:before="0" w:after="0"/>
        <w:jc w:val="center"/>
        <w:rPr/>
      </w:pPr>
      <w:r>
        <w:rPr/>
        <w:drawing>
          <wp:inline distT="0" distB="0" distL="0" distR="0">
            <wp:extent cx="5829300" cy="5553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829300" cy="5553075"/>
                    </a:xfrm>
                    <a:prstGeom prst="rect">
                      <a:avLst/>
                    </a:prstGeom>
                  </pic:spPr>
                </pic:pic>
              </a:graphicData>
            </a:graphic>
          </wp:inline>
        </w:drawing>
      </w:r>
      <w:r>
        <w:rPr/>
        <w:t> </w:t>
      </w:r>
    </w:p>
    <w:p>
      <w:pPr>
        <w:pStyle w:val="TextBody"/>
        <w:spacing w:before="200" w:after="0"/>
        <w:jc w:val="left"/>
        <w:rPr>
          <w:rFonts w:ascii="Arial;sans-serif" w:hAnsi="Arial;sans-serif"/>
          <w:b/>
          <w:sz w:val="20"/>
        </w:rPr>
      </w:pPr>
      <w:bookmarkStart w:id="7" w:name="director_diversity"/>
      <w:bookmarkEnd w:id="7"/>
      <w:r>
        <w:rPr>
          <w:rFonts w:ascii="Arial;sans-serif" w:hAnsi="Arial;sans-serif"/>
          <w:b/>
          <w:sz w:val="20"/>
        </w:rPr>
        <w:t>Director Diversity</w:t>
      </w:r>
    </w:p>
    <w:p>
      <w:pPr>
        <w:pStyle w:val="TextBody"/>
        <w:spacing w:before="240" w:after="120"/>
        <w:jc w:val="left"/>
        <w:rPr>
          <w:rFonts w:ascii="Times New Roman" w:hAnsi="Times New Roman"/>
          <w:sz w:val="20"/>
        </w:rPr>
      </w:pPr>
      <w:r>
        <w:rPr>
          <w:rFonts w:ascii="Arial;sans-serif" w:hAnsi="Arial;sans-serif"/>
          <w:b w:val="false"/>
          <w:sz w:val="20"/>
        </w:rPr>
        <w:t>In addressing issues of diversity, the NCGCC considers a nominee’s gender, ethnicity, tenure, skills and experience. The NCGCC believes that diversity of backgrounds and viewpoints is a key attribute for a director nominee. While the NCGCC carefully considers diversity when determining Board composition, it has not established a separate formal policy regarding diversity.</w:t>
      </w:r>
      <w:r>
        <w:rPr>
          <w:rFonts w:ascii="Times New Roman" w:hAnsi="Times New Roman"/>
          <w:sz w:val="20"/>
        </w:rPr>
        <w:t xml:space="preserve"> </w:t>
      </w:r>
    </w:p>
    <w:tbl>
      <w:tblPr>
        <w:tblW w:w="4514" w:type="dxa"/>
        <w:jc w:val="left"/>
        <w:tblInd w:w="0" w:type="dxa"/>
        <w:tblCellMar>
          <w:top w:w="28" w:type="dxa"/>
          <w:left w:w="28" w:type="dxa"/>
          <w:bottom w:w="28" w:type="dxa"/>
          <w:right w:w="28" w:type="dxa"/>
        </w:tblCellMar>
      </w:tblPr>
      <w:tblGrid>
        <w:gridCol w:w="2530"/>
        <w:gridCol w:w="766"/>
        <w:gridCol w:w="1218"/>
      </w:tblGrid>
      <w:tr>
        <w:trPr/>
        <w:tc>
          <w:tcPr>
            <w:tcW w:w="2530"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r>
      <w:tr>
        <w:trPr/>
        <w:tc>
          <w:tcPr>
            <w:tcW w:w="4514" w:type="dxa"/>
            <w:gridSpan w:val="3"/>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614"/>
              <w:jc w:val="center"/>
              <w:rPr>
                <w:rFonts w:ascii="Arial;sans-serif" w:hAnsi="Arial;sans-serif"/>
                <w:b/>
                <w:sz w:val="18"/>
              </w:rPr>
            </w:pPr>
            <w:r>
              <w:rPr>
                <w:rFonts w:ascii="Arial;sans-serif" w:hAnsi="Arial;sans-serif"/>
                <w:b/>
                <w:sz w:val="18"/>
              </w:rPr>
              <w:t>Board Diversity Matrix (as of April 26, 2023)</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hanging="0"/>
              <w:jc w:val="left"/>
              <w:rPr>
                <w:rFonts w:ascii="Arial;sans-serif" w:hAnsi="Arial;sans-serif"/>
                <w:b/>
                <w:sz w:val="18"/>
              </w:rPr>
            </w:pPr>
            <w:r>
              <w:rPr>
                <w:rFonts w:ascii="Arial;sans-serif" w:hAnsi="Arial;sans-serif"/>
                <w:b/>
                <w:sz w:val="18"/>
              </w:rPr>
              <w:t>Board Size:</w:t>
            </w:r>
          </w:p>
        </w:tc>
        <w:tc>
          <w:tcPr>
            <w:tcW w:w="1984" w:type="dxa"/>
            <w:gridSpan w:val="2"/>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firstLine="614"/>
              <w:jc w:val="center"/>
              <w:rPr/>
            </w:pPr>
            <w:r>
              <w:rPr/>
              <w:t> </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firstLine="90"/>
              <w:jc w:val="left"/>
              <w:rPr>
                <w:rFonts w:ascii="Arial;sans-serif" w:hAnsi="Arial;sans-serif"/>
                <w:b w:val="false"/>
                <w:sz w:val="18"/>
              </w:rPr>
            </w:pPr>
            <w:r>
              <w:rPr>
                <w:rFonts w:ascii="Arial;sans-serif" w:hAnsi="Arial;sans-serif"/>
                <w:b w:val="false"/>
                <w:sz w:val="18"/>
              </w:rPr>
              <w:t>Total Number of Directors</w:t>
            </w:r>
          </w:p>
        </w:tc>
        <w:tc>
          <w:tcPr>
            <w:tcW w:w="1984" w:type="dxa"/>
            <w:gridSpan w:val="2"/>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firstLine="614"/>
              <w:jc w:val="center"/>
              <w:rPr>
                <w:rFonts w:ascii="Arial;sans-serif" w:hAnsi="Arial;sans-serif"/>
                <w:b w:val="false"/>
                <w:sz w:val="18"/>
              </w:rPr>
            </w:pPr>
            <w:r>
              <w:rPr>
                <w:rFonts w:ascii="Arial;sans-serif" w:hAnsi="Arial;sans-serif"/>
                <w:b w:val="false"/>
                <w:sz w:val="18"/>
              </w:rPr>
              <w:t>11</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hanging="0"/>
              <w:jc w:val="left"/>
              <w:rPr/>
            </w:pPr>
            <w:r>
              <w:rPr/>
              <w:t> </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Female</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14"/>
              <w:jc w:val="center"/>
              <w:rPr>
                <w:rFonts w:ascii="Arial;sans-serif" w:hAnsi="Arial;sans-serif"/>
                <w:b/>
                <w:sz w:val="18"/>
              </w:rPr>
            </w:pPr>
            <w:r>
              <w:rPr>
                <w:rFonts w:ascii="Arial;sans-serif" w:hAnsi="Arial;sans-serif"/>
                <w:b/>
                <w:sz w:val="18"/>
              </w:rPr>
              <w:t>Male</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hanging="0"/>
              <w:jc w:val="left"/>
              <w:rPr>
                <w:rFonts w:ascii="Arial;sans-serif" w:hAnsi="Arial;sans-serif"/>
                <w:b/>
                <w:sz w:val="18"/>
              </w:rPr>
            </w:pPr>
            <w:r>
              <w:rPr>
                <w:rFonts w:ascii="Arial;sans-serif" w:hAnsi="Arial;sans-serif"/>
                <w:b/>
                <w:sz w:val="18"/>
              </w:rPr>
              <w:t>Gender Identity:</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14"/>
              <w:jc w:val="center"/>
              <w:rPr/>
            </w:pPr>
            <w:r>
              <w:rPr/>
              <w:t> </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firstLine="90"/>
              <w:jc w:val="left"/>
              <w:rPr>
                <w:rFonts w:ascii="Arial;sans-serif" w:hAnsi="Arial;sans-serif"/>
                <w:b w:val="false"/>
                <w:sz w:val="18"/>
              </w:rPr>
            </w:pPr>
            <w:r>
              <w:rPr>
                <w:rFonts w:ascii="Arial;sans-serif" w:hAnsi="Arial;sans-serif"/>
                <w:b w:val="false"/>
                <w:sz w:val="18"/>
              </w:rPr>
              <w:t>Directors</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14"/>
              <w:jc w:val="center"/>
              <w:rPr>
                <w:rFonts w:ascii="Arial;sans-serif" w:hAnsi="Arial;sans-serif"/>
                <w:b w:val="false"/>
                <w:sz w:val="18"/>
              </w:rPr>
            </w:pPr>
            <w:r>
              <w:rPr>
                <w:rFonts w:ascii="Arial;sans-serif" w:hAnsi="Arial;sans-serif"/>
                <w:b w:val="false"/>
                <w:sz w:val="18"/>
              </w:rPr>
              <w:t>7</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hanging="0"/>
              <w:jc w:val="left"/>
              <w:rPr>
                <w:rFonts w:ascii="Arial;sans-serif" w:hAnsi="Arial;sans-serif"/>
                <w:b/>
                <w:sz w:val="18"/>
              </w:rPr>
            </w:pPr>
            <w:r>
              <w:rPr>
                <w:rFonts w:ascii="Arial;sans-serif" w:hAnsi="Arial;sans-serif"/>
                <w:b/>
                <w:sz w:val="18"/>
              </w:rPr>
              <w:t>Demographic Background:</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14"/>
              <w:jc w:val="center"/>
              <w:rPr/>
            </w:pPr>
            <w:r>
              <w:rPr/>
              <w:t> </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firstLine="90"/>
              <w:jc w:val="left"/>
              <w:rPr>
                <w:rFonts w:ascii="Arial;sans-serif" w:hAnsi="Arial;sans-serif"/>
                <w:b w:val="false"/>
                <w:sz w:val="18"/>
              </w:rPr>
            </w:pPr>
            <w:r>
              <w:rPr>
                <w:rFonts w:ascii="Arial;sans-serif" w:hAnsi="Arial;sans-serif"/>
                <w:b w:val="false"/>
                <w:sz w:val="18"/>
              </w:rPr>
              <w:t>Asian</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14"/>
              <w:jc w:val="center"/>
              <w:rPr>
                <w:rFonts w:ascii="Arial;sans-serif" w:hAnsi="Arial;sans-serif"/>
                <w:b w:val="false"/>
                <w:sz w:val="18"/>
              </w:rPr>
            </w:pPr>
            <w:r>
              <w:rPr>
                <w:rFonts w:ascii="Arial;sans-serif" w:hAnsi="Arial;sans-serif"/>
                <w:b w:val="false"/>
                <w:sz w:val="18"/>
              </w:rPr>
              <w:t>1</w:t>
            </w:r>
          </w:p>
        </w:tc>
      </w:tr>
      <w:tr>
        <w:trPr/>
        <w:tc>
          <w:tcPr>
            <w:tcW w:w="253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614" w:right="0" w:firstLine="90"/>
              <w:jc w:val="left"/>
              <w:rPr>
                <w:rFonts w:ascii="Arial;sans-serif" w:hAnsi="Arial;sans-serif"/>
                <w:b w:val="false"/>
                <w:sz w:val="18"/>
              </w:rPr>
            </w:pPr>
            <w:r>
              <w:rPr>
                <w:rFonts w:ascii="Arial;sans-serif" w:hAnsi="Arial;sans-serif"/>
                <w:b w:val="false"/>
                <w:sz w:val="18"/>
              </w:rPr>
              <w:t>White</w:t>
            </w:r>
          </w:p>
        </w:tc>
        <w:tc>
          <w:tcPr>
            <w:tcW w:w="7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w:t>
            </w:r>
          </w:p>
        </w:tc>
        <w:tc>
          <w:tcPr>
            <w:tcW w:w="121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8" w:name="corporate_governance"/>
      <w:bookmarkEnd w:id="8"/>
      <w:r>
        <w:rPr>
          <w:rFonts w:ascii="Arial;sans-serif" w:hAnsi="Arial;sans-serif"/>
          <w:b/>
          <w:sz w:val="20"/>
        </w:rPr>
        <w:t>CORPORATE GOVERNANCE</w:t>
      </w:r>
    </w:p>
    <w:p>
      <w:pPr>
        <w:pStyle w:val="TextBody"/>
        <w:spacing w:before="200" w:after="0"/>
        <w:jc w:val="left"/>
        <w:rPr>
          <w:rFonts w:ascii="Arial;sans-serif" w:hAnsi="Arial;sans-serif"/>
          <w:b/>
          <w:sz w:val="20"/>
        </w:rPr>
      </w:pPr>
      <w:bookmarkStart w:id="9" w:name="board_and_corporate_governance_high"/>
      <w:bookmarkEnd w:id="9"/>
      <w:r>
        <w:rPr>
          <w:rFonts w:ascii="Arial;sans-serif" w:hAnsi="Arial;sans-serif"/>
          <w:b/>
          <w:sz w:val="20"/>
        </w:rPr>
        <w:t>Board and Corporate Governance Highlights</w:t>
      </w:r>
    </w:p>
    <w:p>
      <w:pPr>
        <w:pStyle w:val="TextBody"/>
        <w:spacing w:before="200" w:after="200"/>
        <w:jc w:val="left"/>
        <w:rPr>
          <w:rFonts w:ascii="Arial;sans-serif" w:hAnsi="Arial;sans-serif"/>
          <w:b w:val="false"/>
          <w:sz w:val="20"/>
        </w:rPr>
      </w:pPr>
      <w:r>
        <w:rPr>
          <w:rFonts w:ascii="Arial;sans-serif" w:hAnsi="Arial;sans-serif"/>
          <w:b w:val="false"/>
          <w:sz w:val="20"/>
        </w:rPr>
        <w:t>We are committed to governance practices that promote the long-term interests of our stockholders, strengthen Board and management accountability and continue to build trust in our Company. Our governance framework is described throughout this proxy statement and includes the following highlights:</w:t>
      </w:r>
    </w:p>
    <w:tbl>
      <w:tblPr>
        <w:tblW w:w="10205" w:type="dxa"/>
        <w:jc w:val="left"/>
        <w:tblInd w:w="0" w:type="dxa"/>
        <w:tblCellMar>
          <w:top w:w="28" w:type="dxa"/>
          <w:left w:w="28" w:type="dxa"/>
          <w:bottom w:w="28" w:type="dxa"/>
          <w:right w:w="28" w:type="dxa"/>
        </w:tblCellMar>
      </w:tblPr>
      <w:tblGrid>
        <w:gridCol w:w="3446"/>
        <w:gridCol w:w="3909"/>
        <w:gridCol w:w="2850"/>
      </w:tblGrid>
      <w:tr>
        <w:trPr/>
        <w:tc>
          <w:tcPr>
            <w:tcW w:w="3446" w:type="dxa"/>
            <w:tcBorders/>
            <w:shd w:fill="auto" w:val="clear"/>
            <w:vAlign w:val="center"/>
          </w:tcPr>
          <w:p>
            <w:pPr>
              <w:pStyle w:val="TableContents"/>
              <w:spacing w:before="0" w:after="283"/>
              <w:rPr>
                <w:sz w:val="4"/>
                <w:szCs w:val="4"/>
              </w:rPr>
            </w:pPr>
            <w:r>
              <w:rPr>
                <w:sz w:val="4"/>
                <w:szCs w:val="4"/>
              </w:rPr>
            </w:r>
          </w:p>
        </w:tc>
        <w:tc>
          <w:tcPr>
            <w:tcW w:w="3909"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tcBorders>
            <w:shd w:fill="auto" w:val="clear"/>
            <w:tcMar>
              <w:left w:w="0" w:type="dxa"/>
              <w:bottom w:w="0" w:type="dxa"/>
              <w:right w:w="0" w:type="dxa"/>
            </w:tcMar>
            <w:vAlign w:val="center"/>
          </w:tcPr>
          <w:p>
            <w:pPr>
              <w:pStyle w:val="TableContents"/>
              <w:spacing w:before="120" w:after="120"/>
              <w:ind w:left="0" w:right="0" w:firstLine="518"/>
              <w:jc w:val="left"/>
              <w:rPr>
                <w:rFonts w:ascii="Arial;sans-serif" w:hAnsi="Arial;sans-serif"/>
                <w:b/>
                <w:i/>
                <w:sz w:val="18"/>
              </w:rPr>
            </w:pPr>
            <w:r>
              <w:rPr>
                <w:rFonts w:ascii="Arial;sans-serif" w:hAnsi="Arial;sans-serif"/>
                <w:b/>
                <w:i/>
                <w:sz w:val="18"/>
              </w:rPr>
              <w:t>Board Structure &amp; Composition</w:t>
            </w:r>
          </w:p>
        </w:tc>
      </w:tr>
      <w:tr>
        <w:trPr/>
        <w:tc>
          <w:tcPr>
            <w:tcW w:w="3446" w:type="dxa"/>
            <w:tcBorders>
              <w:bottom w:val="single" w:sz="4" w:space="0" w:color="000000"/>
            </w:tcBorders>
            <w:shd w:fill="auto" w:val="clear"/>
            <w:tcMar>
              <w:top w:w="0" w:type="dxa"/>
              <w:left w:w="0" w:type="dxa"/>
              <w:right w:w="0" w:type="dxa"/>
            </w:tcMar>
            <w:vAlign w:val="center"/>
          </w:tcPr>
          <w:p>
            <w:pPr>
              <w:pStyle w:val="TableContents"/>
              <w:spacing w:before="120" w:after="120"/>
              <w:ind w:left="158"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9 of 11 Directors, and all Board Committee members, are independent</w:t>
            </w:r>
          </w:p>
          <w:p>
            <w:pPr>
              <w:pStyle w:val="TableContents"/>
              <w:spacing w:before="120" w:after="120"/>
              <w:ind w:left="158"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Board composed of a mix of long-tenured and new directors</w:t>
            </w:r>
          </w:p>
          <w:p>
            <w:pPr>
              <w:pStyle w:val="TableContents"/>
              <w:spacing w:before="120" w:after="120"/>
              <w:ind w:left="158"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Directors reflect a variety of experiences and skills that give the Board the collective capability necessary to oversee the Company’s activities</w:t>
            </w:r>
          </w:p>
        </w:tc>
        <w:tc>
          <w:tcPr>
            <w:tcW w:w="3909"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Lead Independent Director empowered with agenda-setting authority and active involvement in oversight of Board functions, elected annually by the independent directors</w:t>
            </w:r>
          </w:p>
          <w:p>
            <w:pPr>
              <w:pStyle w:val="TableContents"/>
              <w:spacing w:before="120" w:after="120"/>
              <w:ind w:left="72" w:right="0" w:hanging="0"/>
              <w:jc w:val="left"/>
              <w:rPr/>
            </w:pPr>
            <w:r>
              <w:rPr/>
              <w:t>•</w:t>
            </w:r>
          </w:p>
          <w:p>
            <w:pPr>
              <w:pStyle w:val="TableContents"/>
              <w:spacing w:before="120" w:after="120"/>
              <w:ind w:left="0" w:right="0" w:firstLine="360"/>
              <w:jc w:val="left"/>
              <w:rPr>
                <w:rFonts w:ascii="Arial;sans-serif" w:hAnsi="Arial;sans-serif"/>
                <w:b w:val="false"/>
                <w:sz w:val="18"/>
              </w:rPr>
            </w:pPr>
            <w:r>
              <w:rPr>
                <w:rFonts w:ascii="Arial;sans-serif" w:hAnsi="Arial;sans-serif"/>
                <w:b w:val="false"/>
                <w:sz w:val="18"/>
              </w:rPr>
              <w:t>Active and empowered committee chairs, all of whom are independent</w:t>
            </w:r>
          </w:p>
        </w:tc>
        <w:tc>
          <w:tcPr>
            <w:tcW w:w="2850" w:type="dxa"/>
            <w:tcBorders>
              <w:bottom w:val="single" w:sz="4"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Annual assessment and determination of optimal Board leadership structure</w:t>
            </w:r>
          </w:p>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Commitment to Board diversity of perspective, gender, and race or ethnicity </w:t>
            </w:r>
          </w:p>
          <w:p>
            <w:pPr>
              <w:pStyle w:val="TableContents"/>
              <w:spacing w:before="120" w:after="120"/>
              <w:ind w:left="0"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Directors attended about 96% of Board and Committee meetings combined in 2022</w:t>
            </w:r>
          </w:p>
        </w:tc>
      </w:tr>
      <w:tr>
        <w:trPr/>
        <w:tc>
          <w:tcPr>
            <w:tcW w:w="10205" w:type="dxa"/>
            <w:gridSpan w:val="3"/>
            <w:tcBorders/>
            <w:shd w:fill="auto" w:val="clear"/>
            <w:tcMar>
              <w:top w:w="0" w:type="dxa"/>
              <w:left w:w="0" w:type="dxa"/>
              <w:bottom w:w="0" w:type="dxa"/>
              <w:right w:w="0" w:type="dxa"/>
            </w:tcMar>
            <w:vAlign w:val="center"/>
          </w:tcPr>
          <w:p>
            <w:pPr>
              <w:pStyle w:val="TableContents"/>
              <w:spacing w:before="120" w:after="120"/>
              <w:ind w:left="0" w:right="0" w:firstLine="432"/>
              <w:jc w:val="left"/>
              <w:rPr>
                <w:rFonts w:ascii="Arial;sans-serif" w:hAnsi="Arial;sans-serif"/>
                <w:b/>
                <w:i/>
                <w:sz w:val="18"/>
              </w:rPr>
            </w:pPr>
            <w:r>
              <w:rPr>
                <w:rFonts w:ascii="Arial;sans-serif" w:hAnsi="Arial;sans-serif"/>
                <w:b/>
                <w:i/>
                <w:sz w:val="18"/>
              </w:rPr>
              <w:t>Good Governance Practices</w:t>
            </w:r>
          </w:p>
        </w:tc>
      </w:tr>
      <w:tr>
        <w:trPr/>
        <w:tc>
          <w:tcPr>
            <w:tcW w:w="3446"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Ongoing Board assessment and refreshment led by the NCGCC</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Annual Board and Committee self-assessments</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Insider trading policy</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Clawback policy implementation in process</w:t>
            </w:r>
          </w:p>
        </w:tc>
        <w:tc>
          <w:tcPr>
            <w:tcW w:w="3909"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Regular executive sessions of the independent directors at meetings of the Board, without management present</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Non-employee director stock ownership requirements</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Code of Conduct overseen by Board</w:t>
            </w:r>
          </w:p>
        </w:tc>
        <w:tc>
          <w:tcPr>
            <w:tcW w:w="2850"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Robust stockholder engagement program, with the participation of our Chairman, to share our perspectives and solicit feedback</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Lead Sponsors can call special stockholder meetings</w:t>
            </w:r>
          </w:p>
        </w:tc>
      </w:tr>
      <w:tr>
        <w:trPr/>
        <w:tc>
          <w:tcPr>
            <w:tcW w:w="10205" w:type="dxa"/>
            <w:gridSpan w:val="3"/>
            <w:tcBorders/>
            <w:shd w:fill="auto" w:val="clear"/>
            <w:tcMar>
              <w:top w:w="0" w:type="dxa"/>
              <w:left w:w="0" w:type="dxa"/>
              <w:bottom w:w="0" w:type="dxa"/>
              <w:right w:w="0" w:type="dxa"/>
            </w:tcMar>
            <w:vAlign w:val="center"/>
          </w:tcPr>
          <w:p>
            <w:pPr>
              <w:pStyle w:val="TableContents"/>
              <w:spacing w:before="120" w:after="120"/>
              <w:ind w:left="0" w:right="0" w:firstLine="432"/>
              <w:jc w:val="left"/>
              <w:rPr>
                <w:rFonts w:ascii="Arial;sans-serif" w:hAnsi="Arial;sans-serif"/>
                <w:b/>
                <w:i/>
                <w:sz w:val="18"/>
              </w:rPr>
            </w:pPr>
            <w:r>
              <w:rPr>
                <w:rFonts w:ascii="Arial;sans-serif" w:hAnsi="Arial;sans-serif"/>
                <w:b/>
                <w:i/>
                <w:sz w:val="18"/>
              </w:rPr>
              <w:t>Board Operations and Oversight</w:t>
            </w:r>
          </w:p>
        </w:tc>
      </w:tr>
      <w:tr>
        <w:trPr/>
        <w:tc>
          <w:tcPr>
            <w:tcW w:w="3446"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Active board oversight of strategic planning</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Robust oversight framework to assess and manage risks</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Revised charters recently adopted to clarify committee and full Board oversight roles </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Regular talent and succession planning discussions</w:t>
            </w:r>
          </w:p>
        </w:tc>
        <w:tc>
          <w:tcPr>
            <w:tcW w:w="3909"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Audit Committee oversight of financial risks, cybersecurity </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NCGCC oversight of nominating process and criteria, legal and regulatory compliance</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Compensation Committee oversight of compensation program, annual CEO evaluation</w:t>
            </w:r>
          </w:p>
        </w:tc>
        <w:tc>
          <w:tcPr>
            <w:tcW w:w="2850"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Direct access by the Board to members of management, including Chief Compliance Officer</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Regular briefings on corporate governance practices and emerging corporate governance issues</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Monthly “teach-ins” addressing key strategic areas</w:t>
            </w:r>
          </w:p>
        </w:tc>
      </w:tr>
      <w:tr>
        <w:trPr/>
        <w:tc>
          <w:tcPr>
            <w:tcW w:w="10205" w:type="dxa"/>
            <w:gridSpan w:val="3"/>
            <w:tcBorders/>
            <w:shd w:fill="auto" w:val="clear"/>
            <w:tcMar>
              <w:top w:w="0" w:type="dxa"/>
              <w:left w:w="0" w:type="dxa"/>
              <w:bottom w:w="0" w:type="dxa"/>
              <w:right w:w="0" w:type="dxa"/>
            </w:tcMar>
            <w:vAlign w:val="center"/>
          </w:tcPr>
          <w:p>
            <w:pPr>
              <w:pStyle w:val="TableContents"/>
              <w:spacing w:before="120" w:after="120"/>
              <w:ind w:left="0" w:right="0" w:firstLine="432"/>
              <w:jc w:val="left"/>
              <w:rPr>
                <w:rFonts w:ascii="Arial;sans-serif" w:hAnsi="Arial;sans-serif"/>
                <w:b/>
                <w:i/>
                <w:sz w:val="18"/>
              </w:rPr>
            </w:pPr>
            <w:r>
              <w:rPr>
                <w:rFonts w:ascii="Arial;sans-serif" w:hAnsi="Arial;sans-serif"/>
                <w:b/>
                <w:i/>
                <w:sz w:val="18"/>
              </w:rPr>
              <w:t>Commitment to Environmental, Social &amp; Governance Principles</w:t>
            </w:r>
          </w:p>
        </w:tc>
      </w:tr>
      <w:tr>
        <w:trPr/>
        <w:tc>
          <w:tcPr>
            <w:tcW w:w="3446"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Strong commitment to ESG principles as part of Company’s core mission, including focus on social determinants of health</w:t>
            </w:r>
          </w:p>
        </w:tc>
        <w:tc>
          <w:tcPr>
            <w:tcW w:w="3909"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 xml:space="preserve">Establishment of a management-led, interdepartmental ESG steering committee </w:t>
            </w:r>
          </w:p>
        </w:tc>
        <w:tc>
          <w:tcPr>
            <w:tcW w:w="2850"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Annual reporting via standalone Environmental, Social and Governance Report</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10" w:name="board_composition_and_director_indep"/>
      <w:bookmarkEnd w:id="10"/>
      <w:r>
        <w:rPr>
          <w:rFonts w:ascii="Arial;sans-serif" w:hAnsi="Arial;sans-serif"/>
          <w:b/>
          <w:sz w:val="20"/>
        </w:rPr>
        <w:t>Board Composition and Director Independence</w:t>
      </w:r>
    </w:p>
    <w:p>
      <w:pPr>
        <w:pStyle w:val="TextBody"/>
        <w:spacing w:before="240" w:after="0"/>
        <w:jc w:val="left"/>
        <w:rPr>
          <w:rFonts w:ascii="Times New Roman" w:hAnsi="Times New Roman"/>
          <w:sz w:val="20"/>
        </w:rPr>
      </w:pPr>
      <w:r>
        <w:rPr>
          <w:rFonts w:ascii="Arial;sans-serif" w:hAnsi="Arial;sans-serif"/>
          <w:b w:val="false"/>
          <w:sz w:val="20"/>
        </w:rPr>
        <w:t>Our business and affairs are managed under the direction of our Board, which is composed of eleven directors. Our certificate of incorporation provides that the authorized number of directors may be changed only by resolution of our Board. In addition, the Stockholders Agreement among us, funds managed by General Atlantic and Warburg Pincus LLC (“Warburg Pincus” and, together with General Atlantic, the “Lead Sponsors”; such agreement, the “Stockholders Agreement”) prohibits us from increasing or decreasing the size of our Board without the prior written consent of General Atlantic.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 directors are Mr. Carella, Dr. McClellan and Mr. Vorhoff, who will serve until our 2025 annual meeting of stockholders, our Class II directors are Ms. Bilney, Mr. Hodgson, Dr. Kosecoff and Mr. Margolis, who are nominees for election at the Annual Meeting to a three-year term ending in 2026, and our Class III directors are Ms. Jorden, Mr. Kao, Mr. Konowiecki and Ms. McCarthy, who will serve until our 2024 annual meeting of stockholders.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w:t>
      </w:r>
      <w:r>
        <w:rPr>
          <w:rFonts w:ascii="Arial;sans-serif" w:hAnsi="Arial;sans-serif"/>
          <w:b w:val="false"/>
          <w:sz w:val="13"/>
        </w:rPr>
        <w:t>2⁄3</w:t>
      </w:r>
      <w:r>
        <w:rPr>
          <w:rFonts w:ascii="Arial;sans-serif" w:hAnsi="Arial;sans-serif"/>
          <w:b w:val="false"/>
          <w:sz w:val="20"/>
        </w:rPr>
        <w:t>%) of the voting power of the then-outstanding shares of voting stock, at a meeting of our stockholders called for that purpose.</w:t>
      </w:r>
    </w:p>
    <w:p>
      <w:pPr>
        <w:pStyle w:val="TextBody"/>
        <w:spacing w:before="240" w:after="0"/>
        <w:jc w:val="left"/>
        <w:rPr>
          <w:rFonts w:ascii="Arial;sans-serif" w:hAnsi="Arial;sans-serif"/>
          <w:b w:val="false"/>
          <w:sz w:val="20"/>
        </w:rPr>
      </w:pPr>
      <w:r>
        <w:rPr>
          <w:rFonts w:ascii="Arial;sans-serif" w:hAnsi="Arial;sans-serif"/>
          <w:b w:val="false"/>
          <w:sz w:val="20"/>
        </w:rPr>
        <w:t>Our Board has also determined that all directors (except Mr. Kao and Mr. Konowiecki, who both serve as employees of the Company) meet the requirements to be independent directors. In making this determination, our Board considered the relationships that each non-employee director has with the Company and all other facts and circumstances that our Board deemed relevant in determining their independence, including beneficial ownership of our common stock and affiliations with our Lead Sponsors.</w:t>
      </w:r>
    </w:p>
    <w:p>
      <w:pPr>
        <w:pStyle w:val="TextBody"/>
        <w:spacing w:before="240" w:after="0"/>
        <w:jc w:val="left"/>
        <w:rPr>
          <w:rFonts w:ascii="Arial;sans-serif" w:hAnsi="Arial;sans-serif"/>
          <w:b w:val="false"/>
          <w:sz w:val="20"/>
        </w:rPr>
      </w:pPr>
      <w:r>
        <w:rPr>
          <w:rFonts w:ascii="Arial;sans-serif" w:hAnsi="Arial;sans-serif"/>
          <w:b w:val="false"/>
          <w:sz w:val="20"/>
        </w:rPr>
        <w:t>The Stockholders Agreement provides (x) General Atlantic the right to designate: (i) four of the nominees for election to our Board for so long as its beneficially owns at least 35% of our common stock then outstanding; (ii) three of the nominees for election to our Board for so long as it beneficially owns less than 35% but at least 25% of our common stock then outstanding; (iii) two of the nominees for election to our Board for so long as it beneficially owns less than 25% but at least 15% of our common stock then outstanding; and (iv) one of the nominees for election to our Board for so long as it beneficially owns less than 15% but at least 5% of our common stock then outstanding and (y) Warburg Pincus the right to designate one of the nominees for election to our Board for so long as Warburg Pincus beneficially owns at least 5% of our common stock then outstanding.</w:t>
      </w:r>
    </w:p>
    <w:p>
      <w:pPr>
        <w:pStyle w:val="TextBody"/>
        <w:spacing w:before="240" w:after="0"/>
        <w:jc w:val="left"/>
        <w:rPr>
          <w:rFonts w:ascii="Arial;sans-serif" w:hAnsi="Arial;sans-serif"/>
          <w:b w:val="false"/>
          <w:sz w:val="20"/>
        </w:rPr>
      </w:pPr>
      <w:r>
        <w:rPr>
          <w:rFonts w:ascii="Arial;sans-serif" w:hAnsi="Arial;sans-serif"/>
          <w:b w:val="false"/>
          <w:sz w:val="20"/>
        </w:rPr>
        <w:t>In addition, until such time as any Lead Sponsor ceases to beneficially own at least 10% of our common stock then outstanding, such Lead Sponsor shall have the right to designate one member of each committee of the Board; provided, that any such designee shall be a director and shall be eligible to serve on the applicable committee under applicable law or stock exchange listing standards, including any applicable independence requirements (subject in each case to any applicable exceptions, including those for newly public companies and any applicable phase-in periods).</w:t>
      </w:r>
    </w:p>
    <w:p>
      <w:pPr>
        <w:pStyle w:val="TextBody"/>
        <w:spacing w:before="240" w:after="0"/>
        <w:jc w:val="left"/>
        <w:rPr>
          <w:rFonts w:ascii="Arial;sans-serif" w:hAnsi="Arial;sans-serif"/>
          <w:b w:val="false"/>
          <w:sz w:val="20"/>
        </w:rPr>
      </w:pPr>
      <w:r>
        <w:rPr>
          <w:rFonts w:ascii="Arial;sans-serif" w:hAnsi="Arial;sans-serif"/>
          <w:b w:val="false"/>
          <w:sz w:val="20"/>
        </w:rPr>
        <w:t>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11" w:name="board_leadership_structure"/>
      <w:bookmarkEnd w:id="11"/>
      <w:r>
        <w:rPr>
          <w:rFonts w:ascii="Arial;sans-serif" w:hAnsi="Arial;sans-serif"/>
          <w:b/>
          <w:sz w:val="20"/>
        </w:rPr>
        <w:t>Board Leadership Structure</w:t>
      </w:r>
    </w:p>
    <w:p>
      <w:pPr>
        <w:pStyle w:val="TextBody"/>
        <w:spacing w:before="240" w:after="220"/>
        <w:jc w:val="left"/>
        <w:rPr>
          <w:rFonts w:ascii="Arial;sans-serif" w:hAnsi="Arial;sans-serif"/>
          <w:b w:val="false"/>
          <w:sz w:val="20"/>
        </w:rPr>
      </w:pPr>
      <w:r>
        <w:rPr>
          <w:rFonts w:ascii="Arial;sans-serif" w:hAnsi="Arial;sans-serif"/>
          <w:b w:val="false"/>
          <w:sz w:val="20"/>
        </w:rPr>
        <w:t>We structure leadership of our Board in a manner that we believe is best suited to benefit the Company and its performance. We separate our chair of the Board (the “Board Chair”) and Chief Executive Officer to ensure that the Board maintains robust, independent processes with respect to oversight of our business and affairs. The Board Chair has the following duties:</w:t>
      </w:r>
    </w:p>
    <w:tbl>
      <w:tblPr>
        <w:tblW w:w="10205" w:type="dxa"/>
        <w:jc w:val="left"/>
        <w:tblInd w:w="0" w:type="dxa"/>
        <w:tblCellMar>
          <w:top w:w="28" w:type="dxa"/>
          <w:left w:w="28" w:type="dxa"/>
          <w:bottom w:w="28" w:type="dxa"/>
          <w:right w:w="28" w:type="dxa"/>
        </w:tblCellMar>
      </w:tblPr>
      <w:tblGrid>
        <w:gridCol w:w="3184"/>
        <w:gridCol w:w="3618"/>
        <w:gridCol w:w="3403"/>
      </w:tblGrid>
      <w:tr>
        <w:trPr/>
        <w:tc>
          <w:tcPr>
            <w:tcW w:w="3184" w:type="dxa"/>
            <w:tcBorders/>
            <w:shd w:fill="auto" w:val="clear"/>
            <w:vAlign w:val="center"/>
          </w:tcPr>
          <w:p>
            <w:pPr>
              <w:pStyle w:val="TableContents"/>
              <w:spacing w:before="0" w:after="283"/>
              <w:rPr>
                <w:sz w:val="4"/>
                <w:szCs w:val="4"/>
              </w:rPr>
            </w:pPr>
            <w:r>
              <w:rPr>
                <w:sz w:val="4"/>
                <w:szCs w:val="4"/>
              </w:rPr>
            </w:r>
          </w:p>
        </w:tc>
        <w:tc>
          <w:tcPr>
            <w:tcW w:w="3618" w:type="dxa"/>
            <w:tcBorders/>
            <w:shd w:fill="auto" w:val="clear"/>
            <w:vAlign w:val="center"/>
          </w:tcPr>
          <w:p>
            <w:pPr>
              <w:pStyle w:val="TableContents"/>
              <w:spacing w:before="0" w:after="283"/>
              <w:rPr>
                <w:sz w:val="4"/>
                <w:szCs w:val="4"/>
              </w:rPr>
            </w:pPr>
            <w:r>
              <w:rPr>
                <w:sz w:val="4"/>
                <w:szCs w:val="4"/>
              </w:rPr>
            </w:r>
          </w:p>
        </w:tc>
        <w:tc>
          <w:tcPr>
            <w:tcW w:w="340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tcBorders>
            <w:shd w:fill="auto" w:val="clear"/>
            <w:tcMar>
              <w:left w:w="0" w:type="dxa"/>
              <w:bottom w:w="0" w:type="dxa"/>
              <w:right w:w="0" w:type="dxa"/>
            </w:tcMar>
            <w:vAlign w:val="center"/>
          </w:tcPr>
          <w:p>
            <w:pPr>
              <w:pStyle w:val="TableContents"/>
              <w:spacing w:before="120" w:after="0"/>
              <w:ind w:left="0" w:right="0" w:firstLine="432"/>
              <w:jc w:val="left"/>
              <w:rPr>
                <w:rFonts w:ascii="Arial;sans-serif" w:hAnsi="Arial;sans-serif"/>
                <w:b/>
                <w:i/>
                <w:sz w:val="18"/>
              </w:rPr>
            </w:pPr>
            <w:r>
              <w:rPr>
                <w:rFonts w:ascii="Arial;sans-serif" w:hAnsi="Arial;sans-serif"/>
                <w:b/>
                <w:i/>
                <w:sz w:val="18"/>
              </w:rPr>
              <w:t>Duties of our Board Chair</w:t>
            </w:r>
          </w:p>
        </w:tc>
      </w:tr>
      <w:tr>
        <w:trPr/>
        <w:tc>
          <w:tcPr>
            <w:tcW w:w="3184"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Presides as chair of regular sessions of the Board and manages overall Board process</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Sets Board meeting agendas and approves materials distributed to Board</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Leads response of Board to risks and opportunities and may call special meetings</w:t>
            </w:r>
          </w:p>
        </w:tc>
        <w:tc>
          <w:tcPr>
            <w:tcW w:w="3618"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Meets directly with other members of the Board as needed</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Oversees board engagement and continued education</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Partners with and supports the NCGCC in director selection process and enterprise risk management</w:t>
            </w:r>
          </w:p>
        </w:tc>
        <w:tc>
          <w:tcPr>
            <w:tcW w:w="3403"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Engages regularly with stockholders and presides over annual meeting of stockholders</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Partners with the Compensation Committee to structure and implement the annual evaluation of our CEO</w:t>
            </w:r>
          </w:p>
        </w:tc>
      </w:tr>
    </w:tbl>
    <w:p>
      <w:pPr>
        <w:pStyle w:val="TextBody"/>
        <w:spacing w:before="240" w:after="240"/>
        <w:jc w:val="left"/>
        <w:rPr>
          <w:rFonts w:ascii="Arial;sans-serif" w:hAnsi="Arial;sans-serif"/>
          <w:b w:val="false"/>
          <w:sz w:val="20"/>
        </w:rPr>
      </w:pPr>
      <w:r>
        <w:rPr>
          <w:rFonts w:ascii="Arial;sans-serif" w:hAnsi="Arial;sans-serif"/>
          <w:b w:val="false"/>
          <w:sz w:val="20"/>
        </w:rPr>
        <w:t>In October 2022, our current Board Chair, Mr. Konowiecki, assumed a role as an executive officer leading our strategic network and business development, and accordingly he is no longer considered an independent director under Nasdaq and SEC rules. Given his longstanding role as Board Chair, his expertise in the health care industry and his strong oversight of the Company’s legal, compliance and risk management functions, among others, the Board determined that it would be appropriate and in the best interests of the Company and its stockholders for Mr. Konowiecki to continue to serve concurrently as the Board Chair. Upon Mr. Konowiecki’s appointment to the executive role, in order to reinforce the independence of our Board in its guidance of the Company’s strategic direction and its oversight role, the Board also appointed Ms. McCarthy to serve as a lead independent director (“Lead Independent Director”). In considering her appointment, the Board determined that Mr. McCarthy’s expertise, independence and integrity qualified her to serve as Lead Independent Director. The Board determined that the Lead Independent Director would have the following duties and authority:</w:t>
      </w:r>
    </w:p>
    <w:tbl>
      <w:tblPr>
        <w:tblW w:w="10205" w:type="dxa"/>
        <w:jc w:val="left"/>
        <w:tblInd w:w="0" w:type="dxa"/>
        <w:tblCellMar>
          <w:top w:w="28" w:type="dxa"/>
          <w:left w:w="28" w:type="dxa"/>
          <w:bottom w:w="28" w:type="dxa"/>
          <w:right w:w="28" w:type="dxa"/>
        </w:tblCellMar>
      </w:tblPr>
      <w:tblGrid>
        <w:gridCol w:w="3342"/>
        <w:gridCol w:w="4230"/>
        <w:gridCol w:w="2633"/>
      </w:tblGrid>
      <w:tr>
        <w:trPr/>
        <w:tc>
          <w:tcPr>
            <w:tcW w:w="3342" w:type="dxa"/>
            <w:tcBorders/>
            <w:shd w:fill="auto" w:val="clear"/>
            <w:vAlign w:val="center"/>
          </w:tcPr>
          <w:p>
            <w:pPr>
              <w:pStyle w:val="TableContents"/>
              <w:spacing w:before="0" w:after="283"/>
              <w:rPr>
                <w:sz w:val="4"/>
                <w:szCs w:val="4"/>
              </w:rPr>
            </w:pPr>
            <w:r>
              <w:rPr>
                <w:sz w:val="4"/>
                <w:szCs w:val="4"/>
              </w:rPr>
            </w:r>
          </w:p>
        </w:tc>
        <w:tc>
          <w:tcPr>
            <w:tcW w:w="4230"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0000"/>
            </w:tcBorders>
            <w:shd w:fill="auto" w:val="clear"/>
            <w:tcMar>
              <w:left w:w="0" w:type="dxa"/>
              <w:bottom w:w="0" w:type="dxa"/>
              <w:right w:w="0" w:type="dxa"/>
            </w:tcMar>
            <w:vAlign w:val="center"/>
          </w:tcPr>
          <w:p>
            <w:pPr>
              <w:pStyle w:val="TableContents"/>
              <w:spacing w:before="120" w:after="0"/>
              <w:ind w:left="0" w:right="0" w:firstLine="432"/>
              <w:jc w:val="left"/>
              <w:rPr>
                <w:rFonts w:ascii="Arial;sans-serif" w:hAnsi="Arial;sans-serif"/>
                <w:b/>
                <w:i/>
                <w:sz w:val="18"/>
              </w:rPr>
            </w:pPr>
            <w:r>
              <w:rPr>
                <w:rFonts w:ascii="Arial;sans-serif" w:hAnsi="Arial;sans-serif"/>
                <w:b/>
                <w:i/>
                <w:sz w:val="18"/>
              </w:rPr>
              <w:t>Duties of our Lead Independent Director</w:t>
            </w:r>
          </w:p>
        </w:tc>
      </w:tr>
      <w:tr>
        <w:trPr/>
        <w:tc>
          <w:tcPr>
            <w:tcW w:w="3342"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Provide input on Board meeting agendas and schedules and materials distributed to the Board</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Preside over periodic meetings of the Company’s independent directors</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Consult directly with significant stockholders, upon request</w:t>
            </w:r>
          </w:p>
        </w:tc>
        <w:tc>
          <w:tcPr>
            <w:tcW w:w="4230"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Serve as a liaison between our Board Chair, CEO and other management, on the one hand, and the independent directors, on the other </w:t>
            </w:r>
          </w:p>
          <w:p>
            <w:pPr>
              <w:pStyle w:val="TableContents"/>
              <w:spacing w:before="120" w:after="120"/>
              <w:ind w:left="72" w:right="0" w:hanging="0"/>
              <w:jc w:val="left"/>
              <w:rPr/>
            </w:pPr>
            <w:r>
              <w:rPr/>
              <w:t>•</w:t>
            </w:r>
          </w:p>
          <w:p>
            <w:pPr>
              <w:pStyle w:val="TableContents"/>
              <w:spacing w:before="120" w:after="120"/>
              <w:ind w:left="0" w:right="0" w:firstLine="432"/>
              <w:jc w:val="left"/>
              <w:rPr>
                <w:rFonts w:ascii="Arial;sans-serif" w:hAnsi="Arial;sans-serif"/>
                <w:b w:val="false"/>
                <w:sz w:val="18"/>
              </w:rPr>
            </w:pPr>
            <w:r>
              <w:rPr>
                <w:rFonts w:ascii="Arial;sans-serif" w:hAnsi="Arial;sans-serif"/>
                <w:b w:val="false"/>
                <w:sz w:val="18"/>
              </w:rPr>
              <w:t>Assume leadership role in the Board’s annual evaluation of its composition, processes and design</w:t>
            </w:r>
          </w:p>
        </w:tc>
        <w:tc>
          <w:tcPr>
            <w:tcW w:w="2633" w:type="dxa"/>
            <w:tcBorders>
              <w:bottom w:val="single" w:sz="4" w:space="0" w:color="000000"/>
            </w:tcBorders>
            <w:shd w:fill="auto" w:val="clear"/>
            <w:tcMar>
              <w:top w:w="0" w:type="dxa"/>
              <w:left w:w="0" w:type="dxa"/>
              <w:right w:w="0" w:type="dxa"/>
            </w:tcMar>
            <w:vAlign w:val="center"/>
          </w:tcPr>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Participate in and oversee the annual evaluation of our CEO </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 xml:space="preserve">Consult directly with Company management as appropriate </w:t>
            </w:r>
          </w:p>
          <w:p>
            <w:pPr>
              <w:pStyle w:val="TableContents"/>
              <w:spacing w:before="120" w:after="120"/>
              <w:ind w:left="72" w:right="0" w:hanging="0"/>
              <w:jc w:val="left"/>
              <w:rPr/>
            </w:pPr>
            <w:r>
              <w:rPr/>
              <w:t>•</w:t>
            </w:r>
          </w:p>
          <w:p>
            <w:pPr>
              <w:pStyle w:val="TableContents"/>
              <w:spacing w:before="120" w:after="120"/>
              <w:jc w:val="left"/>
              <w:rPr>
                <w:rFonts w:ascii="Arial;sans-serif" w:hAnsi="Arial;sans-serif"/>
                <w:b w:val="false"/>
                <w:sz w:val="18"/>
              </w:rPr>
            </w:pPr>
            <w:r>
              <w:rPr>
                <w:rFonts w:ascii="Arial;sans-serif" w:hAnsi="Arial;sans-serif"/>
                <w:b w:val="false"/>
                <w:sz w:val="18"/>
              </w:rPr>
              <w:t>Such additional duties as our Board may otherwise determine and delegate</w:t>
            </w:r>
          </w:p>
        </w:tc>
      </w:tr>
    </w:tbl>
    <w:p>
      <w:pPr>
        <w:pStyle w:val="TextBody"/>
        <w:spacing w:before="240" w:after="0"/>
        <w:jc w:val="left"/>
        <w:rPr>
          <w:rFonts w:ascii="Arial;sans-serif" w:hAnsi="Arial;sans-serif"/>
          <w:b w:val="false"/>
          <w:sz w:val="20"/>
        </w:rPr>
      </w:pPr>
      <w:r>
        <w:rPr>
          <w:rFonts w:ascii="Arial;sans-serif" w:hAnsi="Arial;sans-serif"/>
          <w:b w:val="false"/>
          <w:sz w:val="20"/>
        </w:rPr>
        <w:t>Collectively, we believe that our Board Chair and Lead Independent Director are well positioned to objectively evaluate and oversee management’s performance, ensure management accountability, implement and enforce strong corporate governance and align management with the best interests of the Company and its stockholders.</w:t>
      </w:r>
    </w:p>
    <w:p>
      <w:pPr>
        <w:pStyle w:val="TextBody"/>
        <w:spacing w:before="240" w:after="0"/>
        <w:jc w:val="left"/>
        <w:rPr>
          <w:rFonts w:ascii="Times New Roman" w:hAnsi="Times New Roman"/>
          <w:sz w:val="20"/>
        </w:rPr>
      </w:pPr>
      <w:r>
        <w:rPr>
          <w:rFonts w:ascii="Arial;sans-serif" w:hAnsi="Arial;sans-serif"/>
          <w:b w:val="false"/>
          <w:sz w:val="20"/>
        </w:rPr>
        <w:t>The Board believes the advisability of having separate or combined Board Chair and Chief Executive Officer positions, or of appointing to Board Chair to an executive role, is dependent upon the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strengths of the individual or individuals that hold these positions and the most effective means of leveraging these strengths, to lead the Board, set Board agendas, augment the Company’s strategic efforts, support management, and identify and oversee key risks in light of the challenges and circumstances facing the Company, which may change over time. At any time during which the Chief Executive Officer and Board Chair positions are combined, or during which the Board Chair is not independent, the Board would appoint a Lead Independent Director. Our stockholders would be notified promptly upon the occurrence of any changes to our current Board leadership structure. We are continually seeking stockholder input on important matters, including our governance structure, through our stockholder engagement program.</w:t>
      </w:r>
    </w:p>
    <w:p>
      <w:pPr>
        <w:pStyle w:val="TextBody"/>
        <w:spacing w:before="240" w:after="0"/>
        <w:jc w:val="left"/>
        <w:rPr>
          <w:rFonts w:ascii="Arial;sans-serif" w:hAnsi="Arial;sans-serif"/>
          <w:b w:val="false"/>
          <w:sz w:val="20"/>
        </w:rPr>
      </w:pPr>
      <w:r>
        <w:rPr>
          <w:rFonts w:ascii="Arial;sans-serif" w:hAnsi="Arial;sans-serif"/>
          <w:b w:val="false"/>
          <w:sz w:val="20"/>
        </w:rPr>
        <w:t>The independent directors have the opportunity to meet in executive session without members of management as often as they deem appropriate, but at a minimum do so at each regularly scheduled quarterly Board meeting. Our Board leadership structure also includes active and empowered committee chairs, who lead oversight of specific risk areas, regularly provide reports and make recommendations to the Board and who consult directly with members of Company management on a variety of matters.</w:t>
      </w:r>
    </w:p>
    <w:p>
      <w:pPr>
        <w:pStyle w:val="TextBody"/>
        <w:spacing w:before="200" w:after="0"/>
        <w:jc w:val="left"/>
        <w:rPr>
          <w:rFonts w:ascii="Arial;sans-serif" w:hAnsi="Arial;sans-serif"/>
          <w:b/>
          <w:sz w:val="20"/>
        </w:rPr>
      </w:pPr>
      <w:bookmarkStart w:id="12" w:name="the_boards_role_in_risk_oversight"/>
      <w:bookmarkEnd w:id="12"/>
      <w:r>
        <w:rPr>
          <w:rFonts w:ascii="Arial;sans-serif" w:hAnsi="Arial;sans-serif"/>
          <w:b/>
          <w:sz w:val="20"/>
        </w:rPr>
        <w:t>The Board’s Role in Risk Oversight</w:t>
      </w:r>
    </w:p>
    <w:p>
      <w:pPr>
        <w:pStyle w:val="TextBody"/>
        <w:spacing w:before="240" w:after="120"/>
        <w:jc w:val="left"/>
        <w:rPr>
          <w:rFonts w:ascii="Arial;sans-serif" w:hAnsi="Arial;sans-serif"/>
          <w:b w:val="false"/>
          <w:sz w:val="20"/>
        </w:rPr>
      </w:pPr>
      <w:r>
        <w:rPr>
          <w:rFonts w:ascii="Arial;sans-serif" w:hAnsi="Arial;sans-serif"/>
          <w:b w:val="false"/>
          <w:sz w:val="20"/>
        </w:rPr>
        <w:t>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Management and the Board and committees view their respective risk management roles, and the collaboration amongst them in the identification, oversight, evaluation and management of risk, as paramount to the Company’s short-term viability and long-term sustainability.</w:t>
      </w:r>
    </w:p>
    <w:tbl>
      <w:tblPr>
        <w:tblW w:w="10205" w:type="dxa"/>
        <w:jc w:val="left"/>
        <w:tblInd w:w="0" w:type="dxa"/>
        <w:tblCellMar>
          <w:top w:w="28" w:type="dxa"/>
          <w:left w:w="28" w:type="dxa"/>
          <w:bottom w:w="28" w:type="dxa"/>
          <w:right w:w="28" w:type="dxa"/>
        </w:tblCellMar>
      </w:tblPr>
      <w:tblGrid>
        <w:gridCol w:w="3536"/>
        <w:gridCol w:w="3317"/>
        <w:gridCol w:w="3352"/>
      </w:tblGrid>
      <w:tr>
        <w:trPr/>
        <w:tc>
          <w:tcPr>
            <w:tcW w:w="3536" w:type="dxa"/>
            <w:tcBorders/>
            <w:shd w:fill="auto" w:val="clear"/>
            <w:vAlign w:val="center"/>
          </w:tcPr>
          <w:p>
            <w:pPr>
              <w:pStyle w:val="TableContents"/>
              <w:spacing w:before="0" w:after="283"/>
              <w:rPr>
                <w:sz w:val="4"/>
                <w:szCs w:val="4"/>
              </w:rPr>
            </w:pPr>
            <w:r>
              <w:rPr>
                <w:sz w:val="4"/>
                <w:szCs w:val="4"/>
              </w:rPr>
            </w:r>
          </w:p>
        </w:tc>
        <w:tc>
          <w:tcPr>
            <w:tcW w:w="3317" w:type="dxa"/>
            <w:tcBorders/>
            <w:shd w:fill="auto" w:val="clear"/>
            <w:vAlign w:val="center"/>
          </w:tcPr>
          <w:p>
            <w:pPr>
              <w:pStyle w:val="TableContents"/>
              <w:spacing w:before="0" w:after="283"/>
              <w:rPr>
                <w:sz w:val="4"/>
                <w:szCs w:val="4"/>
              </w:rPr>
            </w:pPr>
            <w:r>
              <w:rPr>
                <w:sz w:val="4"/>
                <w:szCs w:val="4"/>
              </w:rPr>
            </w:r>
          </w:p>
        </w:tc>
        <w:tc>
          <w:tcPr>
            <w:tcW w:w="335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left"/>
              <w:rPr/>
            </w:pPr>
            <w:r>
              <w:rPr/>
              <w:t> </w:t>
            </w:r>
          </w:p>
        </w:tc>
      </w:tr>
      <w:tr>
        <w:trPr/>
        <w:tc>
          <w:tcPr>
            <w:tcW w:w="10205" w:type="dxa"/>
            <w:gridSpan w:val="3"/>
            <w:tcBorders/>
            <w:shd w:fill="auto" w:val="clear"/>
            <w:tcMar>
              <w:top w:w="0" w:type="dxa"/>
              <w:left w:w="0" w:type="dxa"/>
              <w:bottom w:w="0" w:type="dxa"/>
              <w:right w:w="0" w:type="dxa"/>
            </w:tcMar>
            <w:vAlign w:val="center"/>
          </w:tcPr>
          <w:p>
            <w:pPr>
              <w:pStyle w:val="TableContents"/>
              <w:spacing w:before="120" w:after="0"/>
              <w:ind w:left="0" w:right="0" w:hanging="0"/>
              <w:jc w:val="center"/>
              <w:rPr>
                <w:rFonts w:ascii="Arial;sans-serif" w:hAnsi="Arial;sans-serif"/>
                <w:b/>
                <w:sz w:val="18"/>
              </w:rPr>
            </w:pPr>
            <w:r>
              <w:rPr>
                <w:rFonts w:ascii="Arial;sans-serif" w:hAnsi="Arial;sans-serif"/>
                <w:b/>
                <w:sz w:val="18"/>
              </w:rPr>
              <w:t>Board of Directors</w:t>
            </w:r>
          </w:p>
        </w:tc>
      </w:tr>
      <w:tr>
        <w:trPr/>
        <w:tc>
          <w:tcPr>
            <w:tcW w:w="10205" w:type="dxa"/>
            <w:gridSpan w:val="3"/>
            <w:tcBorders>
              <w:bottom w:val="single" w:sz="4" w:space="0" w:color="000000"/>
            </w:tcBorders>
            <w:shd w:fill="auto" w:val="clear"/>
            <w:tcMar>
              <w:top w:w="0" w:type="dxa"/>
              <w:left w:w="0" w:type="dxa"/>
              <w:right w:w="0" w:type="dxa"/>
            </w:tcMar>
            <w:vAlign w:val="center"/>
          </w:tcPr>
          <w:p>
            <w:pPr>
              <w:pStyle w:val="TableContents"/>
              <w:spacing w:before="80" w:after="120"/>
              <w:ind w:left="0" w:right="0" w:hanging="0"/>
              <w:jc w:val="left"/>
              <w:rPr>
                <w:rFonts w:ascii="Arial;sans-serif" w:hAnsi="Arial;sans-serif"/>
                <w:b w:val="false"/>
                <w:sz w:val="18"/>
              </w:rPr>
            </w:pPr>
            <w:r>
              <w:rPr>
                <w:rFonts w:ascii="Arial;sans-serif" w:hAnsi="Arial;sans-serif"/>
                <w:b w:val="false"/>
                <w:sz w:val="18"/>
              </w:rPr>
              <w:t>The Board as a whole has overall responsibility for risk oversight. It routinely monitors the nature and severity of significant risk exposures, potential mitigation measures and the quality and effectiveness of our enterprise risk management (“ERM”) program. On at least a quarterly basis and more frequently as needed, our Board and committees assess the Company’s risk environment, consult with management and relevant outside advisors, review and analyze key risk areas, including new business, financial, operations and compliance, and analyze regulatory developments affecting such risks. Oversight includes both short-term operational risks and long-term strategic risks.</w:t>
            </w:r>
          </w:p>
        </w:tc>
      </w:tr>
      <w:tr>
        <w:trPr/>
        <w:tc>
          <w:tcPr>
            <w:tcW w:w="35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317" w:type="dxa"/>
            <w:tcBorders/>
            <w:shd w:fill="auto" w:val="clear"/>
            <w:tcMar>
              <w:top w:w="0" w:type="dxa"/>
              <w:left w:w="0" w:type="dxa"/>
              <w:bottom w:w="0" w:type="dxa"/>
              <w:right w:w="0" w:type="dxa"/>
            </w:tcMar>
            <w:vAlign w:val="center"/>
          </w:tcPr>
          <w:p>
            <w:pPr>
              <w:pStyle w:val="TableContents"/>
              <w:spacing w:before="240" w:after="0"/>
              <w:ind w:left="0" w:right="0" w:hanging="0"/>
              <w:jc w:val="center"/>
              <w:rPr/>
            </w:pPr>
            <w:r>
              <w:rPr/>
              <w:t> </w:t>
            </w:r>
          </w:p>
        </w:tc>
        <w:tc>
          <w:tcPr>
            <w:tcW w:w="3352" w:type="dxa"/>
            <w:tcBorders/>
            <w:shd w:fill="auto" w:val="clear"/>
            <w:tcMar>
              <w:top w:w="0" w:type="dxa"/>
              <w:left w:w="0" w:type="dxa"/>
              <w:bottom w:w="0" w:type="dxa"/>
              <w:right w:w="0" w:type="dxa"/>
            </w:tcMar>
            <w:vAlign w:val="center"/>
          </w:tcPr>
          <w:p>
            <w:pPr>
              <w:pStyle w:val="TableContents"/>
              <w:spacing w:before="240" w:after="0"/>
              <w:ind w:left="0" w:right="0" w:hanging="0"/>
              <w:jc w:val="center"/>
              <w:rPr/>
            </w:pPr>
            <w:r>
              <w:rPr/>
              <w:t> </w:t>
            </w:r>
          </w:p>
        </w:tc>
      </w:tr>
      <w:tr>
        <w:trPr/>
        <w:tc>
          <w:tcPr>
            <w:tcW w:w="3536" w:type="dxa"/>
            <w:tcBorders>
              <w:top w:val="single" w:sz="4" w:space="0" w:color="000000"/>
            </w:tcBorders>
            <w:shd w:fill="auto" w:val="clear"/>
            <w:tcMar>
              <w:left w:w="0" w:type="dxa"/>
              <w:bottom w:w="0" w:type="dxa"/>
              <w:right w:w="0" w:type="dxa"/>
            </w:tcMar>
            <w:vAlign w:val="center"/>
          </w:tcPr>
          <w:p>
            <w:pPr>
              <w:pStyle w:val="TableContents"/>
              <w:spacing w:before="120" w:after="0"/>
              <w:ind w:left="0" w:right="0" w:hanging="0"/>
              <w:jc w:val="center"/>
              <w:rPr>
                <w:rFonts w:ascii="Arial;sans-serif" w:hAnsi="Arial;sans-serif"/>
                <w:b/>
                <w:sz w:val="18"/>
              </w:rPr>
            </w:pPr>
            <w:r>
              <w:rPr>
                <w:rFonts w:ascii="Arial;sans-serif" w:hAnsi="Arial;sans-serif"/>
                <w:b/>
                <w:sz w:val="18"/>
              </w:rPr>
              <w:t>Nominating, Corporate Governance and Compliance Committee</w:t>
            </w:r>
          </w:p>
        </w:tc>
        <w:tc>
          <w:tcPr>
            <w:tcW w:w="3317" w:type="dxa"/>
            <w:tcBorders>
              <w:top w:val="single" w:sz="4" w:space="0" w:color="000000"/>
            </w:tcBorders>
            <w:shd w:fill="auto" w:val="clear"/>
            <w:tcMar>
              <w:left w:w="0" w:type="dxa"/>
              <w:bottom w:w="0" w:type="dxa"/>
              <w:right w:w="0" w:type="dxa"/>
            </w:tcMar>
            <w:vAlign w:val="center"/>
          </w:tcPr>
          <w:p>
            <w:pPr>
              <w:pStyle w:val="TableContents"/>
              <w:spacing w:before="240" w:after="0"/>
              <w:ind w:left="0" w:right="0" w:hanging="0"/>
              <w:jc w:val="center"/>
              <w:rPr>
                <w:rFonts w:ascii="Arial;sans-serif" w:hAnsi="Arial;sans-serif"/>
                <w:b/>
                <w:sz w:val="18"/>
              </w:rPr>
            </w:pPr>
            <w:r>
              <w:rPr>
                <w:rFonts w:ascii="Arial;sans-serif" w:hAnsi="Arial;sans-serif"/>
                <w:b/>
                <w:sz w:val="18"/>
              </w:rPr>
              <w:t>Audit Committee</w:t>
            </w:r>
          </w:p>
        </w:tc>
        <w:tc>
          <w:tcPr>
            <w:tcW w:w="3352" w:type="dxa"/>
            <w:tcBorders>
              <w:top w:val="single" w:sz="4" w:space="0" w:color="000000"/>
            </w:tcBorders>
            <w:shd w:fill="auto" w:val="clear"/>
            <w:tcMar>
              <w:left w:w="0" w:type="dxa"/>
              <w:bottom w:w="0" w:type="dxa"/>
              <w:right w:w="0" w:type="dxa"/>
            </w:tcMar>
            <w:vAlign w:val="center"/>
          </w:tcPr>
          <w:p>
            <w:pPr>
              <w:pStyle w:val="TableContents"/>
              <w:spacing w:before="240" w:after="0"/>
              <w:ind w:left="0" w:right="0" w:firstLine="360"/>
              <w:jc w:val="center"/>
              <w:rPr>
                <w:rFonts w:ascii="Arial;sans-serif" w:hAnsi="Arial;sans-serif"/>
                <w:b/>
                <w:sz w:val="18"/>
              </w:rPr>
            </w:pPr>
            <w:r>
              <w:rPr>
                <w:rFonts w:ascii="Arial;sans-serif" w:hAnsi="Arial;sans-serif"/>
                <w:b/>
                <w:sz w:val="18"/>
              </w:rPr>
              <w:t>Compensation Committee</w:t>
            </w:r>
          </w:p>
        </w:tc>
      </w:tr>
      <w:tr>
        <w:trPr/>
        <w:tc>
          <w:tcPr>
            <w:tcW w:w="3536" w:type="dxa"/>
            <w:tcBorders>
              <w:bottom w:val="single" w:sz="4" w:space="0" w:color="000000"/>
            </w:tcBorders>
            <w:shd w:fill="auto" w:val="clear"/>
            <w:tcMar>
              <w:top w:w="0" w:type="dxa"/>
              <w:left w:w="0" w:type="dxa"/>
              <w:right w:w="0" w:type="dxa"/>
            </w:tcMar>
            <w:vAlign w:val="center"/>
          </w:tcPr>
          <w:p>
            <w:pPr>
              <w:pStyle w:val="TableContents"/>
              <w:spacing w:before="80" w:after="80"/>
              <w:ind w:left="0" w:right="0" w:hanging="0"/>
              <w:jc w:val="left"/>
              <w:rPr/>
            </w:pPr>
            <w:r>
              <w:rPr/>
              <w:t>•</w:t>
            </w:r>
          </w:p>
          <w:p>
            <w:pPr>
              <w:pStyle w:val="TableContents"/>
              <w:spacing w:before="80" w:after="80"/>
              <w:jc w:val="left"/>
              <w:rPr>
                <w:rFonts w:ascii="Arial;sans-serif" w:hAnsi="Arial;sans-serif"/>
                <w:b w:val="false"/>
                <w:sz w:val="18"/>
              </w:rPr>
            </w:pPr>
            <w:r>
              <w:rPr>
                <w:rFonts w:ascii="Arial;sans-serif" w:hAnsi="Arial;sans-serif"/>
                <w:b w:val="false"/>
                <w:sz w:val="18"/>
              </w:rPr>
              <w:t>Has primary responsibility for oversight of our ERM program, consults with management and other Board committees as needed.</w:t>
            </w:r>
          </w:p>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Oversees governance risks, such as director independence and conflicts of interest.</w:t>
            </w:r>
          </w:p>
          <w:p>
            <w:pPr>
              <w:pStyle w:val="TableContents"/>
              <w:spacing w:before="0" w:after="80"/>
              <w:ind w:left="0" w:right="0" w:hanging="0"/>
              <w:jc w:val="left"/>
              <w:rPr/>
            </w:pPr>
            <w:r>
              <w:rPr/>
              <w:t>•</w:t>
            </w:r>
          </w:p>
          <w:p>
            <w:pPr>
              <w:pStyle w:val="TableContents"/>
              <w:spacing w:before="0" w:after="80"/>
              <w:ind w:left="0" w:right="0" w:firstLine="374"/>
              <w:jc w:val="left"/>
              <w:rPr>
                <w:rFonts w:ascii="Arial;sans-serif" w:hAnsi="Arial;sans-serif"/>
                <w:b w:val="false"/>
                <w:sz w:val="18"/>
              </w:rPr>
            </w:pPr>
            <w:r>
              <w:rPr>
                <w:rFonts w:ascii="Arial;sans-serif" w:hAnsi="Arial;sans-serif"/>
                <w:b w:val="false"/>
                <w:sz w:val="18"/>
              </w:rPr>
              <w:t>Monitors our health care and other legal compliance activities, including regulatory audits and other touchpoints.</w:t>
            </w:r>
          </w:p>
        </w:tc>
        <w:tc>
          <w:tcPr>
            <w:tcW w:w="3317" w:type="dxa"/>
            <w:tcBorders>
              <w:bottom w:val="single" w:sz="4" w:space="0" w:color="000000"/>
            </w:tcBorders>
            <w:shd w:fill="auto" w:val="clear"/>
            <w:tcMar>
              <w:top w:w="0" w:type="dxa"/>
              <w:left w:w="0" w:type="dxa"/>
              <w:right w:w="0" w:type="dxa"/>
            </w:tcMar>
            <w:vAlign w:val="center"/>
          </w:tcPr>
          <w:p>
            <w:pPr>
              <w:pStyle w:val="TableContents"/>
              <w:spacing w:before="0" w:after="80"/>
              <w:ind w:left="14"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Oversees our major financial risk exposures and management actions to monitor and control these exposures.</w:t>
            </w:r>
          </w:p>
          <w:p>
            <w:pPr>
              <w:pStyle w:val="TableContents"/>
              <w:spacing w:before="0" w:after="80"/>
              <w:ind w:left="14"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Oversees the performance of our external auditors and internal audit function.</w:t>
            </w:r>
          </w:p>
          <w:p>
            <w:pPr>
              <w:pStyle w:val="TableContents"/>
              <w:spacing w:before="0" w:after="120"/>
              <w:ind w:left="14" w:right="0" w:hanging="0"/>
              <w:jc w:val="left"/>
              <w:rPr/>
            </w:pPr>
            <w:r>
              <w:rPr/>
              <w:t>•</w:t>
            </w:r>
          </w:p>
          <w:p>
            <w:pPr>
              <w:pStyle w:val="TableContents"/>
              <w:spacing w:before="0" w:after="120"/>
              <w:ind w:left="0" w:right="0" w:firstLine="360"/>
              <w:jc w:val="left"/>
              <w:rPr>
                <w:rFonts w:ascii="Arial;sans-serif" w:hAnsi="Arial;sans-serif"/>
                <w:b w:val="false"/>
                <w:sz w:val="18"/>
              </w:rPr>
            </w:pPr>
            <w:r>
              <w:rPr>
                <w:rFonts w:ascii="Arial;sans-serif" w:hAnsi="Arial;sans-serif"/>
                <w:b w:val="false"/>
                <w:sz w:val="18"/>
              </w:rPr>
              <w:t>Monitors risk related to data privacy and cybersecurity.</w:t>
            </w:r>
          </w:p>
        </w:tc>
        <w:tc>
          <w:tcPr>
            <w:tcW w:w="3352" w:type="dxa"/>
            <w:tcBorders>
              <w:bottom w:val="single" w:sz="4" w:space="0" w:color="000000"/>
            </w:tcBorders>
            <w:shd w:fill="auto" w:val="clear"/>
            <w:tcMar>
              <w:top w:w="0" w:type="dxa"/>
              <w:left w:w="0" w:type="dxa"/>
              <w:right w:w="0" w:type="dxa"/>
            </w:tcMar>
            <w:vAlign w:val="center"/>
          </w:tcPr>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Assesses and monitors risks related to our compensation policies and programs, such as retention risk.</w:t>
            </w:r>
          </w:p>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Oversees management incentives and potential for excessive risk taking.</w:t>
            </w:r>
          </w:p>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Responsible for management succession risk and planning.</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205" w:type="dxa"/>
            <w:tcBorders>
              <w:bottom w:val="single" w:sz="4" w:space="0" w:color="000000"/>
            </w:tcBorders>
            <w:shd w:fill="auto" w:val="clear"/>
            <w:tcMar>
              <w:top w:w="0" w:type="dxa"/>
              <w:left w:w="0" w:type="dxa"/>
              <w:right w:w="0" w:type="dxa"/>
            </w:tcMar>
            <w:vAlign w:val="center"/>
          </w:tcPr>
          <w:p>
            <w:pPr>
              <w:pStyle w:val="TableContents"/>
              <w:spacing w:before="120" w:after="80"/>
              <w:ind w:left="0" w:right="0" w:hanging="0"/>
              <w:jc w:val="center"/>
              <w:rPr>
                <w:rFonts w:ascii="Arial;sans-serif" w:hAnsi="Arial;sans-serif"/>
                <w:b/>
                <w:sz w:val="18"/>
              </w:rPr>
            </w:pPr>
            <w:r>
              <w:rPr>
                <w:rFonts w:ascii="Arial;sans-serif" w:hAnsi="Arial;sans-serif"/>
                <w:b/>
                <w:sz w:val="18"/>
              </w:rPr>
              <w:t>Management</w:t>
            </w:r>
          </w:p>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Manages day-to-day risk and regularly confers with the Board and committees regarding the risks and risk management processes.</w:t>
            </w:r>
          </w:p>
          <w:p>
            <w:pPr>
              <w:pStyle w:val="TableContents"/>
              <w:spacing w:before="0" w:after="80"/>
              <w:ind w:left="0" w:right="0" w:hanging="0"/>
              <w:jc w:val="left"/>
              <w:rPr/>
            </w:pPr>
            <w:r>
              <w:rPr/>
              <w:t>•</w:t>
            </w:r>
          </w:p>
          <w:p>
            <w:pPr>
              <w:pStyle w:val="TableContents"/>
              <w:spacing w:before="0" w:after="80"/>
              <w:jc w:val="left"/>
              <w:rPr>
                <w:rFonts w:ascii="Arial;sans-serif" w:hAnsi="Arial;sans-serif"/>
                <w:b w:val="false"/>
                <w:sz w:val="18"/>
              </w:rPr>
            </w:pPr>
            <w:r>
              <w:rPr>
                <w:rFonts w:ascii="Arial;sans-serif" w:hAnsi="Arial;sans-serif"/>
                <w:b w:val="false"/>
                <w:sz w:val="18"/>
              </w:rPr>
              <w:t>Systematically monitors risk exposure and mitigation planning through an ERM committee, a broad, interdepartmental group led by the Company’s Chief Compliance &amp; Privacy Officer and Director, Enterprise Risk Management, and including, among others, our CEO, CFO and at least one independent member of the Board.</w:t>
            </w:r>
          </w:p>
        </w:tc>
      </w:tr>
    </w:tbl>
    <w:p>
      <w:pPr>
        <w:pStyle w:val="TextBody"/>
        <w:spacing w:before="240" w:after="0"/>
        <w:jc w:val="left"/>
        <w:rPr>
          <w:rFonts w:ascii="Arial;sans-serif" w:hAnsi="Arial;sans-serif"/>
          <w:b w:val="false"/>
          <w:sz w:val="20"/>
        </w:rPr>
      </w:pPr>
      <w:r>
        <w:rPr>
          <w:rFonts w:ascii="Arial;sans-serif" w:hAnsi="Arial;sans-serif"/>
          <w:b w:val="false"/>
          <w:sz w:val="20"/>
        </w:rPr>
        <w:t>Both our Board and our Board committees receive periodic and incidental reports as matters may arise directly from our Chief Compliance and Privacy Officer, our General Counsel, and our accounting personnel overseeing our internal audit function. Our Chief Compliance and Privacy Officer reports to our President, Markets, and our General Counsel reports to our Chief Executive Officer. Such reports include information regarding potential violations of our Code of Conduct, our ethics hotline activity and other complaints we may receive regarding potential ethics violations or our financial controls, accounting and other auditing matters.</w:t>
      </w:r>
    </w:p>
    <w:p>
      <w:pPr>
        <w:pStyle w:val="TextBody"/>
        <w:spacing w:before="240" w:after="0"/>
        <w:jc w:val="left"/>
        <w:rPr>
          <w:rFonts w:ascii="Times New Roman" w:hAnsi="Times New Roman"/>
          <w:sz w:val="20"/>
        </w:rPr>
      </w:pPr>
      <w:r>
        <w:rPr>
          <w:rFonts w:ascii="Arial;sans-serif" w:hAnsi="Arial;sans-serif"/>
          <w:b w:val="false"/>
          <w:sz w:val="20"/>
        </w:rPr>
        <w:t>Our approach to risk oversight takes into account the immediacy of the risk assessed and its potential severity. Management and our committee chairs are responsible for promptly reporting findings regarding material risk exposures to the Board. Our Board, with leadership from the NCGCC, assesses, at least annually, our committee structure and the appropriateness of delegation of particular areas of risk oversight to such committees.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Company’s risk oversight process is also integrated into the Company’s disclosure controls and procedures, including risk disclosures contained within our Annual Report on Form 10-K. The Company utilizes a cross-functional enterprise team to review and draft the Company’s disclosures, including a Disclosure Committee that provides reports to executive management and the Board.</w:t>
      </w:r>
    </w:p>
    <w:p>
      <w:pPr>
        <w:pStyle w:val="TextBody"/>
        <w:spacing w:before="240" w:after="0"/>
        <w:jc w:val="left"/>
        <w:rPr>
          <w:rFonts w:ascii="Arial;sans-serif" w:hAnsi="Arial;sans-serif"/>
          <w:b w:val="false"/>
          <w:sz w:val="20"/>
        </w:rPr>
      </w:pPr>
      <w:r>
        <w:rPr>
          <w:rFonts w:ascii="Arial;sans-serif" w:hAnsi="Arial;sans-serif"/>
          <w:b w:val="false"/>
          <w:sz w:val="20"/>
        </w:rPr>
        <w:t>Management and the Board and Board Committees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compensation consultant retained by the Compensation Committee.</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13" w:name="board_committees"/>
      <w:bookmarkEnd w:id="13"/>
      <w:r>
        <w:rPr>
          <w:rFonts w:ascii="Arial;sans-serif" w:hAnsi="Arial;sans-serif"/>
          <w:b/>
          <w:sz w:val="20"/>
        </w:rPr>
        <w:t>Board Committees</w:t>
      </w:r>
    </w:p>
    <w:p>
      <w:pPr>
        <w:pStyle w:val="TextBody"/>
        <w:spacing w:before="120" w:after="120"/>
        <w:jc w:val="left"/>
        <w:rPr>
          <w:rFonts w:ascii="Arial;sans-serif" w:hAnsi="Arial;sans-serif"/>
          <w:b w:val="false"/>
          <w:sz w:val="20"/>
        </w:rPr>
      </w:pPr>
      <w:r>
        <w:rPr>
          <w:rFonts w:ascii="Arial;sans-serif" w:hAnsi="Arial;sans-serif"/>
          <w:b w:val="false"/>
          <w:sz w:val="20"/>
        </w:rPr>
        <w:t>The composition, duties and responsibilities of our committees are as set forth below. In the future, our Board may establish other committees, as it deems appropriate, to assist it with its responsibilities.</w:t>
      </w:r>
    </w:p>
    <w:tbl>
      <w:tblPr>
        <w:tblW w:w="10205" w:type="dxa"/>
        <w:jc w:val="left"/>
        <w:tblInd w:w="0" w:type="dxa"/>
        <w:tblCellMar>
          <w:top w:w="28" w:type="dxa"/>
          <w:left w:w="28" w:type="dxa"/>
          <w:bottom w:w="28" w:type="dxa"/>
          <w:right w:w="28" w:type="dxa"/>
        </w:tblCellMar>
      </w:tblPr>
      <w:tblGrid>
        <w:gridCol w:w="1673"/>
        <w:gridCol w:w="1477"/>
        <w:gridCol w:w="2203"/>
        <w:gridCol w:w="4852"/>
      </w:tblGrid>
      <w:tr>
        <w:trPr/>
        <w:tc>
          <w:tcPr>
            <w:tcW w:w="1673"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4852" w:type="dxa"/>
            <w:tcBorders/>
            <w:shd w:fill="auto" w:val="clear"/>
            <w:vAlign w:val="center"/>
          </w:tcPr>
          <w:p>
            <w:pPr>
              <w:pStyle w:val="TableContents"/>
              <w:spacing w:before="0" w:after="283"/>
              <w:rPr>
                <w:sz w:val="4"/>
                <w:szCs w:val="4"/>
              </w:rPr>
            </w:pPr>
            <w:r>
              <w:rPr>
                <w:sz w:val="4"/>
                <w:szCs w:val="4"/>
              </w:rPr>
            </w:r>
          </w:p>
        </w:tc>
      </w:tr>
      <w:tr>
        <w:trPr/>
        <w:tc>
          <w:tcPr>
            <w:tcW w:w="167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Board Member</w:t>
            </w:r>
          </w:p>
        </w:tc>
        <w:tc>
          <w:tcPr>
            <w:tcW w:w="147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Audit Committee</w:t>
            </w:r>
          </w:p>
        </w:tc>
        <w:tc>
          <w:tcPr>
            <w:tcW w:w="220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Compensation Committee</w:t>
            </w:r>
          </w:p>
        </w:tc>
        <w:tc>
          <w:tcPr>
            <w:tcW w:w="485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Nominating, Corporate Governance &amp; Compliance Committee</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Jody Bilney</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Thomas Carella</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David Hodgson</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Yon Jorden</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John Kao</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Joseph Konowiecki</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Jacqueline Kosecoff</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Jeffrey Margolis</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Margaret McCarthy</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Mark McClellan</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7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Robbert Vorhoff</w:t>
            </w:r>
          </w:p>
        </w:tc>
        <w:tc>
          <w:tcPr>
            <w:tcW w:w="147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20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w:t>
            </w:r>
          </w:p>
        </w:tc>
        <w:tc>
          <w:tcPr>
            <w:tcW w:w="48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bl>
    <w:p>
      <w:pPr>
        <w:pStyle w:val="TextBody"/>
        <w:spacing w:before="240" w:after="0"/>
        <w:jc w:val="left"/>
        <w:rPr>
          <w:rFonts w:ascii="Arial;sans-serif" w:hAnsi="Arial;sans-serif"/>
          <w:b w:val="false"/>
          <w:i/>
          <w:sz w:val="20"/>
        </w:rPr>
      </w:pPr>
      <w:r>
        <w:rPr>
          <w:rFonts w:ascii="Arial;sans-serif" w:hAnsi="Arial;sans-serif"/>
          <w:b w:val="false"/>
          <w:i/>
          <w:sz w:val="20"/>
        </w:rPr>
        <w:t>M = Committee Member C = Committee Chair # = Financial Expert</w:t>
      </w:r>
    </w:p>
    <w:p>
      <w:pPr>
        <w:pStyle w:val="TextBody"/>
        <w:spacing w:before="240" w:after="0"/>
        <w:jc w:val="left"/>
        <w:rPr>
          <w:rFonts w:ascii="Arial;sans-serif" w:hAnsi="Arial;sans-serif"/>
          <w:b/>
          <w:i/>
          <w:sz w:val="20"/>
        </w:rPr>
      </w:pPr>
      <w:r>
        <w:rPr>
          <w:rFonts w:ascii="Arial;sans-serif" w:hAnsi="Arial;sans-serif"/>
          <w:b/>
          <w:i/>
          <w:sz w:val="20"/>
        </w:rPr>
        <w:t>Audit Committee</w:t>
      </w:r>
    </w:p>
    <w:p>
      <w:pPr>
        <w:pStyle w:val="TextBody"/>
        <w:spacing w:before="120" w:after="0"/>
        <w:jc w:val="left"/>
        <w:rPr>
          <w:rFonts w:ascii="Times New Roman" w:hAnsi="Times New Roman"/>
          <w:sz w:val="20"/>
        </w:rPr>
      </w:pPr>
      <w:r>
        <w:rPr>
          <w:rFonts w:ascii="Arial;sans-serif" w:hAnsi="Arial;sans-serif"/>
          <w:b w:val="false"/>
          <w:sz w:val="20"/>
        </w:rPr>
        <w:t>Our Audit Committee is composed of Ms. Jorden, Mr. Margolis and Ms. McCarthy, with Mr. Margolis serving as chair of the committee. 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each of Mr. Margolis and Ms. Jorden is an “audit committee financial expert” as defined in Item 407(d)(5)(ii) of Regulation S-K promulgated under the Securities Act. This designation does not impose on any duties, obligations or liabilities that are greater than are generally imposed on members of our audit committee and our Board. Furthermore, by virtue of their designation as “audit committee financial experts,” Mr. Margolis and Ms. Jorden meet the applicable “financial sophistication” requirement of the Nasdaq listing standards.</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The written charter for our Audit Committee is available on the investor relations section of our website at https://ir.alignmenthealth.com/. The Audit Committee’s responsibilities include:</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appointing, approving the compensation of, and assessing the qualifications, performance and independence of our independent registered public accounting firm;</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pre-approving audit and permissible non-audit services, and the terms of such services, to be provided by our independent registered public accounting firm;</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discussing the scope and results of the audits with our independent registered public accounting firm and reviewing, with management and that accounting firm, our interim and year-end operating results;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reviewing and discussing with management and the independent registered public accounting firm our annual and quarterly financial statements and related disclosures as well as critical accounting policies and practices used by us;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reviewing the adequacy of our internal control over financial reporting;</w:t>
      </w:r>
    </w:p>
    <w:p>
      <w:pPr>
        <w:pStyle w:val="TextBody"/>
        <w:spacing w:before="240" w:after="0"/>
        <w:jc w:val="left"/>
        <w:rPr/>
      </w:pPr>
      <w:r>
        <w:rPr/>
        <w:t>•</w:t>
      </w:r>
    </w:p>
    <w:p>
      <w:pPr>
        <w:pStyle w:val="TextBody"/>
        <w:spacing w:before="240" w:after="283"/>
        <w:jc w:val="left"/>
        <w:rPr>
          <w:rFonts w:ascii="Arial;sans-serif" w:hAnsi="Arial;sans-serif"/>
          <w:b w:val="false"/>
          <w:sz w:val="20"/>
        </w:rPr>
      </w:pPr>
      <w:r>
        <w:rPr>
          <w:rFonts w:ascii="Arial;sans-serif" w:hAnsi="Arial;sans-serif"/>
          <w:b w:val="false"/>
          <w:sz w:val="20"/>
        </w:rPr>
        <w:t>establishing policies and procedures for the receipt and retention of accounting-related complaints and concerns;</w:t>
      </w:r>
    </w:p>
    <w:p>
      <w:pPr>
        <w:pStyle w:val="TextBody"/>
        <w:spacing w:before="24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r>
        <w:rPr/>
        <w:t>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monitoring our compliance with legal and regulatory requirements as they relate to our financial statements and accounting matters;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overseeing all matters related to the Company’s program, policies, and procedures related to information technology systems, data protection and cyber security;</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reviewing the adequacy and effectiveness of our disclosure controls and procedures;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preparing the Audit Committee report required by the rules of the SEC to be included in our annual proxy statement; and</w:t>
      </w:r>
    </w:p>
    <w:p>
      <w:pPr>
        <w:pStyle w:val="TextBody"/>
        <w:spacing w:before="240" w:after="0"/>
        <w:jc w:val="left"/>
        <w:rPr/>
      </w:pPr>
      <w:r>
        <w:rPr/>
        <w:t>•</w:t>
      </w:r>
    </w:p>
    <w:p>
      <w:pPr>
        <w:pStyle w:val="TextBody"/>
        <w:spacing w:before="240" w:after="283"/>
        <w:jc w:val="left"/>
        <w:rPr>
          <w:rFonts w:ascii="Arial;sans-serif" w:hAnsi="Arial;sans-serif"/>
          <w:b w:val="false"/>
          <w:sz w:val="20"/>
        </w:rPr>
      </w:pPr>
      <w:r>
        <w:rPr>
          <w:rFonts w:ascii="Arial;sans-serif" w:hAnsi="Arial;sans-serif"/>
          <w:b w:val="false"/>
          <w:sz w:val="20"/>
        </w:rPr>
        <w:t>reviewing all related party transactions for potential conflict of interest situations and approving all such transactions.</w:t>
      </w:r>
    </w:p>
    <w:p>
      <w:pPr>
        <w:pStyle w:val="TextBody"/>
        <w:spacing w:before="240" w:after="0"/>
        <w:jc w:val="left"/>
        <w:rPr>
          <w:rFonts w:ascii="Arial;sans-serif" w:hAnsi="Arial;sans-serif"/>
          <w:b w:val="false"/>
          <w:sz w:val="20"/>
        </w:rPr>
      </w:pPr>
      <w:r>
        <w:rPr>
          <w:rFonts w:ascii="Arial;sans-serif" w:hAnsi="Arial;sans-serif"/>
          <w:b w:val="false"/>
          <w:sz w:val="20"/>
        </w:rPr>
        <w:t>The Audit Committee has the sole authority, at its discretion, to engage independent counsel and other advisors as the committee deems necessary to carry out its duties.</w:t>
      </w:r>
    </w:p>
    <w:p>
      <w:pPr>
        <w:pStyle w:val="TextBody"/>
        <w:spacing w:before="240" w:after="0"/>
        <w:jc w:val="left"/>
        <w:rPr>
          <w:rFonts w:ascii="Arial;sans-serif" w:hAnsi="Arial;sans-serif"/>
          <w:b/>
          <w:i/>
          <w:sz w:val="20"/>
        </w:rPr>
      </w:pPr>
      <w:r>
        <w:rPr>
          <w:rFonts w:ascii="Arial;sans-serif" w:hAnsi="Arial;sans-serif"/>
          <w:b/>
          <w:i/>
          <w:sz w:val="20"/>
        </w:rPr>
        <w:t>Compensation Committee</w:t>
      </w:r>
    </w:p>
    <w:p>
      <w:pPr>
        <w:pStyle w:val="TextBody"/>
        <w:spacing w:before="240" w:after="0"/>
        <w:jc w:val="left"/>
        <w:rPr>
          <w:rFonts w:ascii="Times New Roman" w:hAnsi="Times New Roman"/>
          <w:sz w:val="20"/>
        </w:rPr>
      </w:pPr>
      <w:r>
        <w:rPr>
          <w:rFonts w:ascii="Arial;sans-serif" w:hAnsi="Arial;sans-serif"/>
          <w:b w:val="false"/>
          <w:sz w:val="20"/>
        </w:rPr>
        <w:t>Our Compensation Committee is composed of Mr. Carella, Ms. Kosecoff and Mr. Vorhoff, with Mr. Vorhoff serving as chair of the committee. All members of our Compensation Committee are independent as defined by Section 10(c) of the Exchange Act, Rule 10C under the Exchange Act and the applicable Nasdaq rules.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written charter for our Compensation Committee is available on the investor relations section of our corporate website at https://ir.alignmenthealth.com/. The Compensation Committee’s responsibilities include:</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annually reviewing and approving corporate goals and objectives relevant to the compensation of our executive officers;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evaluating the performance of our executive officers in light of such corporate goals and objectives and determining and approving the compensation of our executive officers;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conducting the independence assessment outlined in applicable rules with respect to any compensation consultant, legal counsel or other advisor retained by the compensation committee;</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overseeing and administering our compensation and similar plans;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reviewing and making recommendations to our Board with respect to director compensation; and</w:t>
      </w:r>
    </w:p>
    <w:p>
      <w:pPr>
        <w:pStyle w:val="TextBody"/>
        <w:spacing w:before="240" w:after="0"/>
        <w:jc w:val="left"/>
        <w:rPr/>
      </w:pPr>
      <w:r>
        <w:rPr/>
        <w:t>•</w:t>
      </w:r>
    </w:p>
    <w:p>
      <w:pPr>
        <w:pStyle w:val="TextBody"/>
        <w:spacing w:before="240" w:after="283"/>
        <w:jc w:val="left"/>
        <w:rPr>
          <w:rFonts w:ascii="Arial;sans-serif" w:hAnsi="Arial;sans-serif"/>
          <w:b w:val="false"/>
          <w:sz w:val="20"/>
        </w:rPr>
      </w:pPr>
      <w:r>
        <w:rPr>
          <w:rFonts w:ascii="Arial;sans-serif" w:hAnsi="Arial;sans-serif"/>
          <w:b w:val="false"/>
          <w:sz w:val="20"/>
        </w:rPr>
        <w:t>reviewing and discussing with management the compensation discussion and analysis and other compensation-related disclosure to be included in our annual proxy statement or Annual Report on Form 10-K.</w:t>
      </w:r>
    </w:p>
    <w:p>
      <w:pPr>
        <w:pStyle w:val="TextBody"/>
        <w:spacing w:before="240" w:after="0"/>
        <w:jc w:val="left"/>
        <w:rPr>
          <w:rFonts w:ascii="Arial;sans-serif" w:hAnsi="Arial;sans-serif"/>
          <w:b w:val="false"/>
          <w:sz w:val="20"/>
        </w:rPr>
      </w:pPr>
      <w:r>
        <w:rPr>
          <w:rFonts w:ascii="Arial;sans-serif" w:hAnsi="Arial;sans-serif"/>
          <w:b w:val="false"/>
          <w:sz w:val="20"/>
        </w:rPr>
        <w:t>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w:t>
      </w:r>
    </w:p>
    <w:p>
      <w:pPr>
        <w:pStyle w:val="TextBody"/>
        <w:spacing w:before="24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i/>
          <w:sz w:val="20"/>
        </w:rPr>
      </w:pPr>
      <w:r>
        <w:rPr>
          <w:rFonts w:ascii="Arial;sans-serif" w:hAnsi="Arial;sans-serif"/>
          <w:b/>
          <w:i/>
          <w:sz w:val="20"/>
        </w:rPr>
        <w:t>Nominating, Corporate Governance and Compliance Committee</w:t>
      </w:r>
    </w:p>
    <w:p>
      <w:pPr>
        <w:pStyle w:val="TextBody"/>
        <w:spacing w:before="240" w:after="0"/>
        <w:jc w:val="left"/>
        <w:rPr>
          <w:rFonts w:ascii="Times New Roman" w:hAnsi="Times New Roman"/>
          <w:sz w:val="20"/>
        </w:rPr>
      </w:pPr>
      <w:r>
        <w:rPr>
          <w:rFonts w:ascii="Arial;sans-serif" w:hAnsi="Arial;sans-serif"/>
          <w:b w:val="false"/>
          <w:sz w:val="20"/>
        </w:rPr>
        <w:t>Our NCGCC is composed of Ms. Bilney, Mr. Hodgson, and Ms. Kosecoff, with Mr. Hodgson serving as chair of the committee. All members of our NCGCC are independent as defined by applicable Nasdaq rules.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written charter for our NCGCC is available at the investor relations section of our corporate website at https://ir.alignmenthealth.com/. The NCGCC’s responsibilities include:</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developing and recommending to our Board criteria for board and committee membership;</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subject to the rights of the Lead Sponsors under the Stockholders Agreement, identifying and recommending to our Board the persons to be nominated for election as directors and to each of our Board’s committees;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developing and recommending to our Board best practices and corporate governance principles;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 xml:space="preserve">reviewing and recommending to our Board the functions, duties and compositions of the committees of our Board;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overseeing the Company’s major risk exposures, including financial, operational, privacy, security, business continuity and legal and regulatory risks and the Company’s risk assessment and risk management policies;</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 xml:space="preserve">overseeing the Company’s strategy, initiatives, risks, opportunities and related reporting on material ESG matters;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overseeing the annual evaluation of the Board and its committees and reporting the results of such evaluation, including any recommendations for proposed changes, to the Board; and</w:t>
      </w:r>
    </w:p>
    <w:p>
      <w:pPr>
        <w:pStyle w:val="TextBody"/>
        <w:spacing w:before="240" w:after="0"/>
        <w:jc w:val="left"/>
        <w:rPr/>
      </w:pPr>
      <w:r>
        <w:rPr/>
        <w:t>•</w:t>
      </w:r>
    </w:p>
    <w:p>
      <w:pPr>
        <w:pStyle w:val="TextBody"/>
        <w:spacing w:before="240" w:after="283"/>
        <w:jc w:val="left"/>
        <w:rPr>
          <w:rFonts w:ascii="Arial;sans-serif" w:hAnsi="Arial;sans-serif"/>
          <w:b w:val="false"/>
          <w:sz w:val="20"/>
        </w:rPr>
      </w:pPr>
      <w:r>
        <w:rPr>
          <w:rFonts w:ascii="Arial;sans-serif" w:hAnsi="Arial;sans-serif"/>
          <w:b w:val="false"/>
          <w:sz w:val="20"/>
        </w:rPr>
        <w:t>overseeing compliance with the laws and regulations applicable to the Company’s business, including, without limitation, Centers for Medicare and Medicaid Services rules, fraud and abuse laws, and state health plan licensure requirements.</w:t>
      </w:r>
    </w:p>
    <w:p>
      <w:pPr>
        <w:pStyle w:val="TextBody"/>
        <w:spacing w:before="240" w:after="0"/>
        <w:jc w:val="left"/>
        <w:rPr>
          <w:rFonts w:ascii="Arial;sans-serif" w:hAnsi="Arial;sans-serif"/>
          <w:b w:val="false"/>
          <w:sz w:val="20"/>
        </w:rPr>
      </w:pPr>
      <w:r>
        <w:rPr>
          <w:rFonts w:ascii="Arial;sans-serif" w:hAnsi="Arial;sans-serif"/>
          <w:b w:val="false"/>
          <w:sz w:val="20"/>
        </w:rPr>
        <w:t>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w:t>
      </w:r>
    </w:p>
    <w:p>
      <w:pPr>
        <w:pStyle w:val="TextBody"/>
        <w:spacing w:before="200" w:after="0"/>
        <w:jc w:val="left"/>
        <w:rPr>
          <w:rFonts w:ascii="Arial;sans-serif" w:hAnsi="Arial;sans-serif"/>
          <w:b/>
          <w:sz w:val="20"/>
        </w:rPr>
      </w:pPr>
      <w:bookmarkStart w:id="14" w:name="board_oversight_of_environmental_social"/>
      <w:bookmarkEnd w:id="14"/>
      <w:r>
        <w:rPr>
          <w:rFonts w:ascii="Arial;sans-serif" w:hAnsi="Arial;sans-serif"/>
          <w:b/>
          <w:sz w:val="20"/>
        </w:rPr>
        <w:t>Board Oversight of Environmental, Social and Governance Matters</w:t>
      </w:r>
    </w:p>
    <w:p>
      <w:pPr>
        <w:pStyle w:val="TextBody"/>
        <w:spacing w:before="240" w:after="0"/>
        <w:jc w:val="left"/>
        <w:rPr>
          <w:rFonts w:ascii="Arial;sans-serif" w:hAnsi="Arial;sans-serif"/>
          <w:b w:val="false"/>
          <w:sz w:val="20"/>
        </w:rPr>
      </w:pPr>
      <w:r>
        <w:rPr>
          <w:rFonts w:ascii="Arial;sans-serif" w:hAnsi="Arial;sans-serif"/>
          <w:b w:val="false"/>
          <w:sz w:val="20"/>
        </w:rPr>
        <w:t>Following the closing of our initial public offering (“IPO”) in March 2021, we began to more formally align our ESG efforts with our long-standing commitment to operating our business in a socially responsible and sustainable manner that takes into account the interests of all our stakeholders. Our Board has formally designated our NCGCC with the responsibility for Board-level oversight of the Company’s ESG strategy, practices and reporting. In addition, our executive management team established an ESG steering committee to guide the integration of our ESG efforts with our long-term business strategy.</w:t>
      </w:r>
    </w:p>
    <w:p>
      <w:pPr>
        <w:pStyle w:val="TextBody"/>
        <w:spacing w:before="24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i/>
          <w:sz w:val="20"/>
        </w:rPr>
      </w:pPr>
      <w:r>
        <w:rPr>
          <w:rFonts w:ascii="Arial;sans-serif" w:hAnsi="Arial;sans-serif"/>
          <w:b/>
          <w:i/>
          <w:sz w:val="20"/>
        </w:rPr>
        <w:t>Our Mission and Values</w:t>
      </w:r>
    </w:p>
    <w:p>
      <w:pPr>
        <w:pStyle w:val="TextBody"/>
        <w:spacing w:before="240" w:after="0"/>
        <w:jc w:val="left"/>
        <w:rPr>
          <w:rFonts w:ascii="Arial;sans-serif" w:hAnsi="Arial;sans-serif"/>
          <w:b w:val="false"/>
          <w:sz w:val="20"/>
        </w:rPr>
      </w:pPr>
      <w:r>
        <w:rPr>
          <w:rFonts w:ascii="Arial;sans-serif" w:hAnsi="Arial;sans-serif"/>
          <w:b w:val="false"/>
          <w:sz w:val="20"/>
        </w:rPr>
        <w:t>Alignment Healthcare was founded in 2013 with one mission in mind: improving healthcare one senior at a time. We pursue this mission by relentlessly focusing on our core values:</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always put the senior first;</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support the doctor;</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use data and technology to improve care; and</w:t>
      </w:r>
    </w:p>
    <w:p>
      <w:pPr>
        <w:pStyle w:val="TextBody"/>
        <w:spacing w:before="200" w:after="0"/>
        <w:jc w:val="left"/>
        <w:rPr/>
      </w:pPr>
      <w:r>
        <w:rPr/>
        <w:t>•</w:t>
      </w:r>
    </w:p>
    <w:p>
      <w:pPr>
        <w:pStyle w:val="TextBody"/>
        <w:spacing w:before="200" w:after="283"/>
        <w:jc w:val="left"/>
        <w:rPr>
          <w:rFonts w:ascii="Arial;sans-serif" w:hAnsi="Arial;sans-serif"/>
          <w:b w:val="false"/>
          <w:sz w:val="20"/>
        </w:rPr>
      </w:pPr>
      <w:r>
        <w:rPr>
          <w:rFonts w:ascii="Arial;sans-serif" w:hAnsi="Arial;sans-serif"/>
          <w:b w:val="false"/>
          <w:sz w:val="20"/>
        </w:rPr>
        <w:t>act with a serving heart.</w:t>
      </w:r>
    </w:p>
    <w:p>
      <w:pPr>
        <w:pStyle w:val="TextBody"/>
        <w:spacing w:before="240" w:after="0"/>
        <w:jc w:val="left"/>
        <w:rPr>
          <w:rFonts w:ascii="Arial;sans-serif" w:hAnsi="Arial;sans-serif"/>
          <w:b w:val="false"/>
          <w:sz w:val="20"/>
        </w:rPr>
      </w:pPr>
      <w:r>
        <w:rPr>
          <w:rFonts w:ascii="Arial;sans-serif" w:hAnsi="Arial;sans-serif"/>
          <w:b w:val="false"/>
          <w:sz w:val="20"/>
        </w:rPr>
        <w:t>We created Alignment based on the frustrating experiences we had when our parents and other loved ones needed health care. We saw firsthand the complexity they faced as seniors attempting to navigate care delivery and insurance without an advocate to create an integrated consumer experience that provides holistic and quality care at an affordable price. Our parents and seniors across the country are systemically and disproportionately impacted by the absence of care coordination, poor information transparency and misaligned incentives that characterize the health care system.</w:t>
      </w:r>
    </w:p>
    <w:p>
      <w:pPr>
        <w:pStyle w:val="TextBody"/>
        <w:spacing w:before="240" w:after="0"/>
        <w:jc w:val="left"/>
        <w:rPr>
          <w:rFonts w:ascii="Arial;sans-serif" w:hAnsi="Arial;sans-serif"/>
          <w:b w:val="false"/>
          <w:sz w:val="20"/>
        </w:rPr>
      </w:pPr>
      <w:r>
        <w:rPr>
          <w:rFonts w:ascii="Arial;sans-serif" w:hAnsi="Arial;sans-serif"/>
          <w:b w:val="false"/>
          <w:sz w:val="20"/>
        </w:rPr>
        <w:t>Our team of highly experienced health care leaders created the Alignment model to incorporate the lessons we have learned over decades spent serving senior consumers. We believe that by combining our experienced, mission-driven team with purpose-built technology we have found a way to address the unmet needs of senior consumers and to do well by doing good. Our ultimate goal is to bring this differentiated, advocacy-driven health care experience to millions of senior consumers in the United States and to become the most trusted senior health care brand in the country.</w:t>
      </w:r>
    </w:p>
    <w:p>
      <w:pPr>
        <w:pStyle w:val="TextBody"/>
        <w:spacing w:before="200" w:after="0"/>
        <w:jc w:val="left"/>
        <w:rPr>
          <w:rFonts w:ascii="Arial;sans-serif" w:hAnsi="Arial;sans-serif"/>
          <w:b/>
          <w:i/>
          <w:sz w:val="20"/>
        </w:rPr>
      </w:pPr>
      <w:r>
        <w:rPr>
          <w:rFonts w:ascii="Arial;sans-serif" w:hAnsi="Arial;sans-serif"/>
          <w:b/>
          <w:i/>
          <w:sz w:val="20"/>
        </w:rPr>
        <w:t>Our ESG Focus: Serving People, Serving the Environment and Serving Responsibly</w:t>
      </w:r>
    </w:p>
    <w:p>
      <w:pPr>
        <w:pStyle w:val="TextBody"/>
        <w:spacing w:before="200" w:after="0"/>
        <w:jc w:val="left"/>
        <w:rPr>
          <w:rFonts w:ascii="Times New Roman" w:hAnsi="Times New Roman"/>
          <w:sz w:val="20"/>
        </w:rPr>
      </w:pPr>
      <w:r>
        <w:rPr>
          <w:rFonts w:ascii="Arial;sans-serif" w:hAnsi="Arial;sans-serif"/>
          <w:b w:val="false"/>
          <w:sz w:val="20"/>
        </w:rPr>
        <w:t>Our company name, Alignment Healthcare, reflects one of our founding principles: to align all stakeholders in the health 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the CMS, our team of passionate employees and clinicians, our external provider and delivery system partners and our stockholders.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val="false"/>
          <w:sz w:val="20"/>
        </w:rPr>
        <w:t>We believe that proactively managing our ESG impacts supports our mission and reflects our commitment to best serve the long-term interests of our stakeholders. The alignment of our ESG strategy with our corporate strategy amplifies and strengthens the positive long-term impact we can have on our members, employees, stockholders, and the environment. It also promotes long-term value creation for our stockholders and other stakeholders. To support our efforts in this area, we created an ESG steering committee in 2021, consisting of dedicated internal resources and external advisors to address the ESG factors that are material to our business and our stakeholders.</w:t>
      </w:r>
      <w:r>
        <w:rPr>
          <w:rFonts w:ascii="Times New Roman" w:hAnsi="Times New Roman"/>
          <w:sz w:val="20"/>
        </w:rPr>
        <w:t xml:space="preserve"> </w:t>
      </w:r>
    </w:p>
    <w:p>
      <w:pPr>
        <w:pStyle w:val="TextBody"/>
        <w:spacing w:before="200" w:after="0"/>
        <w:jc w:val="left"/>
        <w:rPr>
          <w:rFonts w:ascii="Arial;sans-serif" w:hAnsi="Arial;sans-serif"/>
          <w:b w:val="false"/>
          <w:sz w:val="20"/>
        </w:rPr>
      </w:pPr>
      <w:r>
        <w:rPr>
          <w:rFonts w:ascii="Arial;sans-serif" w:hAnsi="Arial;sans-serif"/>
          <w:b w:val="false"/>
          <w:sz w:val="20"/>
        </w:rPr>
        <w:t>The three pillars to our ESG approach are the following:</w:t>
      </w:r>
    </w:p>
    <w:p>
      <w:pPr>
        <w:pStyle w:val="TextBody"/>
        <w:spacing w:before="200" w:after="0"/>
        <w:jc w:val="left"/>
        <w:rPr/>
      </w:pPr>
      <w:r>
        <w:rPr/>
        <w:t>•</w:t>
      </w:r>
    </w:p>
    <w:p>
      <w:pPr>
        <w:pStyle w:val="TextBody"/>
        <w:spacing w:before="200" w:after="283"/>
        <w:jc w:val="left"/>
        <w:rPr/>
      </w:pPr>
      <w:r>
        <w:rPr>
          <w:rFonts w:ascii="Arial;sans-serif" w:hAnsi="Arial;sans-serif"/>
          <w:b/>
          <w:i/>
          <w:sz w:val="20"/>
        </w:rPr>
        <w:t>Serving People</w:t>
      </w:r>
      <w:r>
        <w:rPr/>
        <w:t xml:space="preserve"> – </w:t>
      </w:r>
      <w:r>
        <w:rPr>
          <w:rFonts w:ascii="Arial;sans-serif" w:hAnsi="Arial;sans-serif"/>
          <w:b w:val="false"/>
          <w:sz w:val="20"/>
        </w:rPr>
        <w:t>We are committed to serving our members, health care providers, employees, caregivers and broader communities. Our employees are our most valuable asset, and we are dedicated to providing them with an organization where they feel a sense of engagement and belonging. See “</w:t>
      </w:r>
      <w:r>
        <w:rPr/>
        <w:t>—</w:t>
      </w:r>
      <w:r>
        <w:rPr>
          <w:rFonts w:ascii="Arial;sans-serif" w:hAnsi="Arial;sans-serif"/>
          <w:b w:val="false"/>
          <w:i/>
          <w:sz w:val="20"/>
        </w:rPr>
        <w:t>Human Capital</w:t>
      </w:r>
      <w:r>
        <w:rPr/>
        <w:t xml:space="preserve">” </w:t>
      </w:r>
      <w:r>
        <w:rPr>
          <w:rFonts w:ascii="Arial;sans-serif" w:hAnsi="Arial;sans-serif"/>
          <w:b w:val="false"/>
          <w:sz w:val="20"/>
        </w:rPr>
        <w:t>below. We work together and put our members first in everything we do, and we strive to support our health care providers with the tools and resources needed to provide the best care.</w:t>
      </w:r>
    </w:p>
    <w:p>
      <w:pPr>
        <w:pStyle w:val="TextBody"/>
        <w:spacing w:before="24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0"/>
        <w:jc w:val="left"/>
        <w:rPr/>
      </w:pPr>
      <w:r>
        <w:rPr>
          <w:rFonts w:ascii="Arial;sans-serif" w:hAnsi="Arial;sans-serif"/>
          <w:b/>
          <w:i/>
          <w:sz w:val="20"/>
        </w:rPr>
        <w:t>Serving the Environment</w:t>
      </w:r>
      <w:r>
        <w:rPr/>
        <w:t xml:space="preserve"> – </w:t>
      </w:r>
      <w:r>
        <w:rPr>
          <w:rFonts w:ascii="Arial;sans-serif" w:hAnsi="Arial;sans-serif"/>
          <w:b w:val="false"/>
          <w:sz w:val="20"/>
        </w:rPr>
        <w:t>Our company is focused on understanding and improving our carbon footprint in order to mitigate our environmental impact as well as expanding telehealth and supporting hybrid and remote work.</w:t>
      </w:r>
    </w:p>
    <w:p>
      <w:pPr>
        <w:pStyle w:val="TextBody"/>
        <w:spacing w:before="200" w:after="0"/>
        <w:jc w:val="left"/>
        <w:rPr/>
      </w:pPr>
      <w:r>
        <w:rPr/>
        <w:t>•</w:t>
      </w:r>
    </w:p>
    <w:p>
      <w:pPr>
        <w:pStyle w:val="TextBody"/>
        <w:spacing w:before="200" w:after="283"/>
        <w:jc w:val="left"/>
        <w:rPr/>
      </w:pPr>
      <w:r>
        <w:rPr>
          <w:rFonts w:ascii="Arial;sans-serif" w:hAnsi="Arial;sans-serif"/>
          <w:b/>
          <w:i/>
          <w:sz w:val="20"/>
        </w:rPr>
        <w:t>Serving Responsibly</w:t>
      </w:r>
      <w:r>
        <w:rPr/>
        <w:t xml:space="preserve"> – </w:t>
      </w:r>
      <w:r>
        <w:rPr>
          <w:rFonts w:ascii="Arial;sans-serif" w:hAnsi="Arial;sans-serif"/>
          <w:b w:val="false"/>
          <w:sz w:val="20"/>
        </w:rPr>
        <w:t>We are committed to maintaining a high level of transparency and accountability across our operations. Our Board of Directors includes a strong and diverse mix of experienced business leaders and is committed to providing effective oversight of the Company’s activities.</w:t>
      </w:r>
    </w:p>
    <w:p>
      <w:pPr>
        <w:pStyle w:val="TextBody"/>
        <w:spacing w:before="200" w:after="0"/>
        <w:jc w:val="left"/>
        <w:rPr>
          <w:rFonts w:ascii="Arial;sans-serif" w:hAnsi="Arial;sans-serif"/>
          <w:b w:val="false"/>
          <w:sz w:val="20"/>
        </w:rPr>
      </w:pPr>
      <w:r>
        <w:rPr>
          <w:rFonts w:ascii="Arial;sans-serif" w:hAnsi="Arial;sans-serif"/>
          <w:b w:val="false"/>
          <w:sz w:val="20"/>
        </w:rPr>
        <w:t>Our aim is to continue fortifying each pillar and to operate with transparency in a way that always puts seniors first, and respects all people, communities and the environment.</w:t>
      </w:r>
    </w:p>
    <w:p>
      <w:pPr>
        <w:pStyle w:val="TextBody"/>
        <w:spacing w:before="200" w:after="0"/>
        <w:jc w:val="left"/>
        <w:rPr>
          <w:rFonts w:ascii="Times New Roman" w:hAnsi="Times New Roman"/>
          <w:sz w:val="20"/>
        </w:rPr>
      </w:pPr>
      <w:r>
        <w:rPr>
          <w:rFonts w:ascii="Arial;sans-serif" w:hAnsi="Arial;sans-serif"/>
          <w:b/>
          <w:i/>
          <w:sz w:val="20"/>
        </w:rPr>
        <w:t>Serving Seniors with Our Differentiated Model</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val="false"/>
          <w:sz w:val="20"/>
        </w:rPr>
        <w:t>Medicare Advantage allows one entity to influence the entirety of a senior’s health 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Arial;sans-serif" w:hAnsi="Arial;sans-serif"/>
          <w:b w:val="false"/>
          <w:sz w:val="20"/>
        </w:rPr>
        <w:t>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 care, supplemental benefits and related administration costs. By transferring the economic risk to managed care companies like Alignment, CMS has enabled us to focus on proactive, cross-disciplinary care targeted at improving health outcomes and lowering unnecessary health 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w:t>
      </w:r>
      <w:r>
        <w:rPr>
          <w:rFonts w:ascii="Times New Roman" w:hAnsi="Times New Roman"/>
          <w:sz w:val="20"/>
        </w:rPr>
        <w:t xml:space="preserve"> </w:t>
      </w:r>
    </w:p>
    <w:p>
      <w:pPr>
        <w:pStyle w:val="TextBody"/>
        <w:spacing w:before="200" w:after="0"/>
        <w:jc w:val="left"/>
        <w:rPr>
          <w:rFonts w:ascii="Arial;sans-serif" w:hAnsi="Arial;sans-serif"/>
          <w:b w:val="false"/>
          <w:sz w:val="20"/>
        </w:rPr>
      </w:pPr>
      <w:r>
        <w:rPr>
          <w:rFonts w:ascii="Arial;sans-serif" w:hAnsi="Arial;sans-serif"/>
          <w:b w:val="false"/>
          <w:sz w:val="20"/>
        </w:rPr>
        <w:t>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preventative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w:t>
      </w:r>
    </w:p>
    <w:p>
      <w:pPr>
        <w:pStyle w:val="TextBody"/>
        <w:spacing w:before="200" w:after="0"/>
        <w:jc w:val="left"/>
        <w:rPr>
          <w:rFonts w:ascii="Arial;sans-serif" w:hAnsi="Arial;sans-serif"/>
          <w:b w:val="false"/>
          <w:sz w:val="20"/>
        </w:rPr>
      </w:pPr>
      <w:r>
        <w:rPr>
          <w:rFonts w:ascii="Arial;sans-serif" w:hAnsi="Arial;sans-serif"/>
          <w:b w:val="false"/>
          <w:sz w:val="20"/>
        </w:rPr>
        <w:t>The health outcomes of our members, due to our differentiated model, has resulted in approximately 93% of our members reporting their overall satisfaction with Alignment’s case management services, in addition to exceptional quality outcomes, including 37% lower inpatient admissions per thousand than traditional Medicare.*</w:t>
      </w:r>
    </w:p>
    <w:p>
      <w:pPr>
        <w:pStyle w:val="TextBody"/>
        <w:spacing w:before="200" w:after="0"/>
        <w:jc w:val="left"/>
        <w:rPr>
          <w:rFonts w:ascii="Arial;sans-serif" w:hAnsi="Arial;sans-serif"/>
          <w:b w:val="false"/>
          <w:sz w:val="16"/>
        </w:rPr>
      </w:pPr>
      <w:r>
        <w:rPr>
          <w:rFonts w:ascii="Arial;sans-serif" w:hAnsi="Arial;sans-serif"/>
          <w:b w:val="false"/>
          <w:sz w:val="16"/>
        </w:rPr>
        <w:t>* Estimated 2022 At-Risk member inpatient utilization relative to 2019 Medicare FFS inpatient utilization representative of Alignment’s population mix by county (based on membership as of 2022).</w:t>
      </w:r>
    </w:p>
    <w:p>
      <w:pPr>
        <w:pStyle w:val="TextBody"/>
        <w:spacing w:before="240" w:after="240"/>
        <w:jc w:val="left"/>
        <w:rPr>
          <w:rFonts w:ascii="Arial;sans-serif" w:hAnsi="Arial;sans-serif"/>
          <w:b/>
          <w:i/>
          <w:sz w:val="20"/>
        </w:rPr>
      </w:pPr>
      <w:r>
        <w:rPr>
          <w:rFonts w:ascii="Arial;sans-serif" w:hAnsi="Arial;sans-serif"/>
          <w:b/>
          <w:i/>
          <w:sz w:val="20"/>
        </w:rPr>
        <w:t>Human Capital</w:t>
      </w:r>
    </w:p>
    <w:p>
      <w:pPr>
        <w:pStyle w:val="TextBody"/>
        <w:spacing w:before="0" w:after="240"/>
        <w:jc w:val="left"/>
        <w:rPr>
          <w:rFonts w:ascii="Times New Roman" w:hAnsi="Times New Roman"/>
          <w:sz w:val="20"/>
        </w:rPr>
      </w:pPr>
      <w:r>
        <w:rPr>
          <w:rFonts w:ascii="Arial;sans-serif" w:hAnsi="Arial;sans-serif"/>
          <w:b w:val="false"/>
          <w:sz w:val="20"/>
        </w:rPr>
        <w:t>We are focused on building a company that is transforming health care by putting seniors first, and our employees are critical to our success. Our human capital strategy focuses on meeting business objectives by attracting, developing, engaging and retaining a high-performing, diverse workforce. As of</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Arial;sans-serif" w:hAnsi="Arial;sans-serif"/>
          <w:b w:val="false"/>
          <w:sz w:val="20"/>
        </w:rPr>
        <w:t>December 31, 2022, we had 1,037 full-time employees, in addition to seasonal employees who assist with the Medicare annual enrollment period.</w:t>
      </w:r>
      <w:r>
        <w:rPr>
          <w:rFonts w:ascii="Times New Roman" w:hAnsi="Times New Roman"/>
          <w:sz w:val="20"/>
        </w:rPr>
        <w:t xml:space="preserve"> </w:t>
      </w:r>
    </w:p>
    <w:p>
      <w:pPr>
        <w:pStyle w:val="TextBody"/>
        <w:spacing w:before="0" w:after="240"/>
        <w:jc w:val="left"/>
        <w:rPr>
          <w:rFonts w:ascii="Arial;sans-serif" w:hAnsi="Arial;sans-serif"/>
          <w:b w:val="false"/>
          <w:sz w:val="20"/>
        </w:rPr>
      </w:pPr>
      <w:r>
        <w:rPr>
          <w:rFonts w:ascii="Arial;sans-serif" w:hAnsi="Arial;sans-serif"/>
          <w:b w:val="false"/>
          <w:sz w:val="20"/>
        </w:rPr>
        <w:t>We believe that an engaged, innovative and productive workforce is essential to supporting our company’s mission of changing health care one senior at a time, as well as our values of putting our members first, supporting our physicians, applying technology to improve care and having a serving heart. Each year, we conduct an employee survey that enables our leaders to develop action plans to further enhance employee engagement and productivity.</w:t>
      </w:r>
    </w:p>
    <w:p>
      <w:pPr>
        <w:pStyle w:val="TextBody"/>
        <w:spacing w:before="240" w:after="0"/>
        <w:jc w:val="left"/>
        <w:rPr>
          <w:rFonts w:ascii="Times New Roman" w:hAnsi="Times New Roman"/>
          <w:sz w:val="20"/>
        </w:rPr>
      </w:pPr>
      <w:r>
        <w:rPr>
          <w:rFonts w:ascii="Arial;sans-serif" w:hAnsi="Arial;sans-serif"/>
          <w:b w:val="false"/>
          <w:sz w:val="20"/>
        </w:rPr>
        <w:t>We recognize that diversity, equity and inclusion (“DEI”) is crucial as we scale and build our high-performing team. We intend for our DEI strategy to be embedded in each aspect of the processes, programs and structures that drive our talent lifecycle: attraction, recruitment, onboarding, development and retention efforts.</w:t>
      </w:r>
      <w:r>
        <w:rPr>
          <w:rFonts w:ascii="Times New Roman" w:hAnsi="Times New Roman"/>
          <w:sz w:val="20"/>
        </w:rPr>
        <w:t xml:space="preserve"> </w:t>
      </w:r>
      <w:r>
        <w:rPr>
          <w:rFonts w:ascii="Arial;sans-serif" w:hAnsi="Arial;sans-serif"/>
          <w:b w:val="false"/>
          <w:sz w:val="20"/>
        </w:rPr>
        <w:t>As of December 31, 2022:</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71% of our employees were women</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66% of our employees were ethnically diverse</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50% of our executive team was ethnically diverse</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30% of our executive team were women</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18% of our Board of Directors was ethnically diverse</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36% of our Board of Directors were women</w:t>
      </w:r>
    </w:p>
    <w:p>
      <w:pPr>
        <w:pStyle w:val="TextBody"/>
        <w:spacing w:before="240" w:after="240"/>
        <w:jc w:val="left"/>
        <w:rPr>
          <w:rFonts w:ascii="Arial;sans-serif" w:hAnsi="Arial;sans-serif"/>
          <w:b w:val="false"/>
          <w:sz w:val="20"/>
        </w:rPr>
      </w:pPr>
      <w:r>
        <w:rPr>
          <w:rFonts w:ascii="Arial;sans-serif" w:hAnsi="Arial;sans-serif"/>
          <w:b w:val="false"/>
          <w:sz w:val="20"/>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We are intentional in our efforts to provide all employees opportunities to grow. Our training and development programs for employees focus on enhancing and developing talent within the Company. All of our employees can access the training of their choice on-demand through our learning and development platform. We are currently designing additional training programs and resources for both new hires and longer-tenured employees that will educate them on critical functional areas within the organization.</w:t>
      </w:r>
    </w:p>
    <w:p>
      <w:pPr>
        <w:pStyle w:val="TextBody"/>
        <w:spacing w:before="240" w:after="240"/>
        <w:jc w:val="left"/>
        <w:rPr>
          <w:rFonts w:ascii="Arial;sans-serif" w:hAnsi="Arial;sans-serif"/>
          <w:b w:val="false"/>
          <w:sz w:val="20"/>
        </w:rPr>
      </w:pPr>
      <w:r>
        <w:rPr>
          <w:rFonts w:ascii="Arial;sans-serif" w:hAnsi="Arial;sans-serif"/>
          <w:b w:val="false"/>
          <w:sz w:val="20"/>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health and wellness programs, and learning and development opportunities. We regularly evaluate each aspect of compensation and benefits to ensure they align with the market and our peers.</w:t>
      </w:r>
    </w:p>
    <w:p>
      <w:pPr>
        <w:pStyle w:val="TextBody"/>
        <w:spacing w:before="240" w:after="240"/>
        <w:jc w:val="left"/>
        <w:rPr>
          <w:rFonts w:ascii="Arial;sans-serif" w:hAnsi="Arial;sans-serif"/>
          <w:b w:val="false"/>
          <w:sz w:val="20"/>
        </w:rPr>
      </w:pPr>
      <w:r>
        <w:rPr>
          <w:rFonts w:ascii="Arial;sans-serif" w:hAnsi="Arial;sans-serif"/>
          <w:b w:val="false"/>
          <w:sz w:val="20"/>
        </w:rPr>
        <w:t>We value the safety of our employees and have created a largely remote-work environment during the pandemic. Our current workforce model has employees working in a hybrid-remote fashion, with some member-facing employees having returned to an in-person work environment. We plan on implementing a workforce strategy that further enhances our ability to attract the best talent nationally and continues to provide our employees with a healthy work-life balance.</w:t>
      </w:r>
    </w:p>
    <w:p>
      <w:pPr>
        <w:pStyle w:val="TextBody"/>
        <w:spacing w:before="240" w:after="240"/>
        <w:jc w:val="left"/>
        <w:rPr>
          <w:rFonts w:ascii="Arial;sans-serif" w:hAnsi="Arial;sans-serif"/>
          <w:b w:val="false"/>
          <w:sz w:val="20"/>
        </w:rPr>
      </w:pPr>
      <w:r>
        <w:rPr>
          <w:rFonts w:ascii="Arial;sans-serif" w:hAnsi="Arial;sans-serif"/>
          <w:b w:val="false"/>
          <w:sz w:val="20"/>
        </w:rPr>
        <w:t>Our Board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pStyle w:val="TextBody"/>
        <w:spacing w:before="24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i/>
          <w:sz w:val="20"/>
        </w:rPr>
      </w:pPr>
      <w:r>
        <w:rPr>
          <w:rFonts w:ascii="Arial;sans-serif" w:hAnsi="Arial;sans-serif"/>
          <w:b/>
          <w:i/>
          <w:sz w:val="20"/>
        </w:rPr>
        <w:t>Protecting Data Privacy</w:t>
      </w:r>
    </w:p>
    <w:p>
      <w:pPr>
        <w:pStyle w:val="TextBody"/>
        <w:spacing w:before="240" w:after="0"/>
        <w:jc w:val="left"/>
        <w:rPr>
          <w:rFonts w:ascii="Times New Roman" w:hAnsi="Times New Roman"/>
          <w:sz w:val="20"/>
        </w:rPr>
      </w:pPr>
      <w:r>
        <w:rPr>
          <w:rFonts w:ascii="Arial;sans-serif" w:hAnsi="Arial;sans-serif"/>
          <w:b w:val="false"/>
          <w:sz w:val="20"/>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Our data security and privacy program is overseen by our Chief Information Security Officer who reports to our Chief Information Officer and Audit Committee of the Board. Our strict protection and security measures have resulted in zero security incident-related disruptions or downtime to our business continuity. In 2021, we received the externally validated HITRUST certification, the gold standard compliance framework in the health care industry.</w:t>
      </w:r>
    </w:p>
    <w:p>
      <w:pPr>
        <w:pStyle w:val="TextBody"/>
        <w:spacing w:before="240" w:after="0"/>
        <w:jc w:val="left"/>
        <w:rPr>
          <w:rFonts w:ascii="Arial;sans-serif" w:hAnsi="Arial;sans-serif"/>
          <w:b w:val="false"/>
          <w:sz w:val="20"/>
        </w:rPr>
      </w:pPr>
      <w:r>
        <w:rPr>
          <w:rFonts w:ascii="Arial;sans-serif" w:hAnsi="Arial;sans-serif"/>
          <w:b w:val="false"/>
          <w:sz w:val="20"/>
        </w:rPr>
        <w:t>Our data security and privacy program is aligned to National Institute of Standards and Technology and Center for Internet Security frameworks and is directly managed by our Chief Information Security Officer, who assesses and reports on data protection and privacy risks to the Audit Committee and the Company’s IT leadership. Through our data security and privacy program and policies, we adhere to the requirements of the Health Insurance Portability and Accountability Act of 1996 (HIPAA), other federal regulations and best-practices within the health care industry.</w:t>
      </w:r>
    </w:p>
    <w:p>
      <w:pPr>
        <w:pStyle w:val="TextBody"/>
        <w:spacing w:before="240" w:after="0"/>
        <w:jc w:val="left"/>
        <w:rPr>
          <w:rFonts w:ascii="Arial;sans-serif" w:hAnsi="Arial;sans-serif"/>
          <w:b w:val="false"/>
          <w:sz w:val="20"/>
        </w:rPr>
      </w:pPr>
      <w:r>
        <w:rPr>
          <w:rFonts w:ascii="Arial;sans-serif" w:hAnsi="Arial;sans-serif"/>
          <w:b w:val="false"/>
          <w:sz w:val="20"/>
        </w:rPr>
        <w:t>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w:t>
      </w:r>
    </w:p>
    <w:p>
      <w:pPr>
        <w:pStyle w:val="TextBody"/>
        <w:spacing w:before="240" w:after="0"/>
        <w:jc w:val="left"/>
        <w:rPr>
          <w:rFonts w:ascii="Times New Roman" w:hAnsi="Times New Roman"/>
          <w:sz w:val="20"/>
        </w:rPr>
      </w:pPr>
      <w:r>
        <w:rPr>
          <w:rFonts w:ascii="Arial;sans-serif" w:hAnsi="Arial;sans-serif"/>
          <w:b w:val="false"/>
          <w:sz w:val="20"/>
        </w:rPr>
        <w:t>Our proprietary data architecture, AVA, encompassing over 170 artificial intelligence models and 250 business intelligence dashboards across all aspects of our health plans and clinical operations, is a core component of our information systems. AVA incorporates high security controls around member data, including running regular vulnerability testing, adhering to application development security best practices and implementing fine grained access controls, ensuring only authorized individuals can access member health data.</w:t>
      </w:r>
      <w:r>
        <w:rPr>
          <w:rFonts w:ascii="Times New Roman" w:hAnsi="Times New Roman"/>
          <w:sz w:val="20"/>
        </w:rPr>
        <w:t xml:space="preserve"> </w:t>
      </w:r>
    </w:p>
    <w:p>
      <w:pPr>
        <w:pStyle w:val="TextBody"/>
        <w:spacing w:before="200" w:after="0"/>
        <w:jc w:val="left"/>
        <w:rPr>
          <w:rFonts w:ascii="Arial;sans-serif" w:hAnsi="Arial;sans-serif"/>
          <w:b/>
          <w:sz w:val="20"/>
        </w:rPr>
      </w:pPr>
      <w:bookmarkStart w:id="15" w:name="stockholder_engagement"/>
      <w:bookmarkEnd w:id="15"/>
      <w:r>
        <w:rPr>
          <w:rFonts w:ascii="Arial;sans-serif" w:hAnsi="Arial;sans-serif"/>
          <w:b/>
          <w:sz w:val="20"/>
        </w:rPr>
        <w:t>Stockholder Engagement</w:t>
      </w:r>
    </w:p>
    <w:p>
      <w:pPr>
        <w:pStyle w:val="TextBody"/>
        <w:spacing w:before="240" w:after="0"/>
        <w:jc w:val="left"/>
        <w:rPr>
          <w:rFonts w:ascii="Times New Roman" w:hAnsi="Times New Roman"/>
          <w:sz w:val="20"/>
        </w:rPr>
      </w:pPr>
      <w:r>
        <w:rPr>
          <w:rFonts w:ascii="Arial;sans-serif" w:hAnsi="Arial;sans-serif"/>
          <w:b w:val="false"/>
          <w:sz w:val="20"/>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and ESG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 Our Lead Sponsors, our two largest stockholders, are represented by directors they have nominated to serve on our Board. See “</w:t>
      </w:r>
      <w:r>
        <w:rPr>
          <w:rFonts w:ascii="Times New Roman" w:hAnsi="Times New Roman"/>
          <w:sz w:val="20"/>
        </w:rPr>
        <w:t>—</w:t>
      </w:r>
      <w:r>
        <w:rPr>
          <w:rFonts w:ascii="Arial;sans-serif" w:hAnsi="Arial;sans-serif"/>
          <w:b w:val="false"/>
          <w:i/>
          <w:sz w:val="20"/>
        </w:rPr>
        <w:t>Board Composition and Director Independence</w:t>
      </w:r>
      <w:r>
        <w:rPr>
          <w:rFonts w:ascii="Times New Roman" w:hAnsi="Times New Roman"/>
          <w:sz w:val="20"/>
        </w:rPr>
        <w:t xml:space="preserve">” </w:t>
      </w:r>
      <w:r>
        <w:rPr>
          <w:rFonts w:ascii="Arial;sans-serif" w:hAnsi="Arial;sans-serif"/>
          <w:b w:val="false"/>
          <w:sz w:val="20"/>
        </w:rPr>
        <w:t>above.</w:t>
      </w:r>
    </w:p>
    <w:p>
      <w:pPr>
        <w:pStyle w:val="TextBody"/>
        <w:spacing w:before="200" w:after="0"/>
        <w:jc w:val="left"/>
        <w:rPr>
          <w:rFonts w:ascii="Arial;sans-serif" w:hAnsi="Arial;sans-serif"/>
          <w:b/>
          <w:sz w:val="20"/>
        </w:rPr>
      </w:pPr>
      <w:bookmarkStart w:id="16" w:name="family_relationships"/>
      <w:bookmarkEnd w:id="16"/>
      <w:r>
        <w:rPr>
          <w:rFonts w:ascii="Arial;sans-serif" w:hAnsi="Arial;sans-serif"/>
          <w:b/>
          <w:sz w:val="20"/>
        </w:rPr>
        <w:t>Family Relationships</w:t>
      </w:r>
    </w:p>
    <w:p>
      <w:pPr>
        <w:pStyle w:val="TextBody"/>
        <w:spacing w:before="120" w:after="0"/>
        <w:jc w:val="left"/>
        <w:rPr>
          <w:rFonts w:ascii="Arial;sans-serif" w:hAnsi="Arial;sans-serif"/>
          <w:b w:val="false"/>
          <w:sz w:val="20"/>
        </w:rPr>
      </w:pPr>
      <w:r>
        <w:rPr>
          <w:rFonts w:ascii="Arial;sans-serif" w:hAnsi="Arial;sans-serif"/>
          <w:b w:val="false"/>
          <w:sz w:val="20"/>
        </w:rPr>
        <w:t>There are no family relationships between any of our executive officers or directors.</w:t>
      </w:r>
    </w:p>
    <w:p>
      <w:pPr>
        <w:pStyle w:val="TextBody"/>
        <w:spacing w:before="200" w:after="0"/>
        <w:jc w:val="left"/>
        <w:rPr>
          <w:rFonts w:ascii="Arial;sans-serif" w:hAnsi="Arial;sans-serif"/>
          <w:b/>
          <w:sz w:val="20"/>
        </w:rPr>
      </w:pPr>
      <w:bookmarkStart w:id="17" w:name="compensation_committee_interlocks"/>
      <w:bookmarkEnd w:id="17"/>
      <w:r>
        <w:rPr>
          <w:rFonts w:ascii="Arial;sans-serif" w:hAnsi="Arial;sans-serif"/>
          <w:b/>
          <w:sz w:val="20"/>
        </w:rPr>
        <w:t>Compensation Committee Interlocks and Insider Participation</w:t>
      </w:r>
    </w:p>
    <w:p>
      <w:pPr>
        <w:pStyle w:val="TextBody"/>
        <w:spacing w:before="120" w:after="0"/>
        <w:jc w:val="left"/>
        <w:rPr>
          <w:rFonts w:ascii="Times New Roman" w:hAnsi="Times New Roman"/>
          <w:sz w:val="20"/>
        </w:rPr>
      </w:pPr>
      <w:r>
        <w:rPr>
          <w:rFonts w:ascii="Arial;sans-serif" w:hAnsi="Arial;sans-serif"/>
          <w:b w:val="false"/>
          <w:sz w:val="20"/>
        </w:rPr>
        <w:t>Our Compensation Committee is composed of Mr. Carella, Ms. Kosecoff and Mr. Vorhoff. None of the directors who served on our Compensation Committee at any time during fiscal 2022 were officers or associates of the Company or were former officers or associates of the Company. Further, none of the members who served on our Compensation Committee at any time during fiscal 2022 had any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20"/>
        </w:rPr>
        <w:t>relationship with our Company requiring disclosure under the section of this proxy statement entitled “</w:t>
      </w:r>
      <w:r>
        <w:rPr>
          <w:rFonts w:ascii="Arial;sans-serif" w:hAnsi="Arial;sans-serif"/>
          <w:b w:val="false"/>
          <w:i/>
          <w:sz w:val="20"/>
        </w:rPr>
        <w:t>Certain Relationships and Related Party Transactions</w:t>
      </w:r>
      <w:r>
        <w:rPr>
          <w:rFonts w:ascii="Arial;sans-serif" w:hAnsi="Arial;sans-serif"/>
          <w:b w:val="false"/>
          <w:sz w:val="20"/>
        </w:rPr>
        <w:t>.”</w:t>
      </w:r>
    </w:p>
    <w:p>
      <w:pPr>
        <w:pStyle w:val="TextBody"/>
        <w:spacing w:before="120" w:after="0"/>
        <w:jc w:val="left"/>
        <w:rPr>
          <w:rFonts w:ascii="Arial;sans-serif" w:hAnsi="Arial;sans-serif"/>
          <w:b w:val="false"/>
          <w:sz w:val="20"/>
        </w:rPr>
      </w:pPr>
      <w:r>
        <w:rPr>
          <w:rFonts w:ascii="Arial;sans-serif" w:hAnsi="Arial;sans-serif"/>
          <w:b w:val="false"/>
          <w:sz w:val="20"/>
        </w:rPr>
        <w:t>None of our executive officers currently serves, or in the past fiscal year has served, as a member of the board of directors or compensation committee of any entity that has one or more executive officers serving on our Board or Compensation Committee.</w:t>
      </w:r>
    </w:p>
    <w:p>
      <w:pPr>
        <w:pStyle w:val="TextBody"/>
        <w:spacing w:before="200" w:after="0"/>
        <w:jc w:val="left"/>
        <w:rPr>
          <w:rFonts w:ascii="Arial;sans-serif" w:hAnsi="Arial;sans-serif"/>
          <w:b/>
          <w:sz w:val="20"/>
        </w:rPr>
      </w:pPr>
      <w:bookmarkStart w:id="18" w:name="code_of_business_conduct_and_ethics"/>
      <w:bookmarkEnd w:id="18"/>
      <w:r>
        <w:rPr>
          <w:rFonts w:ascii="Arial;sans-serif" w:hAnsi="Arial;sans-serif"/>
          <w:b/>
          <w:sz w:val="20"/>
        </w:rPr>
        <w:t>Code of Business Conduct and Ethics</w:t>
      </w:r>
    </w:p>
    <w:p>
      <w:pPr>
        <w:pStyle w:val="TextBody"/>
        <w:spacing w:before="120" w:after="0"/>
        <w:jc w:val="left"/>
        <w:rPr>
          <w:rFonts w:ascii="Times New Roman" w:hAnsi="Times New Roman"/>
          <w:sz w:val="20"/>
        </w:rPr>
      </w:pPr>
      <w:r>
        <w:rPr>
          <w:rFonts w:ascii="Arial;sans-serif" w:hAnsi="Arial;sans-serif"/>
          <w:b w:val="false"/>
          <w:sz w:val="20"/>
        </w:rPr>
        <w:t>We adopted a written code of business conduct and ethics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https://ir.alignmenthealth.com/.</w:t>
      </w:r>
      <w:r>
        <w:rPr>
          <w:rFonts w:ascii="Times New Roman" w:hAnsi="Times New Roman"/>
          <w:sz w:val="20"/>
        </w:rPr>
        <w:t xml:space="preserve"> </w:t>
      </w:r>
    </w:p>
    <w:p>
      <w:pPr>
        <w:pStyle w:val="TextBody"/>
        <w:spacing w:before="200" w:after="0"/>
        <w:jc w:val="left"/>
        <w:rPr>
          <w:rFonts w:ascii="Times New Roman" w:hAnsi="Times New Roman"/>
          <w:sz w:val="20"/>
        </w:rPr>
      </w:pPr>
      <w:bookmarkStart w:id="19" w:name="insider_trading_policy"/>
      <w:bookmarkEnd w:id="19"/>
      <w:r>
        <w:rPr>
          <w:rFonts w:ascii="Arial;sans-serif" w:hAnsi="Arial;sans-serif"/>
          <w:b/>
          <w:sz w:val="20"/>
        </w:rPr>
        <w:t>Insider Trading Policy; Hedging and Other Transactions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Insider Trading Policy prohibits all officers, directors, employees, family members and affiliated parties from buying, selling or engaging in transactions in our securities at any time while aware of material non-public information about the Company. It also prohibits them from disclosing material non-public information to persons outside the Company, i.e., “tipping.” These prohibitions apply to purchases and sales, as well as other types of transactions such as gifts, loans, contributions to a trust and broker-assisted cashless exercises of stock options.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20" w:name="board_evaluation_practices"/>
      <w:bookmarkEnd w:id="20"/>
      <w:r>
        <w:rPr>
          <w:rFonts w:ascii="Arial;sans-serif" w:hAnsi="Arial;sans-serif"/>
          <w:b/>
          <w:sz w:val="20"/>
        </w:rPr>
        <w:t>Board Evaluation Practices</w:t>
      </w:r>
    </w:p>
    <w:p>
      <w:pPr>
        <w:pStyle w:val="TextBody"/>
        <w:spacing w:before="240" w:after="200"/>
        <w:jc w:val="left"/>
        <w:rPr>
          <w:rFonts w:ascii="Arial;sans-serif" w:hAnsi="Arial;sans-serif"/>
          <w:b w:val="false"/>
          <w:sz w:val="20"/>
        </w:rPr>
      </w:pPr>
      <w:r>
        <w:rPr>
          <w:rFonts w:ascii="Arial;sans-serif" w:hAnsi="Arial;sans-serif"/>
          <w:b w:val="false"/>
          <w:sz w:val="20"/>
        </w:rPr>
        <w:t>The Board is committed to a rigorous self-evaluation process. Through evaluation, directors annually review the Board’s performance, including areas where the Board feels it functions effectively, and most importantly, areas where the Board can improve. The NCGCC, with additional leadership from our Chairman and Lead Independent Director, initiates the annual Board evaluation process. We believe that having a review process for the Board and each committee helps to (i) ensure an adequate representation of requisite skills; (ii) 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w:t>
      </w:r>
    </w:p>
    <w:tbl>
      <w:tblPr>
        <w:tblW w:w="10205" w:type="dxa"/>
        <w:jc w:val="left"/>
        <w:tblInd w:w="0" w:type="dxa"/>
        <w:tblCellMar>
          <w:top w:w="28" w:type="dxa"/>
          <w:left w:w="28" w:type="dxa"/>
          <w:bottom w:w="28" w:type="dxa"/>
          <w:right w:w="28" w:type="dxa"/>
        </w:tblCellMar>
      </w:tblPr>
      <w:tblGrid>
        <w:gridCol w:w="1830"/>
        <w:gridCol w:w="8375"/>
      </w:tblGrid>
      <w:tr>
        <w:trPr/>
        <w:tc>
          <w:tcPr>
            <w:tcW w:w="1830" w:type="dxa"/>
            <w:tcBorders/>
            <w:shd w:fill="auto" w:val="clear"/>
            <w:vAlign w:val="center"/>
          </w:tcPr>
          <w:p>
            <w:pPr>
              <w:pStyle w:val="TableContents"/>
              <w:spacing w:before="0" w:after="283"/>
              <w:rPr>
                <w:sz w:val="4"/>
                <w:szCs w:val="4"/>
              </w:rPr>
            </w:pPr>
            <w:r>
              <w:rPr>
                <w:sz w:val="4"/>
                <w:szCs w:val="4"/>
              </w:rPr>
            </w:r>
          </w:p>
        </w:tc>
        <w:tc>
          <w:tcPr>
            <w:tcW w:w="8375" w:type="dxa"/>
            <w:tcBorders/>
            <w:shd w:fill="auto" w:val="clear"/>
            <w:vAlign w:val="center"/>
          </w:tcPr>
          <w:p>
            <w:pPr>
              <w:pStyle w:val="TableContents"/>
              <w:spacing w:before="0" w:after="283"/>
              <w:rPr>
                <w:sz w:val="4"/>
                <w:szCs w:val="4"/>
              </w:rPr>
            </w:pPr>
            <w:r>
              <w:rPr>
                <w:sz w:val="4"/>
                <w:szCs w:val="4"/>
              </w:rPr>
            </w:r>
          </w:p>
        </w:tc>
      </w:tr>
      <w:tr>
        <w:trPr/>
        <w:tc>
          <w:tcPr>
            <w:tcW w:w="1830" w:type="dxa"/>
            <w:tcBorders>
              <w:top w:val="single" w:sz="4" w:space="0" w:color="000000"/>
              <w:bottom w:val="single" w:sz="4" w:space="0" w:color="000000"/>
            </w:tcBorders>
            <w:shd w:fill="auto" w:val="clear"/>
            <w:tcMar>
              <w:left w:w="0" w:type="dxa"/>
              <w:right w:w="0" w:type="dxa"/>
            </w:tcMar>
            <w:vAlign w:val="center"/>
          </w:tcPr>
          <w:p>
            <w:pPr>
              <w:pStyle w:val="TableContents"/>
              <w:spacing w:before="120" w:after="0"/>
              <w:ind w:left="0" w:right="0" w:hanging="0"/>
              <w:jc w:val="left"/>
              <w:rPr>
                <w:rFonts w:ascii="Arial;sans-serif" w:hAnsi="Arial;sans-serif"/>
                <w:b/>
                <w:sz w:val="36"/>
              </w:rPr>
            </w:pPr>
            <w:r>
              <w:rPr>
                <w:rFonts w:ascii="Arial;sans-serif" w:hAnsi="Arial;sans-serif"/>
                <w:b/>
                <w:sz w:val="36"/>
              </w:rPr>
              <w:t>1.</w:t>
            </w:r>
          </w:p>
          <w:p>
            <w:pPr>
              <w:pStyle w:val="TableContents"/>
              <w:spacing w:before="0" w:after="120"/>
              <w:ind w:left="0" w:right="0" w:hanging="0"/>
              <w:jc w:val="left"/>
              <w:rPr>
                <w:rFonts w:ascii="Arial;sans-serif" w:hAnsi="Arial;sans-serif"/>
                <w:b/>
                <w:sz w:val="20"/>
              </w:rPr>
            </w:pPr>
            <w:r>
              <w:rPr>
                <w:rFonts w:ascii="Arial;sans-serif" w:hAnsi="Arial;sans-serif"/>
                <w:b/>
                <w:sz w:val="20"/>
              </w:rPr>
              <w:t>Review of Evaluation Process</w:t>
            </w:r>
          </w:p>
        </w:tc>
        <w:tc>
          <w:tcPr>
            <w:tcW w:w="8375" w:type="dxa"/>
            <w:tcBorders>
              <w:top w:val="single" w:sz="4" w:space="0" w:color="000000"/>
              <w:bottom w:val="single" w:sz="4" w:space="0" w:color="000000"/>
            </w:tcBorders>
            <w:shd w:fill="auto" w:val="clear"/>
            <w:tcMar>
              <w:left w:w="0" w:type="dxa"/>
              <w:right w:w="0" w:type="dxa"/>
            </w:tcM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The NCGCC develops and oversees an annual self-evaluation process of the Board and its committees and determines the content of the evaluation questionnaires. The NCGCC may also consider whether to engage third-party consultants.</w:t>
            </w:r>
          </w:p>
        </w:tc>
      </w:tr>
      <w:tr>
        <w:trPr/>
        <w:tc>
          <w:tcPr>
            <w:tcW w:w="1830" w:type="dxa"/>
            <w:tcBorders>
              <w:bottom w:val="single" w:sz="4" w:space="0" w:color="000000"/>
            </w:tcBorders>
            <w:shd w:fill="auto" w:val="clear"/>
            <w:tcMar>
              <w:top w:w="0" w:type="dxa"/>
              <w:left w:w="0" w:type="dxa"/>
              <w:right w:w="0" w:type="dxa"/>
            </w:tcMar>
            <w:vAlign w:val="center"/>
          </w:tcPr>
          <w:p>
            <w:pPr>
              <w:pStyle w:val="TableContents"/>
              <w:spacing w:before="240" w:after="0"/>
              <w:ind w:left="0" w:right="0" w:hanging="0"/>
              <w:jc w:val="left"/>
              <w:rPr>
                <w:rFonts w:ascii="Arial;sans-serif" w:hAnsi="Arial;sans-serif"/>
                <w:b/>
                <w:sz w:val="36"/>
              </w:rPr>
            </w:pPr>
            <w:r>
              <w:rPr>
                <w:rFonts w:ascii="Arial;sans-serif" w:hAnsi="Arial;sans-serif"/>
                <w:b/>
                <w:sz w:val="36"/>
              </w:rPr>
              <w:t>2.</w:t>
            </w:r>
          </w:p>
          <w:p>
            <w:pPr>
              <w:pStyle w:val="TableContents"/>
              <w:spacing w:before="0" w:after="0"/>
              <w:ind w:left="0" w:right="0" w:hanging="0"/>
              <w:jc w:val="left"/>
              <w:rPr>
                <w:rFonts w:ascii="Arial;sans-serif" w:hAnsi="Arial;sans-serif"/>
                <w:b/>
                <w:sz w:val="20"/>
              </w:rPr>
            </w:pPr>
            <w:r>
              <w:rPr>
                <w:rFonts w:ascii="Arial;sans-serif" w:hAnsi="Arial;sans-serif"/>
                <w:b/>
                <w:sz w:val="20"/>
              </w:rPr>
              <w:t>Questionnaires</w:t>
            </w:r>
          </w:p>
        </w:tc>
        <w:tc>
          <w:tcPr>
            <w:tcW w:w="8375" w:type="dxa"/>
            <w:tcBorders>
              <w:bottom w:val="single" w:sz="4" w:space="0" w:color="000000"/>
            </w:tcBorders>
            <w:shd w:fill="auto" w:val="clear"/>
            <w:tcMar>
              <w:top w:w="0" w:type="dxa"/>
              <w:left w:w="0" w:type="dxa"/>
              <w:right w:w="0" w:type="dxa"/>
            </w:tcMar>
            <w:vAlign w:val="center"/>
          </w:tcPr>
          <w:p>
            <w:pPr>
              <w:pStyle w:val="TableContents"/>
              <w:spacing w:before="240" w:after="0"/>
              <w:ind w:left="0" w:right="0" w:hanging="0"/>
              <w:jc w:val="left"/>
              <w:rPr>
                <w:rFonts w:ascii="Arial;sans-serif" w:hAnsi="Arial;sans-serif"/>
                <w:b w:val="false"/>
                <w:sz w:val="20"/>
              </w:rPr>
            </w:pPr>
            <w:r>
              <w:rPr>
                <w:rFonts w:ascii="Arial;sans-serif" w:hAnsi="Arial;sans-serif"/>
                <w:b w:val="false"/>
                <w:sz w:val="20"/>
              </w:rPr>
              <w:t>The Board evaluation typically consists of a written questionnaire containing qualitative scaled and open-ended questions related to the effectiveness of the Board during the prior year. The questionnaire hones in on specific areas of responsibility and critical attributes of the Board in order to solicit candid feedback from each director. Questionnaires include topics such as:</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Board Performance</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Board Composition, Skills and Diversity</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Board and Committee Meetings and Structure</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Management Relations</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Risk Oversight by Board and Committees</w:t>
            </w:r>
          </w:p>
          <w:p>
            <w:pPr>
              <w:pStyle w:val="TableContents"/>
              <w:spacing w:before="240" w:after="0"/>
              <w:ind w:left="360" w:right="0" w:hanging="0"/>
              <w:jc w:val="left"/>
              <w:rPr/>
            </w:pPr>
            <w:r>
              <w:rPr/>
              <w:t>•</w:t>
            </w:r>
          </w:p>
          <w:p>
            <w:pPr>
              <w:pStyle w:val="TableContents"/>
              <w:spacing w:before="240" w:after="0"/>
              <w:jc w:val="left"/>
              <w:rPr>
                <w:rFonts w:ascii="Arial;sans-serif" w:hAnsi="Arial;sans-serif"/>
                <w:b w:val="false"/>
                <w:sz w:val="20"/>
              </w:rPr>
            </w:pPr>
            <w:r>
              <w:rPr>
                <w:rFonts w:ascii="Arial;sans-serif" w:hAnsi="Arial;sans-serif"/>
                <w:b w:val="false"/>
                <w:sz w:val="20"/>
              </w:rPr>
              <w:t>Process and Resources</w:t>
            </w:r>
          </w:p>
          <w:p>
            <w:pPr>
              <w:pStyle w:val="TableContents"/>
              <w:spacing w:before="240" w:after="0"/>
              <w:ind w:left="360" w:right="0" w:hanging="0"/>
              <w:jc w:val="left"/>
              <w:rPr/>
            </w:pPr>
            <w:r>
              <w:rPr/>
              <w:t>•</w:t>
            </w:r>
          </w:p>
          <w:p>
            <w:pPr>
              <w:pStyle w:val="TableContents"/>
              <w:spacing w:before="240" w:after="283"/>
              <w:jc w:val="left"/>
              <w:rPr>
                <w:rFonts w:ascii="Arial;sans-serif" w:hAnsi="Arial;sans-serif"/>
                <w:b w:val="false"/>
                <w:sz w:val="20"/>
              </w:rPr>
            </w:pPr>
            <w:r>
              <w:rPr>
                <w:rFonts w:ascii="Arial;sans-serif" w:hAnsi="Arial;sans-serif"/>
                <w:b w:val="false"/>
                <w:sz w:val="20"/>
              </w:rPr>
              <w:t>Board Culture</w:t>
            </w:r>
          </w:p>
          <w:p>
            <w:pPr>
              <w:pStyle w:val="TableContents"/>
              <w:spacing w:before="240" w:after="0"/>
              <w:ind w:left="0" w:right="0" w:hanging="0"/>
              <w:jc w:val="left"/>
              <w:rPr>
                <w:rFonts w:ascii="Times New Roman" w:hAnsi="Times New Roman"/>
                <w:sz w:val="20"/>
              </w:rPr>
            </w:pPr>
            <w:r>
              <w:rPr>
                <w:rFonts w:ascii="Arial;sans-serif" w:hAnsi="Arial;sans-serif"/>
                <w:b w:val="false"/>
                <w:sz w:val="20"/>
              </w:rPr>
              <w:t>The questionnaire also seeks practical input as to what the Board is doing well, areas in which the Board could improve and any undertakings that the Board should commence or terminate.</w:t>
            </w:r>
            <w:r>
              <w:rPr>
                <w:rFonts w:ascii="Times New Roman" w:hAnsi="Times New Roman"/>
                <w:sz w:val="20"/>
              </w:rPr>
              <w:t xml:space="preserve"> </w:t>
            </w:r>
          </w:p>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Another benefit of the questionnaire is that it allows each Board member to evaluate the effectiveness of the Chairman of the Board and the Lead Independent Director.</w:t>
            </w:r>
          </w:p>
        </w:tc>
      </w:tr>
      <w:tr>
        <w:trPr/>
        <w:tc>
          <w:tcPr>
            <w:tcW w:w="1830" w:type="dxa"/>
            <w:tcBorders>
              <w:bottom w:val="single" w:sz="4" w:space="0" w:color="000000"/>
            </w:tcBorders>
            <w:shd w:fill="auto" w:val="clear"/>
            <w:tcMar>
              <w:top w:w="0" w:type="dxa"/>
              <w:left w:w="0" w:type="dxa"/>
              <w:right w:w="0" w:type="dxa"/>
            </w:tcMar>
            <w:vAlign w:val="center"/>
          </w:tcPr>
          <w:p>
            <w:pPr>
              <w:pStyle w:val="TableContents"/>
              <w:spacing w:before="240" w:after="0"/>
              <w:ind w:left="0" w:right="0" w:hanging="0"/>
              <w:jc w:val="left"/>
              <w:rPr>
                <w:rFonts w:ascii="Arial;sans-serif" w:hAnsi="Arial;sans-serif"/>
                <w:b/>
                <w:sz w:val="36"/>
              </w:rPr>
            </w:pPr>
            <w:r>
              <w:rPr>
                <w:rFonts w:ascii="Arial;sans-serif" w:hAnsi="Arial;sans-serif"/>
                <w:b/>
                <w:sz w:val="36"/>
              </w:rPr>
              <w:t>3.</w:t>
            </w:r>
          </w:p>
          <w:p>
            <w:pPr>
              <w:pStyle w:val="TableContents"/>
              <w:spacing w:before="0" w:after="0"/>
              <w:ind w:left="0" w:right="0" w:hanging="0"/>
              <w:jc w:val="left"/>
              <w:rPr>
                <w:rFonts w:ascii="Arial;sans-serif" w:hAnsi="Arial;sans-serif"/>
                <w:b/>
                <w:sz w:val="20"/>
              </w:rPr>
            </w:pPr>
            <w:r>
              <w:rPr>
                <w:rFonts w:ascii="Arial;sans-serif" w:hAnsi="Arial;sans-serif"/>
                <w:b/>
                <w:sz w:val="20"/>
              </w:rPr>
              <w:t>Board Review</w:t>
            </w:r>
          </w:p>
        </w:tc>
        <w:tc>
          <w:tcPr>
            <w:tcW w:w="8375" w:type="dxa"/>
            <w:tcBorders>
              <w:bottom w:val="single" w:sz="4" w:space="0" w:color="000000"/>
            </w:tcBorders>
            <w:shd w:fill="auto" w:val="clear"/>
            <w:tcMar>
              <w:top w:w="0" w:type="dxa"/>
              <w:left w:w="0" w:type="dxa"/>
              <w:right w:w="0" w:type="dxa"/>
            </w:tcMar>
            <w:vAlign w:val="center"/>
          </w:tcPr>
          <w:p>
            <w:pPr>
              <w:pStyle w:val="TableContents"/>
              <w:spacing w:before="240" w:after="180"/>
              <w:ind w:left="0" w:right="0" w:hanging="0"/>
              <w:jc w:val="left"/>
              <w:rPr>
                <w:rFonts w:ascii="Arial;sans-serif" w:hAnsi="Arial;sans-serif"/>
                <w:b w:val="false"/>
                <w:sz w:val="20"/>
              </w:rPr>
            </w:pPr>
            <w:r>
              <w:rPr>
                <w:rFonts w:ascii="Arial;sans-serif" w:hAnsi="Arial;sans-serif"/>
                <w:b w:val="false"/>
                <w:sz w:val="20"/>
              </w:rPr>
              <w:t>Results of the evaluations are shared with the Chairman of the Board, the Lead Independent Director and the Chairman of the NCGCC and then later discussed with the entire Board in an aggregated manner.</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Each of our Board committees similarly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 As a result of their annual review of the adequacy of their charters, the Board approved revised charters for each of our standing committees in February 2023.</w:t>
      </w:r>
    </w:p>
    <w:p>
      <w:pPr>
        <w:pStyle w:val="TextBody"/>
        <w:spacing w:before="200" w:after="0"/>
        <w:jc w:val="left"/>
        <w:rPr>
          <w:rFonts w:ascii="Arial;sans-serif" w:hAnsi="Arial;sans-serif"/>
          <w:b/>
          <w:sz w:val="20"/>
        </w:rPr>
      </w:pPr>
      <w:bookmarkStart w:id="21" w:name="board_and_committee_meetings"/>
      <w:bookmarkEnd w:id="21"/>
      <w:r>
        <w:rPr>
          <w:rFonts w:ascii="Arial;sans-serif" w:hAnsi="Arial;sans-serif"/>
          <w:b/>
          <w:sz w:val="20"/>
        </w:rPr>
        <w:t>Board and Committee Meetings</w:t>
      </w:r>
    </w:p>
    <w:p>
      <w:pPr>
        <w:pStyle w:val="TextBody"/>
        <w:spacing w:before="120" w:after="0"/>
        <w:jc w:val="left"/>
        <w:rPr>
          <w:rFonts w:ascii="Arial;sans-serif" w:hAnsi="Arial;sans-serif"/>
          <w:b w:val="false"/>
          <w:sz w:val="20"/>
        </w:rPr>
      </w:pPr>
      <w:r>
        <w:rPr>
          <w:rFonts w:ascii="Arial;sans-serif" w:hAnsi="Arial;sans-serif"/>
          <w:b w:val="false"/>
          <w:sz w:val="20"/>
        </w:rPr>
        <w:t>For the year ended December 31, 2022, our Board held seven regular and special meetings. Our Audit Committee, Compensation Committee and NCGCC held four, ten and four meetings, respectively during the year ended December 31, 2022. In 2022,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Directors are expected to attend the annual meeting of stockholders and all or substantially all of the Board meetings and meetings of committees on which they serve. All directors attended the annual meeting of stockholders in 2022.</w:t>
      </w:r>
    </w:p>
    <w:p>
      <w:pPr>
        <w:pStyle w:val="TextBody"/>
        <w:spacing w:before="200" w:after="0"/>
        <w:jc w:val="left"/>
        <w:rPr>
          <w:rFonts w:ascii="Times New Roman" w:hAnsi="Times New Roman"/>
          <w:sz w:val="20"/>
        </w:rPr>
      </w:pPr>
      <w:bookmarkStart w:id="22" w:name="communications_by_stockholders"/>
      <w:bookmarkEnd w:id="22"/>
      <w:r>
        <w:rPr>
          <w:rFonts w:ascii="Arial;sans-serif" w:hAnsi="Arial;sans-serif"/>
          <w:b/>
          <w:sz w:val="20"/>
        </w:rPr>
        <w:t>Communications by Stockholders and Other Interested Parties with the Board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Stockholders and other interested parties may contact an individual director, the Board as a group, or a specified Board committee or group, including the non-management or non-Lead Sponsor directors as a group, by sending regular mail to:</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val="false"/>
          <w:sz w:val="20"/>
        </w:rPr>
        <w:t>Alignment Healthcare, Inc.</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1100 W. Town &amp; Country Rd., Suite 1600</w:t>
      </w:r>
    </w:p>
    <w:p>
      <w:pPr>
        <w:pStyle w:val="TextBody"/>
        <w:spacing w:before="0" w:after="0"/>
        <w:jc w:val="center"/>
        <w:rPr>
          <w:rFonts w:ascii="Arial;sans-serif" w:hAnsi="Arial;sans-serif"/>
          <w:b w:val="false"/>
          <w:sz w:val="20"/>
        </w:rPr>
      </w:pPr>
      <w:r>
        <w:rPr>
          <w:rFonts w:ascii="Arial;sans-serif" w:hAnsi="Arial;sans-serif"/>
          <w:b w:val="false"/>
          <w:sz w:val="20"/>
        </w:rPr>
        <w:t>Orange, CA 92868</w:t>
      </w:r>
    </w:p>
    <w:p>
      <w:pPr>
        <w:pStyle w:val="TextBody"/>
        <w:spacing w:before="0" w:after="0"/>
        <w:jc w:val="center"/>
        <w:rPr>
          <w:rFonts w:ascii="Times New Roman" w:hAnsi="Times New Roman"/>
          <w:sz w:val="20"/>
        </w:rPr>
      </w:pPr>
      <w:r>
        <w:rPr>
          <w:rFonts w:ascii="Arial;sans-serif" w:hAnsi="Arial;sans-serif"/>
          <w:b w:val="false"/>
          <w:sz w:val="20"/>
        </w:rPr>
        <w:t>ATTN: Board of Directors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c/o General Counsel and Secretary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23" w:name="executive_officers"/>
      <w:bookmarkEnd w:id="23"/>
      <w:r>
        <w:rPr>
          <w:rFonts w:ascii="Arial;sans-serif" w:hAnsi="Arial;sans-serif"/>
          <w:b/>
          <w:sz w:val="20"/>
        </w:rPr>
        <w:t>EXECUTIVE OFFICERS</w:t>
      </w:r>
    </w:p>
    <w:p>
      <w:pPr>
        <w:pStyle w:val="TextBody"/>
        <w:spacing w:before="240" w:after="120"/>
        <w:jc w:val="left"/>
        <w:rPr>
          <w:rFonts w:ascii="Arial;sans-serif" w:hAnsi="Arial;sans-serif"/>
          <w:b w:val="false"/>
          <w:sz w:val="20"/>
        </w:rPr>
      </w:pPr>
      <w:r>
        <w:rPr>
          <w:rFonts w:ascii="Arial;sans-serif" w:hAnsi="Arial;sans-serif"/>
          <w:b w:val="false"/>
          <w:sz w:val="20"/>
        </w:rPr>
        <w:t>Below is a list of the names, ages, positions, and a brief account of the business experience of the individuals who serve as executive officers of Alignment as of April 26, 2023:</w:t>
      </w:r>
    </w:p>
    <w:tbl>
      <w:tblPr>
        <w:tblW w:w="6033" w:type="dxa"/>
        <w:jc w:val="left"/>
        <w:tblInd w:w="0" w:type="dxa"/>
        <w:tblCellMar>
          <w:top w:w="28" w:type="dxa"/>
          <w:left w:w="28" w:type="dxa"/>
          <w:bottom w:w="28" w:type="dxa"/>
          <w:right w:w="28" w:type="dxa"/>
        </w:tblCellMar>
      </w:tblPr>
      <w:tblGrid>
        <w:gridCol w:w="1801"/>
        <w:gridCol w:w="466"/>
        <w:gridCol w:w="3766"/>
      </w:tblGrid>
      <w:tr>
        <w:trPr/>
        <w:tc>
          <w:tcPr>
            <w:tcW w:w="180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8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Name</w:t>
            </w:r>
          </w:p>
        </w:tc>
        <w:tc>
          <w:tcPr>
            <w:tcW w:w="4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Age</w:t>
            </w:r>
          </w:p>
        </w:tc>
        <w:tc>
          <w:tcPr>
            <w:tcW w:w="37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Position</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John Kao</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61</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Director and Chief Executive Officer</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Dawn Maroney</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55</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President, Markets</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Thomas Freeman</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34</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Chief Financial Officer</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Dinesh Kumar</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55</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Times New Roman" w:hAnsi="Times New Roman"/>
                <w:sz w:val="20"/>
              </w:rPr>
            </w:pPr>
            <w:r>
              <w:rPr>
                <w:rFonts w:ascii="Arial;sans-serif" w:hAnsi="Arial;sans-serif"/>
                <w:b w:val="false"/>
                <w:sz w:val="20"/>
              </w:rPr>
              <w:t>Chief Medical and Operating Officer</w:t>
            </w:r>
            <w:r>
              <w:rPr>
                <w:rFonts w:ascii="Times New Roman" w:hAnsi="Times New Roman"/>
                <w:sz w:val="20"/>
              </w:rPr>
              <w:t xml:space="preserve"> </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Joseph Konowiecki</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69</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Chairman of the Board</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Hakan Kardes</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36</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Chief Technology Officer</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Robert L. Scavo</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58</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Chief Information Officer</w:t>
            </w:r>
          </w:p>
        </w:tc>
      </w:tr>
      <w:tr>
        <w:trPr/>
        <w:tc>
          <w:tcPr>
            <w:tcW w:w="18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Richard Cross</w:t>
            </w:r>
          </w:p>
        </w:tc>
        <w:tc>
          <w:tcPr>
            <w:tcW w:w="46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120"/>
              <w:ind w:left="0" w:right="0" w:hanging="0"/>
              <w:jc w:val="center"/>
              <w:rPr>
                <w:rFonts w:ascii="Arial;sans-serif" w:hAnsi="Arial;sans-serif"/>
                <w:b w:val="false"/>
                <w:sz w:val="20"/>
              </w:rPr>
            </w:pPr>
            <w:r>
              <w:rPr>
                <w:rFonts w:ascii="Arial;sans-serif" w:hAnsi="Arial;sans-serif"/>
                <w:b w:val="false"/>
                <w:sz w:val="20"/>
              </w:rPr>
              <w:t>59</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Arial;sans-serif" w:hAnsi="Arial;sans-serif"/>
                <w:b w:val="false"/>
                <w:sz w:val="20"/>
              </w:rPr>
            </w:pPr>
            <w:r>
              <w:rPr>
                <w:rFonts w:ascii="Arial;sans-serif" w:hAnsi="Arial;sans-serif"/>
                <w:b w:val="false"/>
                <w:sz w:val="20"/>
              </w:rPr>
              <w:t>General Counsel and Corporate Secretary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360" w:after="0"/>
              <w:ind w:left="0" w:right="0" w:hanging="0"/>
              <w:jc w:val="left"/>
              <w:rPr/>
            </w:pPr>
            <w:r>
              <w:rPr/>
              <w:drawing>
                <wp:inline distT="0" distB="0" distL="0" distR="0">
                  <wp:extent cx="1181100" cy="11049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Times New Roman" w:hAnsi="Times New Roman"/>
                <w:sz w:val="20"/>
              </w:rPr>
            </w:pPr>
            <w:r>
              <w:rPr>
                <w:rFonts w:ascii="Arial;sans-serif" w:hAnsi="Arial;sans-serif"/>
                <w:b/>
                <w:i/>
                <w:sz w:val="20"/>
              </w:rPr>
              <w:t>John Kao</w:t>
            </w:r>
            <w:r>
              <w:rPr>
                <w:rFonts w:ascii="Times New Roman" w:hAnsi="Times New Roman"/>
                <w:sz w:val="20"/>
              </w:rPr>
              <w:t xml:space="preserve"> </w:t>
            </w:r>
          </w:p>
        </w:tc>
        <w:tc>
          <w:tcPr>
            <w:tcW w:w="8184" w:type="dxa"/>
            <w:tcBorders/>
            <w:shd w:fill="auto" w:val="clear"/>
            <w:vAlign w:val="center"/>
          </w:tcPr>
          <w:p>
            <w:pPr>
              <w:pStyle w:val="TableContents"/>
              <w:spacing w:before="360" w:after="120"/>
              <w:ind w:left="0" w:right="0" w:hanging="0"/>
              <w:jc w:val="left"/>
              <w:rPr>
                <w:rFonts w:ascii="Times New Roman" w:hAnsi="Times New Roman"/>
                <w:sz w:val="20"/>
              </w:rPr>
            </w:pPr>
            <w:r>
              <w:rPr>
                <w:rFonts w:ascii="Arial;sans-serif" w:hAnsi="Arial;sans-serif"/>
                <w:b w:val="false"/>
                <w:sz w:val="20"/>
              </w:rPr>
              <w:t>Mr. Kao has served as our Chief Executive Officer and as a member of our Board since 2014. Please see “</w:t>
            </w:r>
            <w:r>
              <w:rPr>
                <w:rFonts w:ascii="Arial;sans-serif" w:hAnsi="Arial;sans-serif"/>
                <w:b w:val="false"/>
                <w:i/>
                <w:sz w:val="20"/>
              </w:rPr>
              <w:t>Proposal 1—Election of Directors—Continuing Directors</w:t>
            </w:r>
            <w:r>
              <w:rPr>
                <w:rFonts w:ascii="Times New Roman" w:hAnsi="Times New Roman"/>
                <w:sz w:val="20"/>
              </w:rPr>
              <w:t xml:space="preserve">” </w:t>
            </w:r>
            <w:r>
              <w:rPr>
                <w:rFonts w:ascii="Arial;sans-serif" w:hAnsi="Arial;sans-serif"/>
                <w:b w:val="false"/>
                <w:sz w:val="20"/>
              </w:rPr>
              <w:t>for Mr. Kao’s biographical information.</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144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81100" cy="1114425"/>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Dawn Maroney</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Ms. Maroney has served as our President, Markets since 2014. Prior to that, she was chief Medicare officer for Blue Shield of California (formerly known as Care1st Health Plan) from 2011 to 2014, and was chief sales and marketing officer for CareMore Health Plan from 2005 to 2011. Ms. Maroney also served as vice president, Medicare, at Secure Horizons from 2003 to 2005, and as regional vice president of HealthNet from 1994 to 2003.</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Thomas Freeman</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Mr. Freeman has served as our Chief Financial Officer since 2017. Mr. Freeman first joined Alignment in 2015 where he served as our Vice President of Corporate Development. Prior to joining Alignment, Mr. Freeman was a growth investor on the health care team at General Atlantic. Before joining General Atlantic, Mr. Freeman worked in the Investment Banking division at Morgan Stanley &amp; Co. LLC where he also focused on the health care sector. He earned his Bachelor of Science in finance from the University of Kansas, where he graduated with Highest Distinction from the School of Business and University Honors.</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21"/>
        <w:gridCol w:w="8184"/>
      </w:tblGrid>
      <w:tr>
        <w:trPr/>
        <w:tc>
          <w:tcPr>
            <w:tcW w:w="2021" w:type="dxa"/>
            <w:tcBorders/>
            <w:shd w:fill="auto" w:val="clear"/>
            <w:vAlign w:val="center"/>
          </w:tcPr>
          <w:p>
            <w:pPr>
              <w:pStyle w:val="TableContents"/>
              <w:spacing w:before="0" w:after="283"/>
              <w:rPr>
                <w:sz w:val="4"/>
                <w:szCs w:val="4"/>
              </w:rPr>
            </w:pPr>
            <w:r>
              <w:rPr>
                <w:sz w:val="4"/>
                <w:szCs w:val="4"/>
              </w:rPr>
            </w:r>
          </w:p>
        </w:tc>
        <w:tc>
          <w:tcPr>
            <w:tcW w:w="8184" w:type="dxa"/>
            <w:tcBorders/>
            <w:shd w:fill="auto" w:val="clear"/>
            <w:vAlign w:val="center"/>
          </w:tcPr>
          <w:p>
            <w:pPr>
              <w:pStyle w:val="TableContents"/>
              <w:spacing w:before="0" w:after="283"/>
              <w:rPr>
                <w:sz w:val="4"/>
                <w:szCs w:val="4"/>
              </w:rPr>
            </w:pPr>
            <w:r>
              <w:rPr>
                <w:sz w:val="4"/>
                <w:szCs w:val="4"/>
              </w:rPr>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Dinesh Kumar</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Dr. Kumar has served as our Chief Medical Officer since 2019, overseeing provider operations, member services and technology infrastructure, among other matters. In 2022, his title was changed to Chief Medical and Operating Officer. Prior to joining Alignment, Dr. Kumar served as a principal in the health care consulting practice of DK Healthcare Advisors from 2018 to 2019, and as senior vice president, clinical transformation for DaVita Medical Group from 2015 to 2018. He also served as chief medical officer of Healthcare Partners Medical Group from 2014 to 2015. Dr. Kumar received his Bachelor of Medicine, Bachelor of Surgery (M.B.B.S.) from the University of Madras, Kilpauk Medical College &amp; Hospital.</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Joseph Konowiecki</w:t>
            </w:r>
          </w:p>
        </w:tc>
        <w:tc>
          <w:tcPr>
            <w:tcW w:w="8184" w:type="dxa"/>
            <w:tcBorders/>
            <w:shd w:fill="auto" w:val="clear"/>
            <w:vAlign w:val="center"/>
          </w:tcPr>
          <w:p>
            <w:pPr>
              <w:pStyle w:val="TableContents"/>
              <w:spacing w:before="240" w:after="120"/>
              <w:ind w:left="0" w:right="0" w:hanging="0"/>
              <w:jc w:val="left"/>
              <w:rPr>
                <w:rFonts w:ascii="Times New Roman" w:hAnsi="Times New Roman"/>
                <w:sz w:val="20"/>
              </w:rPr>
            </w:pPr>
            <w:r>
              <w:rPr>
                <w:rFonts w:ascii="Arial;sans-serif" w:hAnsi="Arial;sans-serif"/>
                <w:b w:val="false"/>
                <w:sz w:val="20"/>
              </w:rPr>
              <w:t>Mr. Konowiecki</w:t>
            </w:r>
            <w:r>
              <w:rPr>
                <w:rFonts w:ascii="Times New Roman" w:hAnsi="Times New Roman"/>
                <w:sz w:val="20"/>
              </w:rPr>
              <w:t xml:space="preserve"> </w:t>
            </w:r>
            <w:r>
              <w:rPr>
                <w:rFonts w:ascii="Arial;sans-serif" w:hAnsi="Arial;sans-serif"/>
                <w:b w:val="false"/>
                <w:sz w:val="20"/>
              </w:rPr>
              <w:t>has served as chairman of the Board since 2014. In October 2022, he was appointed to an executive role with the Company, leading strategic network and business development. Please see “</w:t>
            </w:r>
            <w:r>
              <w:rPr>
                <w:rFonts w:ascii="Arial;sans-serif" w:hAnsi="Arial;sans-serif"/>
                <w:b w:val="false"/>
                <w:i/>
                <w:sz w:val="20"/>
              </w:rPr>
              <w:t>Proposal 1—Election of Directors—Continuing Directors</w:t>
            </w:r>
            <w:r>
              <w:rPr>
                <w:rFonts w:ascii="Times New Roman" w:hAnsi="Times New Roman"/>
                <w:sz w:val="20"/>
              </w:rPr>
              <w:t xml:space="preserve">” </w:t>
            </w:r>
            <w:r>
              <w:rPr>
                <w:rFonts w:ascii="Arial;sans-serif" w:hAnsi="Arial;sans-serif"/>
                <w:b w:val="false"/>
                <w:sz w:val="20"/>
              </w:rPr>
              <w:t>for Mr. Konowiecki’s biographical information.</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Hakan Kardes</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Mr. Kardes has served as our Chief Technology Officer since January 2019, overseeing data management, technology engineering, and artificial intelligence strategy and execution. From 2015 to 2018, Mr. Kardes was vice president of data science and advanced analytics at Cambia Health Solutions, where he headed up the data science, engineering, product and analytics division. Before joining Cambia, Mr. Kardes was a principal data scientist at Intelius and was responsible for building their proprietary data and insights engine. Mr. Kardes holds a Bachelor of Science in computer science from Bogazici University in Turkey and a Ph.D. in computer science from the University of Nevada, Reno. He has published over 15 papers and holds several patents.</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Robert L. Scavo</w:t>
            </w:r>
          </w:p>
        </w:tc>
        <w:tc>
          <w:tcPr>
            <w:tcW w:w="8184" w:type="dxa"/>
            <w:tcBorders/>
            <w:shd w:fill="auto" w:val="clear"/>
            <w:vAlign w:val="center"/>
          </w:tcPr>
          <w:p>
            <w:pPr>
              <w:pStyle w:val="TableContents"/>
              <w:spacing w:before="240" w:after="120"/>
              <w:ind w:left="0" w:right="0" w:hanging="0"/>
              <w:jc w:val="left"/>
              <w:rPr>
                <w:rFonts w:ascii="Arial;sans-serif" w:hAnsi="Arial;sans-serif"/>
                <w:b w:val="false"/>
                <w:sz w:val="20"/>
              </w:rPr>
            </w:pPr>
            <w:r>
              <w:rPr>
                <w:rFonts w:ascii="Arial;sans-serif" w:hAnsi="Arial;sans-serif"/>
                <w:b w:val="false"/>
                <w:sz w:val="20"/>
              </w:rPr>
              <w:t>Mr. Scavo has served as our Chief Information Officer since September 2020, overseeing data management, technology engineering, artificial intelligence strategy and execution and claims operations. From January 2017 to April 2020, Mr. Scavo was President and Chief Operations Officer at Welltok, Inc., where he headed up sales, client delivery, product management, software engineering, product implementation and consulting, operations and IT. Before joining Welltok, Inc., Mr. Scavo spent 17 years at the TriZetto Group (now Cognizant). He also spent over seven years with Andersen Consulting (now Accenture) and holds a Bachelor of Science in business administration from the University of Colorado, Boulder.</w:t>
            </w:r>
          </w:p>
        </w:tc>
      </w:tr>
      <w:tr>
        <w:trPr/>
        <w:tc>
          <w:tcPr>
            <w:tcW w:w="2021" w:type="dxa"/>
            <w:tcBorders/>
            <w:shd w:fill="auto" w:val="clear"/>
            <w:vAlign w:val="center"/>
          </w:tcPr>
          <w:p>
            <w:pPr>
              <w:pStyle w:val="TableContents"/>
              <w:spacing w:before="240" w:after="0"/>
              <w:ind w:left="0" w:right="0" w:hanging="0"/>
              <w:jc w:val="left"/>
              <w:rPr/>
            </w:pPr>
            <w:r>
              <w:rPr/>
              <w:drawing>
                <wp:inline distT="0" distB="0" distL="0" distR="0">
                  <wp:extent cx="1181100" cy="11049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81100" cy="1104900"/>
                          </a:xfrm>
                          <a:prstGeom prst="rect">
                            <a:avLst/>
                          </a:prstGeom>
                        </pic:spPr>
                      </pic:pic>
                    </a:graphicData>
                  </a:graphic>
                </wp:inline>
              </w:drawing>
            </w:r>
            <w:r>
              <w:rPr/>
              <w:t> </w:t>
            </w:r>
          </w:p>
          <w:p>
            <w:pPr>
              <w:pStyle w:val="TableContents"/>
              <w:spacing w:before="40" w:after="0"/>
              <w:ind w:left="0" w:right="0" w:hanging="0"/>
              <w:jc w:val="left"/>
              <w:rPr>
                <w:rFonts w:ascii="Arial;sans-serif" w:hAnsi="Arial;sans-serif"/>
                <w:b/>
                <w:i/>
                <w:sz w:val="20"/>
              </w:rPr>
            </w:pPr>
            <w:r>
              <w:rPr>
                <w:rFonts w:ascii="Arial;sans-serif" w:hAnsi="Arial;sans-serif"/>
                <w:b/>
                <w:i/>
                <w:sz w:val="20"/>
              </w:rPr>
              <w:t>Richard Cross</w:t>
            </w:r>
          </w:p>
        </w:tc>
        <w:tc>
          <w:tcPr>
            <w:tcW w:w="8184" w:type="dxa"/>
            <w:tcBorders/>
            <w:shd w:fill="auto" w:val="clear"/>
            <w:vAlign w:val="center"/>
          </w:tcPr>
          <w:p>
            <w:pPr>
              <w:pStyle w:val="TableContents"/>
              <w:spacing w:before="240" w:after="0"/>
              <w:ind w:left="0" w:right="0" w:hanging="0"/>
              <w:jc w:val="left"/>
              <w:rPr>
                <w:rFonts w:ascii="Times New Roman" w:hAnsi="Times New Roman"/>
                <w:sz w:val="20"/>
              </w:rPr>
            </w:pPr>
            <w:r>
              <w:rPr>
                <w:rFonts w:ascii="Arial;sans-serif" w:hAnsi="Arial;sans-serif"/>
                <w:b w:val="false"/>
                <w:sz w:val="20"/>
              </w:rPr>
              <w:t>Mr. Cross joined Alignment as general counsel in April 2019. Prior to joining Alignment, Mr. Cross served as a consultant to various companies from April 2018 to March 2019. From March 2006 to March 2018, Mr. Cross was deputy general counsel of OptumRx, a health care company. From July 2002 to March 2006, he served as assistant general counsel of PacifiCare Health Systems, a health insurance provider. Prior to joining PacifiCare Health Systems, Mr. Cross was an associate attorney in the business transactions group of K&amp;R Law Group. Mr. Cross also is a certified public accountant, and before becoming an attorney, he worked as a senior accountant for PacifiCare Health Systems and Security Pacific National Bank.</w:t>
            </w:r>
            <w:r>
              <w:rPr>
                <w:rFonts w:ascii="Times New Roman" w:hAnsi="Times New Roman"/>
                <w:sz w:val="20"/>
              </w:rPr>
              <w:t xml:space="preserve">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24" w:name="compensation_discussion_and_analysis"/>
      <w:bookmarkEnd w:id="24"/>
      <w:r>
        <w:rPr>
          <w:rFonts w:ascii="Arial;sans-serif" w:hAnsi="Arial;sans-serif"/>
          <w:b/>
          <w:sz w:val="20"/>
        </w:rPr>
        <w:t>COMPENSATION DISCUSSION AND ANALYSIS</w:t>
      </w:r>
    </w:p>
    <w:p>
      <w:pPr>
        <w:pStyle w:val="TextBody"/>
        <w:spacing w:before="0" w:after="240"/>
        <w:jc w:val="left"/>
        <w:rPr>
          <w:rFonts w:ascii="Times New Roman" w:hAnsi="Times New Roman"/>
          <w:sz w:val="20"/>
        </w:rPr>
      </w:pPr>
      <w:r>
        <w:rPr>
          <w:rFonts w:ascii="Arial;sans-serif" w:hAnsi="Arial;sans-serif"/>
          <w:b w:val="false"/>
          <w:sz w:val="20"/>
        </w:rPr>
        <w:t>This Compensation Discussion and Analysis (“CD&amp;A”) explains our executive compensation program for our named executive officers (“Named Executive Officers” or “NEOs”) listed below. This CD&amp;A also describes the Compensation Committee’s process for making pay decisions, as well as its rationale for specific decisions related to the fiscal year ended December 31, 2022.</w:t>
      </w:r>
      <w:r>
        <w:rPr>
          <w:rFonts w:ascii="Times New Roman" w:hAnsi="Times New Roman"/>
          <w:sz w:val="20"/>
        </w:rPr>
        <w:t xml:space="preserve"> </w:t>
      </w:r>
    </w:p>
    <w:tbl>
      <w:tblPr>
        <w:tblW w:w="5417" w:type="dxa"/>
        <w:jc w:val="left"/>
        <w:tblInd w:w="0" w:type="dxa"/>
        <w:tblCellMar>
          <w:top w:w="28" w:type="dxa"/>
          <w:left w:w="28" w:type="dxa"/>
          <w:bottom w:w="28" w:type="dxa"/>
          <w:right w:w="28" w:type="dxa"/>
        </w:tblCellMar>
      </w:tblPr>
      <w:tblGrid>
        <w:gridCol w:w="1651"/>
        <w:gridCol w:w="3766"/>
      </w:tblGrid>
      <w:tr>
        <w:trPr/>
        <w:tc>
          <w:tcPr>
            <w:tcW w:w="1651"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Name</w:t>
            </w:r>
          </w:p>
        </w:tc>
        <w:tc>
          <w:tcPr>
            <w:tcW w:w="376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Position</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John Kao</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Chief Executive Officer (“CEO”)</w:t>
            </w:r>
            <w:r>
              <w:rPr>
                <w:rFonts w:ascii="Times New Roman" w:hAnsi="Times New Roman"/>
                <w:sz w:val="20"/>
              </w:rPr>
              <w:t xml:space="preserve"> </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Thomas Freeman</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Dawn Maroney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President, Markets</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Dinesh Kumar</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Medical and Operating Officer</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Richard Cross</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Counsel and Corporate Secretary</w:t>
            </w:r>
          </w:p>
        </w:tc>
      </w:tr>
    </w:tbl>
    <w:p>
      <w:pPr>
        <w:pStyle w:val="TextBody"/>
        <w:spacing w:before="200" w:after="0"/>
        <w:jc w:val="left"/>
        <w:rPr>
          <w:rFonts w:ascii="Times New Roman" w:hAnsi="Times New Roman"/>
          <w:sz w:val="20"/>
        </w:rPr>
      </w:pPr>
      <w:bookmarkStart w:id="25" w:name="executive_summary"/>
      <w:bookmarkEnd w:id="25"/>
      <w:r>
        <w:rPr>
          <w:rFonts w:ascii="Arial;sans-serif" w:hAnsi="Arial;sans-serif"/>
          <w:b/>
          <w:sz w:val="20"/>
        </w:rPr>
        <w:t>Executive Summary</w:t>
      </w:r>
      <w:r>
        <w:rPr>
          <w:rFonts w:ascii="Times New Roman" w:hAnsi="Times New Roman"/>
          <w:sz w:val="20"/>
        </w:rPr>
        <w:t xml:space="preserve"> </w:t>
      </w:r>
    </w:p>
    <w:p>
      <w:pPr>
        <w:pStyle w:val="TextBody"/>
        <w:spacing w:before="240" w:after="240"/>
        <w:jc w:val="left"/>
        <w:rPr>
          <w:rFonts w:ascii="Arial;sans-serif" w:hAnsi="Arial;sans-serif"/>
          <w:b w:val="false"/>
          <w:sz w:val="20"/>
        </w:rPr>
      </w:pPr>
      <w:r>
        <w:rPr>
          <w:rFonts w:ascii="Arial;sans-serif" w:hAnsi="Arial;sans-serif"/>
          <w:b w:val="false"/>
          <w:sz w:val="20"/>
        </w:rPr>
        <w:t>Alignment is a next generation, consumer-centric platform designed to improve the healthcare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Our platform was developed to align with the six core principles that we believe will be required to successfully deliver health care in the 21st century and that represent our key competitive strengths. Our platform enables us to:</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leverage data, technology and analytics to power all aspects of our model;</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engage consumers directly and develop products to meet their needs;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proactively manage and coordinate care for our most vulnerable members;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empower providers and employ flexible care delivery models;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design and deploy innovative value-based payment models; and</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cultivate a culture of innovation.</w:t>
      </w:r>
    </w:p>
    <w:p>
      <w:pPr>
        <w:pStyle w:val="TextBody"/>
        <w:spacing w:before="0" w:after="0"/>
        <w:jc w:val="left"/>
        <w:rPr>
          <w:rFonts w:ascii="Arial;sans-serif" w:hAnsi="Arial;sans-serif"/>
          <w:b/>
          <w:i/>
          <w:sz w:val="20"/>
        </w:rPr>
      </w:pPr>
      <w:r>
        <w:rPr>
          <w:rFonts w:ascii="Arial;sans-serif" w:hAnsi="Arial;sans-serif"/>
          <w:b/>
          <w:i/>
          <w:sz w:val="20"/>
        </w:rPr>
        <w:t>2022 Business Highlights</w:t>
      </w:r>
    </w:p>
    <w:p>
      <w:pPr>
        <w:pStyle w:val="TextBody"/>
        <w:spacing w:before="0" w:after="0"/>
        <w:jc w:val="left"/>
        <w:rPr/>
      </w:pPr>
      <w:r>
        <w:rPr/>
        <w:t> </w:t>
      </w:r>
    </w:p>
    <w:p>
      <w:pPr>
        <w:pStyle w:val="TextBody"/>
        <w:spacing w:before="0" w:after="240"/>
        <w:jc w:val="left"/>
        <w:rPr>
          <w:rFonts w:ascii="Times New Roman" w:hAnsi="Times New Roman"/>
          <w:sz w:val="20"/>
        </w:rPr>
      </w:pPr>
      <w:r>
        <w:rPr>
          <w:rFonts w:ascii="Arial;sans-serif" w:hAnsi="Arial;sans-serif"/>
          <w:b w:val="false"/>
          <w:sz w:val="20"/>
        </w:rPr>
        <w:t>Our focus on quality allowed us to deliver strong financial results in fiscal 2022. We believe that ongoing strategic investments in our people and technology will continue to drive meaningful improvements in the health and quality of life of all those we serve. The following key operational and financial highlights demonstrate our strong performance for 2022:</w:t>
      </w:r>
      <w:r>
        <w:rPr>
          <w:rFonts w:ascii="Times New Roman" w:hAnsi="Times New Roman"/>
          <w:sz w:val="20"/>
        </w:rPr>
        <w:t xml:space="preserve"> </w:t>
      </w:r>
    </w:p>
    <w:p>
      <w:pPr>
        <w:pStyle w:val="TextBody"/>
        <w:spacing w:before="100" w:after="200"/>
        <w:jc w:val="left"/>
        <w:rPr/>
      </w:pPr>
      <w:r>
        <w:rPr/>
        <w:t>•</w:t>
      </w:r>
    </w:p>
    <w:p>
      <w:pPr>
        <w:pStyle w:val="TextBody"/>
        <w:spacing w:before="100" w:after="200"/>
        <w:jc w:val="left"/>
        <w:rPr>
          <w:rFonts w:ascii="Arial;sans-serif" w:hAnsi="Arial;sans-serif"/>
          <w:b w:val="false"/>
          <w:sz w:val="20"/>
        </w:rPr>
      </w:pPr>
      <w:r>
        <w:rPr>
          <w:rFonts w:ascii="Arial;sans-serif" w:hAnsi="Arial;sans-serif"/>
          <w:b w:val="false"/>
          <w:sz w:val="20"/>
        </w:rPr>
        <w:t>Health plan membership, which we define as members enrolled in our HMO and PPO contracts, as of December 31, 2022, was approximately 98,400, up 14.3% year over year, representing a 29% compound annual growth rate since 2014 across 52 markets and six states.</w:t>
      </w:r>
    </w:p>
    <w:p>
      <w:pPr>
        <w:pStyle w:val="TextBody"/>
        <w:spacing w:before="100" w:after="200"/>
        <w:jc w:val="left"/>
        <w:rPr/>
      </w:pPr>
      <w:r>
        <w:rPr/>
        <w:t>•</w:t>
      </w:r>
    </w:p>
    <w:p>
      <w:pPr>
        <w:pStyle w:val="TextBody"/>
        <w:spacing w:before="100" w:after="200"/>
        <w:jc w:val="left"/>
        <w:rPr>
          <w:rFonts w:ascii="Arial;sans-serif" w:hAnsi="Arial;sans-serif"/>
          <w:b w:val="false"/>
          <w:sz w:val="20"/>
        </w:rPr>
      </w:pPr>
      <w:r>
        <w:rPr>
          <w:rFonts w:ascii="Arial;sans-serif" w:hAnsi="Arial;sans-serif"/>
          <w:b w:val="false"/>
          <w:sz w:val="20"/>
        </w:rPr>
        <w:t>Total revenue was $1,434.2 million, up 22.8% year over year.</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Health plan premium revenue of $1,372.3 million, up 22.4% year over year.</w:t>
      </w:r>
    </w:p>
    <w:p>
      <w:pPr>
        <w:pStyle w:val="TextBody"/>
        <w:spacing w:before="100" w:after="200"/>
        <w:jc w:val="left"/>
        <w:rPr/>
      </w:pPr>
      <w:r>
        <w:rPr/>
        <w:t>•</w:t>
      </w:r>
    </w:p>
    <w:p>
      <w:pPr>
        <w:pStyle w:val="TextBody"/>
        <w:spacing w:before="100" w:after="200"/>
        <w:jc w:val="left"/>
        <w:rPr>
          <w:rFonts w:ascii="Arial;sans-serif" w:hAnsi="Arial;sans-serif"/>
          <w:b w:val="false"/>
          <w:sz w:val="20"/>
        </w:rPr>
      </w:pPr>
      <w:r>
        <w:rPr>
          <w:rFonts w:ascii="Arial;sans-serif" w:hAnsi="Arial;sans-serif"/>
          <w:b w:val="false"/>
          <w:sz w:val="20"/>
        </w:rPr>
        <w:t>Adjusted gross profit was $193.6 million and loss from operations was ($128.6) million.</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Adjusted gross profit excludes depreciation and amortization of $17.5 million and selling, general, and administrative expenses of $295.6 million (which includes $72.6 million of </w:t>
      </w:r>
    </w:p>
    <w:p>
      <w:pPr>
        <w:pStyle w:val="TextBody"/>
        <w:spacing w:before="24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0" w:after="0"/>
        <w:jc w:val="left"/>
        <w:rPr/>
      </w:pPr>
      <w:r>
        <w:rPr/>
        <w:t> </w:t>
      </w:r>
    </w:p>
    <w:p>
      <w:pPr>
        <w:pStyle w:val="TextBody"/>
        <w:spacing w:before="0" w:after="200"/>
        <w:jc w:val="left"/>
        <w:rPr>
          <w:rFonts w:ascii="Arial;sans-serif" w:hAnsi="Arial;sans-serif"/>
          <w:b w:val="false"/>
          <w:sz w:val="20"/>
        </w:rPr>
      </w:pPr>
      <w:r>
        <w:rPr>
          <w:rFonts w:ascii="Arial;sans-serif" w:hAnsi="Arial;sans-serif"/>
          <w:b w:val="false"/>
          <w:sz w:val="20"/>
        </w:rPr>
        <w:t>equity-based compensation). Adjusted gross profit also excludes an additional $9.1 million of equity-based compensation recorded within medical expenses.</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Medical benefits ratio based on adjusted gross profit was 86.5%.</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Adjusted EBITDA was ($26.7) million and net loss was ($149.6) million.</w:t>
      </w:r>
    </w:p>
    <w:p>
      <w:pPr>
        <w:pStyle w:val="TextBody"/>
        <w:spacing w:before="0" w:after="200"/>
        <w:jc w:val="left"/>
        <w:rPr>
          <w:rFonts w:ascii="Times New Roman" w:hAnsi="Times New Roman"/>
          <w:sz w:val="20"/>
        </w:rPr>
      </w:pPr>
      <w:r>
        <w:rPr>
          <w:rFonts w:ascii="Arial;sans-serif" w:hAnsi="Arial;sans-serif"/>
          <w:b w:val="false"/>
          <w:sz w:val="20"/>
        </w:rPr>
        <w:t>Adjusted gross profit and adjusted EBITDA are non-GAAP measures. An explanation of these measures, how they are calculated and reconciliations to the most directly comparable GAAP financial measures can be found in “</w:t>
      </w:r>
      <w:r>
        <w:rPr>
          <w:rFonts w:ascii="Arial;sans-serif" w:hAnsi="Arial;sans-serif"/>
          <w:b w:val="false"/>
          <w:i/>
          <w:sz w:val="20"/>
        </w:rPr>
        <w:t>Item 7. Management’s Discussion and Analysis of Financial Condition and Results of Operations—Key Business Metrics</w:t>
      </w:r>
      <w:r>
        <w:rPr>
          <w:rFonts w:ascii="Times New Roman" w:hAnsi="Times New Roman"/>
          <w:sz w:val="20"/>
        </w:rPr>
        <w:t xml:space="preserve">” </w:t>
      </w:r>
      <w:r>
        <w:rPr>
          <w:rFonts w:ascii="Arial;sans-serif" w:hAnsi="Arial;sans-serif"/>
          <w:b w:val="false"/>
          <w:sz w:val="20"/>
        </w:rPr>
        <w:t>in the Company’s Annual Report on Form 10-K for the fiscal year ended December 31, 2022 and in the Appendix to this proxy statement.</w:t>
      </w:r>
      <w:r>
        <w:rPr>
          <w:rFonts w:ascii="Times New Roman" w:hAnsi="Times New Roman"/>
          <w:sz w:val="20"/>
        </w:rPr>
        <w:t xml:space="preserve"> </w:t>
      </w:r>
    </w:p>
    <w:p>
      <w:pPr>
        <w:pStyle w:val="TextBody"/>
        <w:spacing w:before="0" w:after="0"/>
        <w:jc w:val="left"/>
        <w:rPr>
          <w:rFonts w:ascii="Arial;sans-serif" w:hAnsi="Arial;sans-serif"/>
          <w:b/>
          <w:i/>
          <w:sz w:val="20"/>
        </w:rPr>
      </w:pPr>
      <w:r>
        <w:rPr>
          <w:rFonts w:ascii="Arial;sans-serif" w:hAnsi="Arial;sans-serif"/>
          <w:b/>
          <w:i/>
          <w:sz w:val="20"/>
        </w:rPr>
        <w:t>2022 Compensation Highlights</w:t>
      </w:r>
    </w:p>
    <w:p>
      <w:pPr>
        <w:pStyle w:val="TextBody"/>
        <w:spacing w:before="200" w:after="240"/>
        <w:jc w:val="left"/>
        <w:rPr>
          <w:rFonts w:ascii="Times New Roman" w:hAnsi="Times New Roman"/>
          <w:sz w:val="20"/>
        </w:rPr>
      </w:pPr>
      <w:r>
        <w:rPr>
          <w:rFonts w:ascii="Arial;sans-serif" w:hAnsi="Arial;sans-serif"/>
          <w:b w:val="false"/>
          <w:sz w:val="20"/>
        </w:rPr>
        <w:t>Our executive compensation program has three primary elements: base salary, annual cash incentives and long-term equity incentives. Based on our performance and consistent with the design of our program, the Compensation Committee made the following executive compensation decisions for fiscal 2022:</w:t>
      </w:r>
      <w:r>
        <w:rPr>
          <w:rFonts w:ascii="Times New Roman" w:hAnsi="Times New Roman"/>
          <w:sz w:val="20"/>
        </w:rPr>
        <w:t xml:space="preserve"> </w:t>
      </w:r>
    </w:p>
    <w:p>
      <w:pPr>
        <w:pStyle w:val="TextBody"/>
        <w:spacing w:before="0" w:after="0"/>
        <w:jc w:val="left"/>
        <w:rPr/>
      </w:pPr>
      <w:r>
        <w:rPr/>
        <w:t>•</w:t>
      </w:r>
    </w:p>
    <w:p>
      <w:pPr>
        <w:pStyle w:val="TextBody"/>
        <w:jc w:val="left"/>
        <w:rPr/>
      </w:pPr>
      <w:r>
        <w:rPr>
          <w:rFonts w:ascii="Arial;sans-serif" w:hAnsi="Arial;sans-serif"/>
          <w:b/>
          <w:sz w:val="20"/>
        </w:rPr>
        <w:t xml:space="preserve">Base Salaries. </w:t>
      </w:r>
      <w:r>
        <w:rPr>
          <w:rFonts w:ascii="Arial;sans-serif" w:hAnsi="Arial;sans-serif"/>
          <w:b w:val="false"/>
          <w:sz w:val="20"/>
        </w:rPr>
        <w:t>For 2022, each of our executives received base salary increases, as further described below, in order to align their compensation with the market for similar roles and responsibilities.</w:t>
      </w:r>
    </w:p>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rFonts w:ascii="Arial;sans-serif" w:hAnsi="Arial;sans-serif"/>
          <w:b/>
          <w:sz w:val="20"/>
        </w:rPr>
        <w:t xml:space="preserve">Annual Cash Incentives. </w:t>
      </w:r>
      <w:r>
        <w:rPr>
          <w:rFonts w:ascii="Arial;sans-serif" w:hAnsi="Arial;sans-serif"/>
          <w:b w:val="false"/>
          <w:sz w:val="20"/>
        </w:rPr>
        <w:t xml:space="preserve">Following our IPO, the Compensation Committee established an Annual Incentive Plan which provides for annual cash bonuses based in part on the achievement of corporate goals. The goals, which remained consistent for 2022, have been selected and weighted to align our executives’ incentives with a strategic growth agenda. Based on our financial performance in 2022, the Compensation Committee determined that corporate goals under the Annual Incentive Plan were achieved at 125% of each NEO’s applicable bonus target (for NEOs other than the CEO, corporate goals determine 75% of the overall payout; for the CEO, corporate goals determine 100% of the overall payout). The committee also made determinations regarding the achievement of individual performance goals for our NEOs, which ranged from 83% to 93% (individual goals determine 25% of overall payout for NEOs other than the CEO, whose payout is not influenced by individual goal performance). </w:t>
      </w:r>
    </w:p>
    <w:p>
      <w:pPr>
        <w:pStyle w:val="TextBody"/>
        <w:spacing w:before="240" w:after="200"/>
        <w:jc w:val="left"/>
        <w:rPr/>
      </w:pPr>
      <w:r>
        <w:rPr/>
        <w:t>•</w:t>
      </w:r>
    </w:p>
    <w:p>
      <w:pPr>
        <w:pStyle w:val="TextBody"/>
        <w:spacing w:before="240" w:after="200"/>
        <w:jc w:val="left"/>
        <w:rPr/>
      </w:pPr>
      <w:r>
        <w:rPr>
          <w:rFonts w:ascii="Arial;sans-serif" w:hAnsi="Arial;sans-serif"/>
          <w:b/>
          <w:sz w:val="20"/>
        </w:rPr>
        <w:t>Long-Term Equity Incentives</w:t>
      </w:r>
      <w:r>
        <w:rPr>
          <w:rFonts w:ascii="Arial;sans-serif" w:hAnsi="Arial;sans-serif"/>
          <w:b w:val="false"/>
          <w:sz w:val="20"/>
        </w:rPr>
        <w:t>. In February 2022, the Compensation Committee approved a regular annual equity award to Company employees to recognize and reward performance. The annual grants were granted using a mix of restricted stock units (75% of grant value) and nonqualified stock options (25% of grant value) for the Named Executive Officers. Stock options only share in appreciation above the exercise price. In September 2022, the Compensation Committee approved additional equity awards to a broad group of senior-level Company employees, including our NEOs, designed to recognize our recent strong financial performance and to support our talent retention objectives. The Compensation Committee continued to evaluate its approach to long-term equity incentive compensation and affirmed its commitment to designing a program that aligns the interests of our executives and stockholders each year. Details on our anticipated regular long-term equity incentives are described further below. See “</w:t>
      </w:r>
      <w:r>
        <w:rPr/>
        <w:t>—</w:t>
      </w:r>
      <w:r>
        <w:rPr>
          <w:rFonts w:ascii="Arial;sans-serif" w:hAnsi="Arial;sans-serif"/>
          <w:b w:val="false"/>
          <w:i/>
          <w:sz w:val="20"/>
        </w:rPr>
        <w:t>2022 Executive Compensation Program in Detail—Long-Term Equity Incentives</w:t>
      </w:r>
      <w:r>
        <w:rPr>
          <w:rFonts w:ascii="Arial;sans-serif" w:hAnsi="Arial;sans-serif"/>
          <w:b w:val="false"/>
          <w:sz w:val="20"/>
        </w:rPr>
        <w:t>.”</w:t>
      </w:r>
    </w:p>
    <w:p>
      <w:pPr>
        <w:pStyle w:val="TextBody"/>
        <w:spacing w:before="240" w:after="200"/>
        <w:jc w:val="left"/>
        <w:rPr>
          <w:rFonts w:ascii="Arial;sans-serif" w:hAnsi="Arial;sans-serif"/>
          <w:b/>
          <w:i/>
          <w:sz w:val="20"/>
        </w:rPr>
      </w:pPr>
      <w:r>
        <w:rPr>
          <w:rFonts w:ascii="Arial;sans-serif" w:hAnsi="Arial;sans-serif"/>
          <w:b/>
          <w:i/>
          <w:sz w:val="20"/>
        </w:rPr>
        <w:t>Advisory Vote on Executive Compensation (“Say on Pay”)</w:t>
      </w:r>
    </w:p>
    <w:p>
      <w:pPr>
        <w:pStyle w:val="TextBody"/>
        <w:spacing w:before="240" w:after="200"/>
        <w:jc w:val="left"/>
        <w:rPr>
          <w:rFonts w:ascii="Times New Roman" w:hAnsi="Times New Roman"/>
          <w:sz w:val="20"/>
        </w:rPr>
      </w:pPr>
      <w:r>
        <w:rPr>
          <w:rFonts w:ascii="Arial;sans-serif" w:hAnsi="Arial;sans-serif"/>
          <w:b w:val="false"/>
          <w:sz w:val="20"/>
        </w:rPr>
        <w:t>We are no longer an “emerging growth company” as defined in the Jumpstart Our Business Startups Act. As such, our stockholders will have their first opportunity to cast a non-binding advisory vote to approve our executive compensation at the Annual Meeting. Our largest investors are represented 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0" w:after="0"/>
        <w:jc w:val="left"/>
        <w:rPr/>
      </w:pPr>
      <w:r>
        <w:rPr/>
        <w:t> </w:t>
      </w:r>
    </w:p>
    <w:p>
      <w:pPr>
        <w:pStyle w:val="TextBody"/>
        <w:spacing w:before="240" w:after="200"/>
        <w:jc w:val="left"/>
        <w:rPr>
          <w:rFonts w:ascii="Arial;sans-serif" w:hAnsi="Arial;sans-serif"/>
          <w:b w:val="false"/>
          <w:sz w:val="20"/>
        </w:rPr>
      </w:pPr>
      <w:r>
        <w:rPr>
          <w:rFonts w:ascii="Arial;sans-serif" w:hAnsi="Arial;sans-serif"/>
          <w:b w:val="false"/>
          <w:sz w:val="20"/>
        </w:rPr>
        <w:t>our Board of Directors and our Compensation Committee and have been instrumental in the design of our executive compensation program. As we continue to mature as a public company, we intend to broaden our stockholder engagement efforts and facilitate open and ongoing dialogues with key stakeholders with respect to executive compensation to help ensure that we remain apprised of investor perspectives. In the future, we will consider the feedback we receive from our major stockholders as well as the outcome of say-on-pay votes when making compensation decisions regarding our NEOs. We intend to conduct say-on-pay votes on an annual basis.</w:t>
      </w:r>
    </w:p>
    <w:p>
      <w:pPr>
        <w:pStyle w:val="TextBody"/>
        <w:spacing w:before="200" w:after="0"/>
        <w:jc w:val="left"/>
        <w:rPr>
          <w:rFonts w:ascii="Arial;sans-serif" w:hAnsi="Arial;sans-serif"/>
          <w:b/>
          <w:sz w:val="20"/>
        </w:rPr>
      </w:pPr>
      <w:bookmarkStart w:id="26" w:name="compensation_best_practices_policies"/>
      <w:bookmarkEnd w:id="26"/>
      <w:r>
        <w:rPr>
          <w:rFonts w:ascii="Arial;sans-serif" w:hAnsi="Arial;sans-serif"/>
          <w:b/>
          <w:sz w:val="20"/>
        </w:rPr>
        <w:t>Compensation Best Practices &amp; Policies</w:t>
      </w:r>
    </w:p>
    <w:p>
      <w:pPr>
        <w:pStyle w:val="TextBody"/>
        <w:spacing w:before="240" w:after="240"/>
        <w:jc w:val="left"/>
        <w:rPr>
          <w:rFonts w:ascii="Arial;sans-serif" w:hAnsi="Arial;sans-serif"/>
          <w:b w:val="false"/>
          <w:sz w:val="20"/>
        </w:rPr>
      </w:pPr>
      <w:r>
        <w:rPr>
          <w:rFonts w:ascii="Arial;sans-serif" w:hAnsi="Arial;sans-serif"/>
          <w:b w:val="false"/>
          <w:sz w:val="20"/>
        </w:rPr>
        <w:t>We believe the following practices and policies within our program promote sound compensation governance and are in the best interests of our stockholders and executives:</w:t>
      </w:r>
    </w:p>
    <w:tbl>
      <w:tblPr>
        <w:tblW w:w="10205" w:type="dxa"/>
        <w:jc w:val="left"/>
        <w:tblInd w:w="0" w:type="dxa"/>
        <w:tblCellMar>
          <w:top w:w="28" w:type="dxa"/>
          <w:left w:w="28" w:type="dxa"/>
          <w:bottom w:w="28" w:type="dxa"/>
          <w:right w:w="28" w:type="dxa"/>
        </w:tblCellMar>
      </w:tblPr>
      <w:tblGrid>
        <w:gridCol w:w="301"/>
        <w:gridCol w:w="6425"/>
        <w:gridCol w:w="286"/>
        <w:gridCol w:w="3193"/>
      </w:tblGrid>
      <w:tr>
        <w:trPr/>
        <w:tc>
          <w:tcPr>
            <w:tcW w:w="301" w:type="dxa"/>
            <w:tcBorders/>
            <w:shd w:fill="auto" w:val="clear"/>
            <w:vAlign w:val="center"/>
          </w:tcPr>
          <w:p>
            <w:pPr>
              <w:pStyle w:val="TableContents"/>
              <w:spacing w:before="0" w:after="283"/>
              <w:rPr>
                <w:sz w:val="4"/>
                <w:szCs w:val="4"/>
              </w:rPr>
            </w:pPr>
            <w:r>
              <w:rPr>
                <w:sz w:val="4"/>
                <w:szCs w:val="4"/>
              </w:rPr>
            </w:r>
          </w:p>
        </w:tc>
        <w:tc>
          <w:tcPr>
            <w:tcW w:w="642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93" w:type="dxa"/>
            <w:tcBorders/>
            <w:shd w:fill="auto" w:val="clear"/>
            <w:vAlign w:val="center"/>
          </w:tcPr>
          <w:p>
            <w:pPr>
              <w:pStyle w:val="TableContents"/>
              <w:spacing w:before="0" w:after="283"/>
              <w:rPr>
                <w:sz w:val="4"/>
                <w:szCs w:val="4"/>
              </w:rPr>
            </w:pPr>
            <w:r>
              <w:rPr>
                <w:sz w:val="4"/>
                <w:szCs w:val="4"/>
              </w:rPr>
            </w:r>
          </w:p>
        </w:tc>
      </w:tr>
      <w:tr>
        <w:trPr/>
        <w:tc>
          <w:tcPr>
            <w:tcW w:w="6726"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What We Do</w:t>
            </w:r>
          </w:p>
        </w:tc>
        <w:tc>
          <w:tcPr>
            <w:tcW w:w="3479"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What We Don’t Do</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Set total direct compensation within a competitive range of our peer group to ensure that it is aligned with the level of position, experience, skills and performance of the executive</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pPr>
            <w:r>
              <w:rPr/>
              <w:t></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No guaranteed or uncapped incentive payouts in our annual bonus plan</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Times New Roman" w:hAnsi="Times New Roman"/>
                <w:sz w:val="20"/>
              </w:rPr>
            </w:pPr>
            <w:r>
              <w:rPr>
                <w:rFonts w:ascii="Arial;sans-serif" w:hAnsi="Arial;sans-serif"/>
                <w:b w:val="false"/>
                <w:sz w:val="20"/>
              </w:rPr>
              <w:t>Emphasize variable pay over fixed pay, with a significant portion tied to our financial results</w:t>
            </w:r>
            <w:r>
              <w:rPr>
                <w:rFonts w:ascii="Times New Roman" w:hAnsi="Times New Roman"/>
                <w:sz w:val="20"/>
              </w:rPr>
              <w:t xml:space="preserve"> </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No repricing or exchange of underwater options without stockholder approval</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Disclose our corporate performance goals and achievements relative to these goals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No option or stock appreciation rights granted below fair market value</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Times New Roman" w:hAnsi="Times New Roman"/>
                <w:sz w:val="20"/>
              </w:rPr>
            </w:pPr>
            <w:r>
              <w:rPr>
                <w:rFonts w:ascii="Arial;sans-serif" w:hAnsi="Arial;sans-serif"/>
                <w:b w:val="false"/>
                <w:sz w:val="20"/>
              </w:rPr>
              <w:t>Use an independent compensation consultant</w:t>
            </w:r>
            <w:r>
              <w:rPr>
                <w:rFonts w:ascii="Times New Roman" w:hAnsi="Times New Roman"/>
                <w:sz w:val="20"/>
              </w:rPr>
              <w:t xml:space="preserve"> </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No significant perquisites</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Maintain anti-hedging and anti-pledging policies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No tax gross-ups, other than for certain relocation expenses</w:t>
            </w:r>
          </w:p>
        </w:tc>
      </w:tr>
      <w:tr>
        <w:trPr/>
        <w:tc>
          <w:tcPr>
            <w:tcW w:w="3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w:t>
            </w:r>
          </w:p>
        </w:tc>
        <w:tc>
          <w:tcPr>
            <w:tcW w:w="642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left"/>
              <w:rPr>
                <w:rFonts w:ascii="Arial;sans-serif" w:hAnsi="Arial;sans-serif"/>
                <w:b w:val="false"/>
                <w:sz w:val="20"/>
              </w:rPr>
            </w:pPr>
            <w:r>
              <w:rPr>
                <w:rFonts w:ascii="Arial;sans-serif" w:hAnsi="Arial;sans-serif"/>
                <w:b w:val="false"/>
                <w:sz w:val="20"/>
              </w:rPr>
              <w:t>Conduct an annual advisory vote on the compensation of our NEOs.</w:t>
            </w:r>
          </w:p>
        </w:tc>
        <w:tc>
          <w:tcPr>
            <w:tcW w:w="2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120"/>
              <w:ind w:left="0" w:right="0" w:hanging="0"/>
              <w:jc w:val="center"/>
              <w:rPr/>
            </w:pPr>
            <w:r>
              <w:rPr/>
              <w:t> </w:t>
            </w:r>
          </w:p>
        </w:tc>
        <w:tc>
          <w:tcPr>
            <w:tcW w:w="3193" w:type="dxa"/>
            <w:tcBorders>
              <w:bottom w:val="single" w:sz="2" w:space="0" w:color="000000"/>
            </w:tcBorders>
            <w:shd w:fill="auto" w:val="clear"/>
            <w:tcMar>
              <w:top w:w="0" w:type="dxa"/>
              <w:left w:w="0" w:type="dxa"/>
              <w:right w:w="0" w:type="dxa"/>
            </w:tcMar>
            <w:vAlign w:val="center"/>
          </w:tcPr>
          <w:p>
            <w:pPr>
              <w:pStyle w:val="TableContents"/>
              <w:spacing w:before="0" w:after="120"/>
              <w:ind w:left="0" w:right="0" w:hanging="0"/>
              <w:jc w:val="left"/>
              <w:rPr/>
            </w:pPr>
            <w:r>
              <w:rPr/>
              <w:t> </w:t>
            </w:r>
          </w:p>
        </w:tc>
      </w:tr>
    </w:tbl>
    <w:p>
      <w:pPr>
        <w:pStyle w:val="TextBody"/>
        <w:spacing w:before="200" w:after="0"/>
        <w:jc w:val="left"/>
        <w:rPr>
          <w:rFonts w:ascii="Arial;sans-serif" w:hAnsi="Arial;sans-serif"/>
          <w:b/>
          <w:i/>
          <w:sz w:val="20"/>
        </w:rPr>
      </w:pPr>
      <w:r>
        <w:rPr>
          <w:rFonts w:ascii="Arial;sans-serif" w:hAnsi="Arial;sans-serif"/>
          <w:b/>
          <w:i/>
          <w:sz w:val="20"/>
        </w:rPr>
        <w:t>Recent Changes to Our Compensation Program</w:t>
      </w:r>
    </w:p>
    <w:p>
      <w:pPr>
        <w:pStyle w:val="TextBody"/>
        <w:spacing w:before="200" w:after="0"/>
        <w:jc w:val="left"/>
        <w:rPr>
          <w:rFonts w:ascii="Arial;sans-serif" w:hAnsi="Arial;sans-serif"/>
          <w:b w:val="false"/>
          <w:sz w:val="20"/>
        </w:rPr>
      </w:pPr>
      <w:r>
        <w:rPr>
          <w:rFonts w:ascii="Arial;sans-serif" w:hAnsi="Arial;sans-serif"/>
          <w:b w:val="false"/>
          <w:sz w:val="20"/>
        </w:rPr>
        <w:t>Our compensation programs continue to evolve as we mature as a public company and the Compensation Committee continues to implement sound governance practices. Recent changes to our compensation program include the following:</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In February 2022, the Compensation Committee recommended, and the full Board approved, stock ownership guidelines for non-employee directors in line with market best practices.</w:t>
      </w:r>
    </w:p>
    <w:p>
      <w:pPr>
        <w:pStyle w:val="TextBody"/>
        <w:spacing w:before="200" w:after="200"/>
        <w:jc w:val="left"/>
        <w:rPr/>
      </w:pPr>
      <w:r>
        <w:rPr/>
        <w:t>•</w:t>
      </w:r>
    </w:p>
    <w:p>
      <w:pPr>
        <w:pStyle w:val="TextBody"/>
        <w:spacing w:before="200" w:after="200"/>
        <w:jc w:val="left"/>
        <w:rPr/>
      </w:pPr>
      <w:r>
        <w:rPr>
          <w:rFonts w:ascii="Arial;sans-serif" w:hAnsi="Arial;sans-serif"/>
          <w:b w:val="false"/>
          <w:sz w:val="20"/>
        </w:rPr>
        <w:t>For fiscal 2023, the Compensation Committee determined that cash payouts under our Annual Incentive Plan will be capped at 200% of bonus target. See “</w:t>
      </w:r>
      <w:r>
        <w:rPr/>
        <w:t>—</w:t>
      </w:r>
      <w:r>
        <w:rPr>
          <w:rFonts w:ascii="Arial;sans-serif" w:hAnsi="Arial;sans-serif"/>
          <w:b w:val="false"/>
          <w:i/>
          <w:sz w:val="20"/>
        </w:rPr>
        <w:t>Annual Incentives—2022 Annual Incentive Plan Payouts</w:t>
      </w:r>
      <w:r>
        <w:rPr/>
        <w:t xml:space="preserve">” </w:t>
      </w:r>
      <w:r>
        <w:rPr>
          <w:rFonts w:ascii="Arial;sans-serif" w:hAnsi="Arial;sans-serif"/>
          <w:b w:val="false"/>
          <w:sz w:val="20"/>
        </w:rPr>
        <w:t>for more information.</w:t>
      </w:r>
    </w:p>
    <w:p>
      <w:pPr>
        <w:pStyle w:val="TextBody"/>
        <w:spacing w:before="200" w:after="0"/>
        <w:jc w:val="left"/>
        <w:rPr/>
      </w:pPr>
      <w:r>
        <w:rPr/>
        <w:t>•</w:t>
      </w:r>
    </w:p>
    <w:p>
      <w:pPr>
        <w:pStyle w:val="TextBody"/>
        <w:spacing w:before="200" w:after="0"/>
        <w:jc w:val="left"/>
        <w:rPr/>
      </w:pPr>
      <w:r>
        <w:rPr>
          <w:rFonts w:ascii="Arial;sans-serif" w:hAnsi="Arial;sans-serif"/>
          <w:b w:val="false"/>
          <w:sz w:val="20"/>
        </w:rPr>
        <w:t>For fiscal 2023, the Compensation Committee modified the Annual Incentive Plan bonus modifier to provide greater incentive for achievement of high CMS Star Ratings. Among other changes, for the 2023 fiscal year, 75% of each NEO’s payout will be paid in March 2024, with the remaining 25% held back and subject to achievement of CMS Star Ratings-related performance measures. See “</w:t>
      </w:r>
      <w:r>
        <w:rPr/>
        <w:t>—</w:t>
      </w:r>
      <w:r>
        <w:rPr>
          <w:rFonts w:ascii="Arial;sans-serif" w:hAnsi="Arial;sans-serif"/>
          <w:b w:val="false"/>
          <w:i/>
          <w:sz w:val="20"/>
        </w:rPr>
        <w:t>Annual Incentives—2022 Annual Incentive Plan Payouts—Adjustment for CMS Star Ratings</w:t>
      </w:r>
      <w:r>
        <w:rPr/>
        <w:t xml:space="preserve">” </w:t>
      </w:r>
      <w:r>
        <w:rPr>
          <w:rFonts w:ascii="Arial;sans-serif" w:hAnsi="Arial;sans-serif"/>
          <w:b w:val="false"/>
          <w:sz w:val="20"/>
        </w:rPr>
        <w:t>for more information.</w:t>
      </w:r>
    </w:p>
    <w:p>
      <w:pPr>
        <w:pStyle w:val="TextBody"/>
        <w:spacing w:before="200" w:after="0"/>
        <w:jc w:val="left"/>
        <w:rPr/>
      </w:pPr>
      <w:r>
        <w:rPr/>
        <w:t>•</w:t>
      </w:r>
    </w:p>
    <w:p>
      <w:pPr>
        <w:pStyle w:val="TextBody"/>
        <w:spacing w:before="200" w:after="283"/>
        <w:jc w:val="left"/>
        <w:rPr>
          <w:rFonts w:ascii="Arial;sans-serif" w:hAnsi="Arial;sans-serif"/>
          <w:b w:val="false"/>
          <w:sz w:val="20"/>
        </w:rPr>
      </w:pPr>
      <w:r>
        <w:rPr>
          <w:rFonts w:ascii="Arial;sans-serif" w:hAnsi="Arial;sans-serif"/>
          <w:b w:val="false"/>
          <w:sz w:val="20"/>
        </w:rPr>
        <w:t>In April 2023, following the Nasdaq Stock Market’s issuance of its proposed listing standard, we began the process of implementing a compliant executive compensation clawback policy and intend to have a policy in place at the required time as put forward by the SEC and Nasdaq.</w:t>
      </w:r>
    </w:p>
    <w:p>
      <w:pPr>
        <w:pStyle w:val="TextBody"/>
        <w:spacing w:before="240" w:after="0"/>
        <w:jc w:val="center"/>
        <w:rPr>
          <w:rFonts w:ascii="Arial;sans-serif" w:hAnsi="Arial;sans-serif"/>
          <w:b w:val="false"/>
          <w:sz w:val="20"/>
        </w:rPr>
      </w:pPr>
      <w:r>
        <w:rPr>
          <w:rFonts w:ascii="Arial;sans-serif" w:hAnsi="Arial;sans-serif"/>
          <w:b w:val="false"/>
          <w:sz w:val="20"/>
        </w:rPr>
        <w:t>41</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27" w:name="what_guides_our_program"/>
      <w:bookmarkEnd w:id="27"/>
      <w:r>
        <w:rPr>
          <w:rFonts w:ascii="Arial;sans-serif" w:hAnsi="Arial;sans-serif"/>
          <w:b/>
          <w:sz w:val="20"/>
        </w:rPr>
        <w:t>What Guides Our Program</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Executive Compensation Philosophy and Objectives</w:t>
      </w:r>
    </w:p>
    <w:p>
      <w:pPr>
        <w:pStyle w:val="TextBody"/>
        <w:spacing w:before="200" w:after="120"/>
        <w:jc w:val="left"/>
        <w:rPr>
          <w:rFonts w:ascii="Times New Roman" w:hAnsi="Times New Roman"/>
          <w:sz w:val="20"/>
        </w:rPr>
      </w:pPr>
      <w:r>
        <w:rPr>
          <w:rFonts w:ascii="Arial;sans-serif" w:hAnsi="Arial;sans-serif"/>
          <w:b w:val="false"/>
          <w:sz w:val="20"/>
        </w:rPr>
        <w:t>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72"/>
        <w:gridCol w:w="8333"/>
      </w:tblGrid>
      <w:tr>
        <w:trPr/>
        <w:tc>
          <w:tcPr>
            <w:tcW w:w="1872" w:type="dxa"/>
            <w:tcBorders/>
            <w:shd w:fill="auto" w:val="clear"/>
            <w:vAlign w:val="center"/>
          </w:tcPr>
          <w:p>
            <w:pPr>
              <w:pStyle w:val="TableContents"/>
              <w:spacing w:before="0" w:after="283"/>
              <w:rPr>
                <w:sz w:val="4"/>
                <w:szCs w:val="4"/>
              </w:rPr>
            </w:pPr>
            <w:r>
              <w:rPr>
                <w:sz w:val="4"/>
                <w:szCs w:val="4"/>
              </w:rPr>
            </w:r>
          </w:p>
        </w:tc>
        <w:tc>
          <w:tcPr>
            <w:tcW w:w="8333" w:type="dxa"/>
            <w:tcBorders/>
            <w:shd w:fill="auto" w:val="clear"/>
            <w:vAlign w:val="center"/>
          </w:tcPr>
          <w:p>
            <w:pPr>
              <w:pStyle w:val="TableContents"/>
              <w:spacing w:before="0" w:after="283"/>
              <w:rPr>
                <w:sz w:val="4"/>
                <w:szCs w:val="4"/>
              </w:rPr>
            </w:pPr>
            <w:r>
              <w:rPr>
                <w:sz w:val="4"/>
                <w:szCs w:val="4"/>
              </w:rPr>
            </w:r>
          </w:p>
        </w:tc>
      </w:tr>
      <w:tr>
        <w:trPr/>
        <w:tc>
          <w:tcPr>
            <w:tcW w:w="187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3"/>
              <w:jc w:val="left"/>
              <w:rPr/>
            </w:pPr>
            <w:r>
              <w:rPr/>
              <w:t> </w:t>
            </w:r>
          </w:p>
        </w:tc>
        <w:tc>
          <w:tcPr>
            <w:tcW w:w="833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3"/>
              <w:jc w:val="left"/>
              <w:rPr/>
            </w:pPr>
            <w:r>
              <w:rPr/>
              <w:t> </w:t>
            </w:r>
          </w:p>
        </w:tc>
      </w:tr>
      <w:tr>
        <w:trPr/>
        <w:tc>
          <w:tcPr>
            <w:tcW w:w="187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0"/>
              <w:ind w:left="0" w:right="0" w:firstLine="43"/>
              <w:jc w:val="left"/>
              <w:rPr>
                <w:rFonts w:ascii="Arial;sans-serif" w:hAnsi="Arial;sans-serif"/>
                <w:b/>
                <w:sz w:val="18"/>
              </w:rPr>
            </w:pPr>
            <w:r>
              <w:rPr>
                <w:rFonts w:ascii="Arial;sans-serif" w:hAnsi="Arial;sans-serif"/>
                <w:b/>
                <w:sz w:val="18"/>
              </w:rPr>
              <w:t>Attraction and Retention</w:t>
            </w:r>
          </w:p>
        </w:tc>
        <w:tc>
          <w:tcPr>
            <w:tcW w:w="8333"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firstLine="43"/>
              <w:jc w:val="left"/>
              <w:rPr>
                <w:rFonts w:ascii="Arial;sans-serif" w:hAnsi="Arial;sans-serif"/>
                <w:b w:val="false"/>
                <w:sz w:val="18"/>
              </w:rPr>
            </w:pPr>
            <w:r>
              <w:rPr>
                <w:rFonts w:ascii="Arial;sans-serif" w:hAnsi="Arial;sans-serif"/>
                <w:b w:val="false"/>
                <w:sz w:val="18"/>
              </w:rPr>
              <w:t>Our compensation program should enable the Company to attract and retain highly talented people with exceptional leadership capabilities.</w:t>
            </w:r>
          </w:p>
        </w:tc>
      </w:tr>
      <w:tr>
        <w:trPr/>
        <w:tc>
          <w:tcPr>
            <w:tcW w:w="187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0"/>
              <w:ind w:left="0" w:right="0" w:firstLine="43"/>
              <w:jc w:val="left"/>
              <w:rPr>
                <w:rFonts w:ascii="Arial;sans-serif" w:hAnsi="Arial;sans-serif"/>
                <w:b/>
                <w:sz w:val="18"/>
              </w:rPr>
            </w:pPr>
            <w:r>
              <w:rPr>
                <w:rFonts w:ascii="Arial;sans-serif" w:hAnsi="Arial;sans-serif"/>
                <w:b/>
                <w:sz w:val="18"/>
              </w:rPr>
              <w:t>Competitiveness</w:t>
            </w:r>
          </w:p>
        </w:tc>
        <w:tc>
          <w:tcPr>
            <w:tcW w:w="8333"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firstLine="43"/>
              <w:jc w:val="left"/>
              <w:rPr>
                <w:rFonts w:ascii="Arial;sans-serif" w:hAnsi="Arial;sans-serif"/>
                <w:b w:val="false"/>
                <w:sz w:val="18"/>
              </w:rPr>
            </w:pPr>
            <w:r>
              <w:rPr>
                <w:rFonts w:ascii="Arial;sans-serif" w:hAnsi="Arial;sans-serif"/>
                <w:b w:val="false"/>
                <w:sz w:val="18"/>
              </w:rPr>
              <w:t>We seek to provide total compensation opportunity levels that are competitive with those being offered to individuals holding comparable positions at other companies with which we compete for business and leadership talent.</w:t>
            </w:r>
          </w:p>
        </w:tc>
      </w:tr>
      <w:tr>
        <w:trPr/>
        <w:tc>
          <w:tcPr>
            <w:tcW w:w="187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0"/>
              <w:ind w:left="0" w:right="0" w:firstLine="43"/>
              <w:jc w:val="left"/>
              <w:rPr>
                <w:rFonts w:ascii="Arial;sans-serif" w:hAnsi="Arial;sans-serif"/>
                <w:b/>
                <w:sz w:val="18"/>
              </w:rPr>
            </w:pPr>
            <w:r>
              <w:rPr>
                <w:rFonts w:ascii="Arial;sans-serif" w:hAnsi="Arial;sans-serif"/>
                <w:b/>
                <w:sz w:val="18"/>
              </w:rPr>
              <w:t>Stockholder Alignment</w:t>
            </w:r>
          </w:p>
        </w:tc>
        <w:tc>
          <w:tcPr>
            <w:tcW w:w="8333"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firstLine="43"/>
              <w:jc w:val="left"/>
              <w:rPr>
                <w:rFonts w:ascii="Arial;sans-serif" w:hAnsi="Arial;sans-serif"/>
                <w:b w:val="false"/>
                <w:sz w:val="18"/>
              </w:rPr>
            </w:pPr>
            <w:r>
              <w:rPr>
                <w:rFonts w:ascii="Arial;sans-serif" w:hAnsi="Arial;sans-serif"/>
                <w:b w:val="false"/>
                <w:sz w:val="18"/>
              </w:rPr>
              <w:t>We employ pay elements that are designed to create long-term value for our stockholders, as well as foster a culture of ownership in the Company.</w:t>
            </w:r>
          </w:p>
        </w:tc>
      </w:tr>
      <w:tr>
        <w:trPr/>
        <w:tc>
          <w:tcPr>
            <w:tcW w:w="187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0"/>
              <w:ind w:left="0" w:right="0" w:firstLine="43"/>
              <w:jc w:val="left"/>
              <w:rPr>
                <w:rFonts w:ascii="Arial;sans-serif" w:hAnsi="Arial;sans-serif"/>
                <w:b/>
                <w:sz w:val="18"/>
              </w:rPr>
            </w:pPr>
            <w:r>
              <w:rPr>
                <w:rFonts w:ascii="Arial;sans-serif" w:hAnsi="Arial;sans-serif"/>
                <w:b/>
                <w:sz w:val="18"/>
              </w:rPr>
              <w:t>Pay for Performance</w:t>
            </w:r>
          </w:p>
        </w:tc>
        <w:tc>
          <w:tcPr>
            <w:tcW w:w="8333" w:type="dxa"/>
            <w:tcBorders>
              <w:bottom w:val="single" w:sz="2" w:space="0" w:color="000000"/>
            </w:tcBorders>
            <w:shd w:fill="auto" w:val="clear"/>
            <w:tcMar>
              <w:top w:w="0" w:type="dxa"/>
              <w:left w:w="0" w:type="dxa"/>
              <w:right w:w="0" w:type="dxa"/>
            </w:tcMar>
            <w:vAlign w:val="center"/>
          </w:tcPr>
          <w:p>
            <w:pPr>
              <w:pStyle w:val="TableContents"/>
              <w:spacing w:before="120" w:after="120"/>
              <w:ind w:left="0" w:right="0" w:firstLine="43"/>
              <w:jc w:val="left"/>
              <w:rPr>
                <w:rFonts w:ascii="Arial;sans-serif" w:hAnsi="Arial;sans-serif"/>
                <w:b w:val="false"/>
                <w:sz w:val="18"/>
              </w:rPr>
            </w:pPr>
            <w:r>
              <w:rPr>
                <w:rFonts w:ascii="Arial;sans-serif" w:hAnsi="Arial;sans-serif"/>
                <w:b w:val="false"/>
                <w:sz w:val="18"/>
              </w:rPr>
              <w:t>Our program is designed to ensure that a significant portion of an executive’s total compensation is variable (“at risk”) and dependent upon the attainment of certain specific and measurable short-term and long-term business performance objectives.</w:t>
            </w:r>
          </w:p>
        </w:tc>
      </w:tr>
      <w:tr>
        <w:trPr/>
        <w:tc>
          <w:tcPr>
            <w:tcW w:w="187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120" w:after="0"/>
              <w:ind w:left="0" w:right="0" w:firstLine="43"/>
              <w:jc w:val="left"/>
              <w:rPr>
                <w:rFonts w:ascii="Arial;sans-serif" w:hAnsi="Arial;sans-serif"/>
                <w:b/>
                <w:sz w:val="18"/>
              </w:rPr>
            </w:pPr>
            <w:r>
              <w:rPr>
                <w:rFonts w:ascii="Arial;sans-serif" w:hAnsi="Arial;sans-serif"/>
                <w:b/>
                <w:sz w:val="18"/>
              </w:rPr>
              <w:t>Responsible Governance</w:t>
            </w:r>
          </w:p>
        </w:tc>
        <w:tc>
          <w:tcPr>
            <w:tcW w:w="8333" w:type="dxa"/>
            <w:tcBorders>
              <w:bottom w:val="single" w:sz="2" w:space="0" w:color="000000"/>
            </w:tcBorders>
            <w:shd w:fill="auto" w:val="clear"/>
            <w:tcMar>
              <w:top w:w="0" w:type="dxa"/>
              <w:left w:w="0" w:type="dxa"/>
              <w:right w:w="0" w:type="dxa"/>
            </w:tcMar>
            <w:vAlign w:val="center"/>
          </w:tcPr>
          <w:p>
            <w:pPr>
              <w:pStyle w:val="TableContents"/>
              <w:spacing w:before="120" w:after="120"/>
              <w:ind w:left="43" w:right="80" w:hanging="0"/>
              <w:jc w:val="left"/>
              <w:rPr>
                <w:rFonts w:ascii="Arial;sans-serif" w:hAnsi="Arial;sans-serif"/>
                <w:b w:val="false"/>
                <w:sz w:val="18"/>
              </w:rPr>
            </w:pPr>
            <w:r>
              <w:rPr>
                <w:rFonts w:ascii="Arial;sans-serif" w:hAnsi="Arial;sans-serif"/>
                <w:b w:val="false"/>
                <w:sz w:val="18"/>
              </w:rPr>
              <w:t>Decisions about compensation should be guided by best-practice governance standards and rigorous processes that encourage prudent decision-making.</w:t>
            </w:r>
          </w:p>
        </w:tc>
      </w:tr>
    </w:tbl>
    <w:p>
      <w:pPr>
        <w:pStyle w:val="TextBody"/>
        <w:spacing w:before="240" w:after="240"/>
        <w:jc w:val="left"/>
        <w:rPr>
          <w:rFonts w:ascii="Arial;sans-serif" w:hAnsi="Arial;sans-serif"/>
          <w:b/>
          <w:i/>
          <w:sz w:val="20"/>
        </w:rPr>
      </w:pPr>
      <w:r>
        <w:rPr>
          <w:rFonts w:ascii="Arial;sans-serif" w:hAnsi="Arial;sans-serif"/>
          <w:b/>
          <w:i/>
          <w:sz w:val="20"/>
        </w:rPr>
        <w:t>Elements of Pay</w:t>
      </w:r>
    </w:p>
    <w:p>
      <w:pPr>
        <w:pStyle w:val="TextBody"/>
        <w:spacing w:before="240" w:after="240"/>
        <w:jc w:val="left"/>
        <w:rPr>
          <w:rFonts w:ascii="Arial;sans-serif" w:hAnsi="Arial;sans-serif"/>
          <w:b w:val="false"/>
          <w:sz w:val="20"/>
        </w:rPr>
      </w:pPr>
      <w:r>
        <w:rPr>
          <w:rFonts w:ascii="Arial;sans-serif" w:hAnsi="Arial;sans-serif"/>
          <w:b w:val="false"/>
          <w:sz w:val="20"/>
        </w:rPr>
        <w:t>The executive compensation program uses a mix of fixed and variable pay, with an emphasis on variable pay. The program is structured to create a meaningful balance between achieving strong short-term annual results while ensuring long-term viability and success. Therefore, the mix of incentives is reviewed and determined regularly by the Compensation Committee based on the short- and long-term objectives of the business. The following table illustrates the elements of pay we currently employ, the manner in which we position these elements relative to the market and the objectives achieved by each element:</w:t>
      </w:r>
    </w:p>
    <w:tbl>
      <w:tblPr>
        <w:tblW w:w="10205" w:type="dxa"/>
        <w:jc w:val="left"/>
        <w:tblInd w:w="0" w:type="dxa"/>
        <w:tblCellMar>
          <w:top w:w="28" w:type="dxa"/>
          <w:left w:w="28" w:type="dxa"/>
          <w:bottom w:w="28" w:type="dxa"/>
          <w:right w:w="28" w:type="dxa"/>
        </w:tblCellMar>
      </w:tblPr>
      <w:tblGrid>
        <w:gridCol w:w="1013"/>
        <w:gridCol w:w="1270"/>
        <w:gridCol w:w="3722"/>
        <w:gridCol w:w="4200"/>
      </w:tblGrid>
      <w:tr>
        <w:trPr/>
        <w:tc>
          <w:tcPr>
            <w:tcW w:w="1013" w:type="dxa"/>
            <w:tcBorders/>
            <w:shd w:fill="FFFFFF" w:val="clear"/>
            <w:vAlign w:val="center"/>
          </w:tcPr>
          <w:p>
            <w:pPr>
              <w:pStyle w:val="TableContents"/>
              <w:spacing w:before="0" w:after="283"/>
              <w:rPr>
                <w:sz w:val="4"/>
                <w:szCs w:val="4"/>
              </w:rPr>
            </w:pPr>
            <w:r>
              <w:rPr>
                <w:sz w:val="4"/>
                <w:szCs w:val="4"/>
              </w:rPr>
            </w:r>
          </w:p>
        </w:tc>
        <w:tc>
          <w:tcPr>
            <w:tcW w:w="1270" w:type="dxa"/>
            <w:tcBorders/>
            <w:shd w:fill="FFFFFF" w:val="clear"/>
            <w:vAlign w:val="center"/>
          </w:tcPr>
          <w:p>
            <w:pPr>
              <w:pStyle w:val="TableContents"/>
              <w:spacing w:before="0" w:after="283"/>
              <w:rPr>
                <w:sz w:val="4"/>
                <w:szCs w:val="4"/>
              </w:rPr>
            </w:pPr>
            <w:r>
              <w:rPr>
                <w:sz w:val="4"/>
                <w:szCs w:val="4"/>
              </w:rPr>
            </w:r>
          </w:p>
        </w:tc>
        <w:tc>
          <w:tcPr>
            <w:tcW w:w="3722" w:type="dxa"/>
            <w:tcBorders/>
            <w:shd w:fill="FFFFFF" w:val="clear"/>
            <w:vAlign w:val="center"/>
          </w:tcPr>
          <w:p>
            <w:pPr>
              <w:pStyle w:val="TableContents"/>
              <w:spacing w:before="0" w:after="283"/>
              <w:rPr>
                <w:sz w:val="4"/>
                <w:szCs w:val="4"/>
              </w:rPr>
            </w:pPr>
            <w:r>
              <w:rPr>
                <w:sz w:val="4"/>
                <w:szCs w:val="4"/>
              </w:rPr>
            </w:r>
          </w:p>
        </w:tc>
        <w:tc>
          <w:tcPr>
            <w:tcW w:w="4200" w:type="dxa"/>
            <w:tcBorders/>
            <w:shd w:fill="FFFFFF" w:val="clear"/>
            <w:vAlign w:val="center"/>
          </w:tcPr>
          <w:p>
            <w:pPr>
              <w:pStyle w:val="TableContents"/>
              <w:spacing w:before="0" w:after="283"/>
              <w:ind w:left="0" w:right="0" w:firstLine="40"/>
              <w:rPr>
                <w:sz w:val="4"/>
                <w:szCs w:val="4"/>
              </w:rPr>
            </w:pPr>
            <w:r>
              <w:rPr>
                <w:sz w:val="4"/>
                <w:szCs w:val="4"/>
              </w:rPr>
            </w:r>
          </w:p>
        </w:tc>
      </w:tr>
      <w:tr>
        <w:trPr/>
        <w:tc>
          <w:tcPr>
            <w:tcW w:w="101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Element</w:t>
            </w:r>
          </w:p>
        </w:tc>
        <w:tc>
          <w:tcPr>
            <w:tcW w:w="127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Target</w:t>
              <w:br/>
              <w:t>Positioning vs.</w:t>
              <w:br/>
              <w:t>Market</w:t>
            </w:r>
          </w:p>
        </w:tc>
        <w:tc>
          <w:tcPr>
            <w:tcW w:w="372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Primary Objective</w:t>
            </w:r>
          </w:p>
        </w:tc>
        <w:tc>
          <w:tcPr>
            <w:tcW w:w="420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Determination Factors</w:t>
            </w:r>
          </w:p>
        </w:tc>
      </w:tr>
      <w:tr>
        <w:trPr/>
        <w:tc>
          <w:tcPr>
            <w:tcW w:w="101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firstLine="40"/>
              <w:jc w:val="left"/>
              <w:rPr>
                <w:rFonts w:ascii="Times New Roman" w:hAnsi="Times New Roman"/>
                <w:sz w:val="18"/>
              </w:rPr>
            </w:pPr>
            <w:r>
              <w:rPr>
                <w:rFonts w:ascii="Arial;sans-serif" w:hAnsi="Arial;sans-serif"/>
                <w:b/>
                <w:sz w:val="18"/>
              </w:rPr>
              <w:t>Base Salary</w:t>
            </w:r>
            <w:r>
              <w:rPr>
                <w:rFonts w:ascii="Times New Roman" w:hAnsi="Times New Roman"/>
                <w:sz w:val="18"/>
              </w:rPr>
              <w:t xml:space="preserve"> </w:t>
            </w:r>
          </w:p>
        </w:tc>
        <w:tc>
          <w:tcPr>
            <w:tcW w:w="127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40" w:right="80" w:hanging="0"/>
              <w:jc w:val="center"/>
              <w:rPr>
                <w:rFonts w:ascii="Arial;sans-serif" w:hAnsi="Arial;sans-serif"/>
                <w:b w:val="false"/>
                <w:sz w:val="18"/>
              </w:rPr>
            </w:pPr>
            <w:r>
              <w:rPr>
                <w:rFonts w:ascii="Arial;sans-serif" w:hAnsi="Arial;sans-serif"/>
                <w:b w:val="false"/>
                <w:sz w:val="18"/>
              </w:rPr>
              <w:t>Target at Median</w:t>
            </w:r>
          </w:p>
        </w:tc>
        <w:tc>
          <w:tcPr>
            <w:tcW w:w="3722" w:type="dxa"/>
            <w:tcBorders>
              <w:bottom w:val="single" w:sz="2" w:space="0" w:color="000000"/>
            </w:tcBorders>
            <w:shd w:fill="auto" w:val="clear"/>
            <w:tcMar>
              <w:top w:w="0" w:type="dxa"/>
              <w:left w:w="0" w:type="dxa"/>
              <w:right w:w="0" w:type="dxa"/>
            </w:tcMar>
            <w:vAlign w:val="center"/>
          </w:tcPr>
          <w:p>
            <w:pPr>
              <w:pStyle w:val="TableContents"/>
              <w:spacing w:before="0" w:after="0"/>
              <w:ind w:left="0" w:right="80" w:hanging="0"/>
              <w:jc w:val="left"/>
              <w:rPr/>
            </w:pPr>
            <w:r>
              <w:rPr/>
              <w:t> </w:t>
            </w:r>
          </w:p>
          <w:p>
            <w:pPr>
              <w:pStyle w:val="TableContents"/>
              <w:spacing w:before="0" w:after="0"/>
              <w:ind w:left="86"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Attract and retain high-performing and experienced individuals</w:t>
            </w:r>
          </w:p>
          <w:p>
            <w:pPr>
              <w:pStyle w:val="TableContents"/>
              <w:spacing w:before="0" w:after="0"/>
              <w:ind w:left="86" w:right="86" w:hanging="0"/>
              <w:jc w:val="left"/>
              <w:rPr/>
            </w:pPr>
            <w:r>
              <w:rPr/>
              <w:t>•</w:t>
            </w:r>
          </w:p>
          <w:p>
            <w:pPr>
              <w:pStyle w:val="TableContents"/>
              <w:spacing w:before="0" w:after="0"/>
              <w:ind w:left="0" w:right="0" w:firstLine="389"/>
              <w:jc w:val="left"/>
              <w:rPr>
                <w:rFonts w:ascii="Arial;sans-serif" w:hAnsi="Arial;sans-serif"/>
                <w:b w:val="false"/>
                <w:sz w:val="18"/>
              </w:rPr>
            </w:pPr>
            <w:r>
              <w:rPr>
                <w:rFonts w:ascii="Arial;sans-serif" w:hAnsi="Arial;sans-serif"/>
                <w:b w:val="false"/>
                <w:sz w:val="18"/>
              </w:rPr>
              <w:t>Provide steady source of income so executives can focus on the needs of the business</w:t>
            </w:r>
          </w:p>
        </w:tc>
        <w:tc>
          <w:tcPr>
            <w:tcW w:w="4200"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Value of role in competitive marketplace</w:t>
            </w:r>
          </w:p>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Value of role to the Company</w:t>
            </w:r>
          </w:p>
          <w:p>
            <w:pPr>
              <w:pStyle w:val="TableContents"/>
              <w:spacing w:before="0" w:after="120"/>
              <w:ind w:left="29" w:right="86" w:hanging="0"/>
              <w:jc w:val="left"/>
              <w:rPr/>
            </w:pPr>
            <w:r>
              <w:rPr/>
              <w:t>•</w:t>
            </w:r>
          </w:p>
          <w:p>
            <w:pPr>
              <w:pStyle w:val="TableContents"/>
              <w:spacing w:before="0" w:after="120"/>
              <w:jc w:val="left"/>
              <w:rPr>
                <w:rFonts w:ascii="Arial;sans-serif" w:hAnsi="Arial;sans-serif"/>
                <w:b w:val="false"/>
                <w:sz w:val="18"/>
              </w:rPr>
            </w:pPr>
            <w:r>
              <w:rPr>
                <w:rFonts w:ascii="Arial;sans-serif" w:hAnsi="Arial;sans-serif"/>
                <w:b w:val="false"/>
                <w:sz w:val="18"/>
              </w:rPr>
              <w:t>Skills, experience and performance of individual compared to the market as well as others in the Company</w:t>
            </w:r>
          </w:p>
        </w:tc>
      </w:tr>
    </w:tbl>
    <w:p>
      <w:pPr>
        <w:pStyle w:val="TextBody"/>
        <w:spacing w:before="240" w:after="0"/>
        <w:jc w:val="center"/>
        <w:rPr>
          <w:rFonts w:ascii="Arial;sans-serif" w:hAnsi="Arial;sans-serif"/>
          <w:b w:val="false"/>
          <w:sz w:val="20"/>
        </w:rPr>
      </w:pPr>
      <w:r>
        <w:rPr>
          <w:rFonts w:ascii="Arial;sans-serif" w:hAnsi="Arial;sans-serif"/>
          <w:b w:val="false"/>
          <w:sz w:val="20"/>
        </w:rPr>
        <w:t>42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90"/>
        <w:gridCol w:w="1307"/>
        <w:gridCol w:w="2705"/>
        <w:gridCol w:w="4703"/>
      </w:tblGrid>
      <w:tr>
        <w:trPr/>
        <w:tc>
          <w:tcPr>
            <w:tcW w:w="1490" w:type="dxa"/>
            <w:tcBorders/>
            <w:shd w:fill="FFFFFF" w:val="clear"/>
            <w:vAlign w:val="center"/>
          </w:tcPr>
          <w:p>
            <w:pPr>
              <w:pStyle w:val="TableContents"/>
              <w:spacing w:before="0" w:after="283"/>
              <w:rPr>
                <w:sz w:val="4"/>
                <w:szCs w:val="4"/>
              </w:rPr>
            </w:pPr>
            <w:r>
              <w:rPr>
                <w:sz w:val="4"/>
                <w:szCs w:val="4"/>
              </w:rPr>
            </w:r>
          </w:p>
        </w:tc>
        <w:tc>
          <w:tcPr>
            <w:tcW w:w="1307" w:type="dxa"/>
            <w:tcBorders/>
            <w:shd w:fill="FFFFFF" w:val="clear"/>
            <w:vAlign w:val="center"/>
          </w:tcPr>
          <w:p>
            <w:pPr>
              <w:pStyle w:val="TableContents"/>
              <w:spacing w:before="0" w:after="283"/>
              <w:rPr>
                <w:sz w:val="4"/>
                <w:szCs w:val="4"/>
              </w:rPr>
            </w:pPr>
            <w:r>
              <w:rPr>
                <w:sz w:val="4"/>
                <w:szCs w:val="4"/>
              </w:rPr>
            </w:r>
          </w:p>
        </w:tc>
        <w:tc>
          <w:tcPr>
            <w:tcW w:w="2705" w:type="dxa"/>
            <w:tcBorders/>
            <w:shd w:fill="FFFFFF" w:val="clear"/>
            <w:vAlign w:val="center"/>
          </w:tcPr>
          <w:p>
            <w:pPr>
              <w:pStyle w:val="TableContents"/>
              <w:spacing w:before="0" w:after="283"/>
              <w:rPr>
                <w:sz w:val="4"/>
                <w:szCs w:val="4"/>
              </w:rPr>
            </w:pPr>
            <w:r>
              <w:rPr>
                <w:sz w:val="4"/>
                <w:szCs w:val="4"/>
              </w:rPr>
            </w:r>
          </w:p>
        </w:tc>
        <w:tc>
          <w:tcPr>
            <w:tcW w:w="4703" w:type="dxa"/>
            <w:tcBorders/>
            <w:shd w:fill="FFFFFF" w:val="clear"/>
            <w:vAlign w:val="center"/>
          </w:tcPr>
          <w:p>
            <w:pPr>
              <w:pStyle w:val="TableContents"/>
              <w:spacing w:before="0" w:after="283"/>
              <w:ind w:left="0" w:right="0" w:firstLine="40"/>
              <w:rPr>
                <w:sz w:val="4"/>
                <w:szCs w:val="4"/>
              </w:rPr>
            </w:pPr>
            <w:r>
              <w:rPr>
                <w:sz w:val="4"/>
                <w:szCs w:val="4"/>
              </w:rPr>
            </w:r>
          </w:p>
        </w:tc>
      </w:tr>
      <w:tr>
        <w:trPr/>
        <w:tc>
          <w:tcPr>
            <w:tcW w:w="149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Element</w:t>
            </w:r>
          </w:p>
        </w:tc>
        <w:tc>
          <w:tcPr>
            <w:tcW w:w="130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Target</w:t>
              <w:br/>
              <w:t>Positioning vs.</w:t>
              <w:br/>
              <w:t>Market</w:t>
            </w:r>
          </w:p>
        </w:tc>
        <w:tc>
          <w:tcPr>
            <w:tcW w:w="270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Primary Objective</w:t>
            </w:r>
          </w:p>
        </w:tc>
        <w:tc>
          <w:tcPr>
            <w:tcW w:w="470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40"/>
              <w:jc w:val="center"/>
              <w:rPr>
                <w:rFonts w:ascii="Arial;sans-serif" w:hAnsi="Arial;sans-serif"/>
                <w:b/>
                <w:sz w:val="18"/>
              </w:rPr>
            </w:pPr>
            <w:r>
              <w:rPr>
                <w:rFonts w:ascii="Arial;sans-serif" w:hAnsi="Arial;sans-serif"/>
                <w:b/>
                <w:sz w:val="18"/>
              </w:rPr>
              <w:t>Determination Factors</w:t>
            </w:r>
          </w:p>
        </w:tc>
      </w:tr>
      <w:tr>
        <w:trPr/>
        <w:tc>
          <w:tcPr>
            <w:tcW w:w="149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firstLine="40"/>
              <w:jc w:val="left"/>
              <w:rPr>
                <w:rFonts w:ascii="Arial;sans-serif" w:hAnsi="Arial;sans-serif"/>
                <w:b/>
                <w:sz w:val="18"/>
              </w:rPr>
            </w:pPr>
            <w:r>
              <w:rPr>
                <w:rFonts w:ascii="Arial;sans-serif" w:hAnsi="Arial;sans-serif"/>
                <w:b/>
                <w:sz w:val="18"/>
              </w:rPr>
              <w:t>Annual Cash Incentives</w:t>
            </w:r>
          </w:p>
        </w:tc>
        <w:tc>
          <w:tcPr>
            <w:tcW w:w="130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40" w:right="80" w:hanging="0"/>
              <w:jc w:val="center"/>
              <w:rPr>
                <w:rFonts w:ascii="Arial;sans-serif" w:hAnsi="Arial;sans-serif"/>
                <w:b w:val="false"/>
                <w:sz w:val="18"/>
              </w:rPr>
            </w:pPr>
            <w:r>
              <w:rPr>
                <w:rFonts w:ascii="Arial;sans-serif" w:hAnsi="Arial;sans-serif"/>
                <w:b w:val="false"/>
                <w:sz w:val="18"/>
              </w:rPr>
              <w:t>Target at Median</w:t>
            </w:r>
          </w:p>
        </w:tc>
        <w:tc>
          <w:tcPr>
            <w:tcW w:w="2705" w:type="dxa"/>
            <w:tcBorders>
              <w:bottom w:val="single" w:sz="2" w:space="0" w:color="000000"/>
            </w:tcBorders>
            <w:shd w:fill="auto" w:val="clear"/>
            <w:tcMar>
              <w:top w:w="0" w:type="dxa"/>
              <w:left w:w="0" w:type="dxa"/>
              <w:right w:w="0" w:type="dxa"/>
            </w:tcMar>
            <w:vAlign w:val="center"/>
          </w:tcPr>
          <w:p>
            <w:pPr>
              <w:pStyle w:val="TableContents"/>
              <w:spacing w:before="0" w:after="0"/>
              <w:ind w:left="0" w:right="80" w:hanging="0"/>
              <w:jc w:val="left"/>
              <w:rPr/>
            </w:pPr>
            <w:r>
              <w:rPr/>
              <w:t> </w:t>
            </w:r>
          </w:p>
          <w:p>
            <w:pPr>
              <w:pStyle w:val="TableContents"/>
              <w:spacing w:before="0" w:after="0"/>
              <w:ind w:left="1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Motivate executives to achieve challenging short-term performance goals</w:t>
            </w:r>
          </w:p>
          <w:p>
            <w:pPr>
              <w:pStyle w:val="TableContents"/>
              <w:spacing w:before="0" w:after="0"/>
              <w:ind w:left="129" w:right="86" w:hanging="0"/>
              <w:jc w:val="left"/>
              <w:rPr/>
            </w:pPr>
            <w:r>
              <w:rPr/>
              <w:t>•</w:t>
            </w:r>
          </w:p>
          <w:p>
            <w:pPr>
              <w:pStyle w:val="TableContents"/>
              <w:spacing w:before="0" w:after="0"/>
              <w:ind w:left="0" w:right="0" w:firstLine="389"/>
              <w:jc w:val="left"/>
              <w:rPr>
                <w:rFonts w:ascii="Arial;sans-serif" w:hAnsi="Arial;sans-serif"/>
                <w:b w:val="false"/>
                <w:sz w:val="18"/>
              </w:rPr>
            </w:pPr>
            <w:r>
              <w:rPr>
                <w:rFonts w:ascii="Arial;sans-serif" w:hAnsi="Arial;sans-serif"/>
                <w:b w:val="false"/>
                <w:sz w:val="18"/>
              </w:rPr>
              <w:t>Align with annual financial objectives</w:t>
            </w:r>
          </w:p>
        </w:tc>
        <w:tc>
          <w:tcPr>
            <w:tcW w:w="4703"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Target awards based on competitive marketplace, level of position, skills and performance of executive</w:t>
            </w:r>
          </w:p>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75% of actual awards based on achievement against the following annual corporate metrics:</w:t>
            </w:r>
          </w:p>
          <w:p>
            <w:pPr>
              <w:pStyle w:val="TableContents"/>
              <w:spacing w:before="0" w:after="0"/>
              <w:ind w:left="562" w:right="86" w:hanging="0"/>
              <w:jc w:val="left"/>
              <w:rPr>
                <w:rFonts w:ascii="Times New Roman" w:hAnsi="Times New Roman"/>
                <w:b w:val="false"/>
                <w:sz w:val="18"/>
              </w:rPr>
            </w:pPr>
            <w:r>
              <w:rPr>
                <w:rFonts w:ascii="Times New Roman" w:hAnsi="Times New Roman"/>
                <w:b w:val="false"/>
                <w:sz w:val="18"/>
              </w:rPr>
              <w:t>o</w:t>
            </w:r>
          </w:p>
          <w:p>
            <w:pPr>
              <w:pStyle w:val="TableContents"/>
              <w:spacing w:before="0" w:after="0"/>
              <w:jc w:val="left"/>
              <w:rPr>
                <w:rFonts w:ascii="Arial;sans-serif" w:hAnsi="Arial;sans-serif"/>
                <w:b w:val="false"/>
                <w:sz w:val="18"/>
              </w:rPr>
            </w:pPr>
            <w:r>
              <w:rPr>
                <w:rFonts w:ascii="Arial;sans-serif" w:hAnsi="Arial;sans-serif"/>
                <w:b w:val="false"/>
                <w:sz w:val="18"/>
              </w:rPr>
              <w:t>Health Plan membership</w:t>
            </w:r>
          </w:p>
          <w:p>
            <w:pPr>
              <w:pStyle w:val="TableContents"/>
              <w:spacing w:before="0" w:after="0"/>
              <w:ind w:left="562" w:right="86" w:hanging="0"/>
              <w:jc w:val="left"/>
              <w:rPr>
                <w:rFonts w:ascii="Times New Roman" w:hAnsi="Times New Roman"/>
                <w:b w:val="false"/>
                <w:sz w:val="18"/>
              </w:rPr>
            </w:pPr>
            <w:r>
              <w:rPr>
                <w:rFonts w:ascii="Times New Roman" w:hAnsi="Times New Roman"/>
                <w:b w:val="false"/>
                <w:sz w:val="18"/>
              </w:rPr>
              <w:t>o</w:t>
            </w:r>
          </w:p>
          <w:p>
            <w:pPr>
              <w:pStyle w:val="TableContents"/>
              <w:spacing w:before="0" w:after="0"/>
              <w:jc w:val="left"/>
              <w:rPr>
                <w:rFonts w:ascii="Arial;sans-serif" w:hAnsi="Arial;sans-serif"/>
                <w:b w:val="false"/>
                <w:sz w:val="18"/>
              </w:rPr>
            </w:pPr>
            <w:r>
              <w:rPr>
                <w:rFonts w:ascii="Arial;sans-serif" w:hAnsi="Arial;sans-serif"/>
                <w:b w:val="false"/>
                <w:sz w:val="18"/>
              </w:rPr>
              <w:t>Adjusted gross profit</w:t>
            </w:r>
          </w:p>
          <w:p>
            <w:pPr>
              <w:pStyle w:val="TableContents"/>
              <w:spacing w:before="0" w:after="0"/>
              <w:ind w:left="562" w:right="86" w:hanging="0"/>
              <w:jc w:val="left"/>
              <w:rPr>
                <w:rFonts w:ascii="Times New Roman" w:hAnsi="Times New Roman"/>
                <w:b w:val="false"/>
                <w:sz w:val="18"/>
              </w:rPr>
            </w:pPr>
            <w:r>
              <w:rPr>
                <w:rFonts w:ascii="Times New Roman" w:hAnsi="Times New Roman"/>
                <w:b w:val="false"/>
                <w:sz w:val="18"/>
              </w:rPr>
              <w:t>o</w:t>
            </w:r>
          </w:p>
          <w:p>
            <w:pPr>
              <w:pStyle w:val="TableContents"/>
              <w:spacing w:before="0" w:after="0"/>
              <w:jc w:val="left"/>
              <w:rPr>
                <w:rFonts w:ascii="Arial;sans-serif" w:hAnsi="Arial;sans-serif"/>
                <w:b w:val="false"/>
                <w:sz w:val="18"/>
              </w:rPr>
            </w:pPr>
            <w:r>
              <w:rPr>
                <w:rFonts w:ascii="Arial;sans-serif" w:hAnsi="Arial;sans-serif"/>
                <w:b w:val="false"/>
                <w:sz w:val="18"/>
              </w:rPr>
              <w:t>Adjusted EBITDA</w:t>
            </w:r>
          </w:p>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25% of actual awards based on achievement of individual goals for the NEOs other than the CEO</w:t>
            </w:r>
          </w:p>
          <w:p>
            <w:pPr>
              <w:pStyle w:val="TableContents"/>
              <w:spacing w:before="0" w:after="120"/>
              <w:ind w:left="29" w:right="86" w:hanging="0"/>
              <w:jc w:val="left"/>
              <w:rPr/>
            </w:pPr>
            <w:r>
              <w:rPr/>
              <w:t>•</w:t>
            </w:r>
          </w:p>
          <w:p>
            <w:pPr>
              <w:pStyle w:val="TableContents"/>
              <w:spacing w:before="0" w:after="120"/>
              <w:ind w:left="0" w:right="0" w:firstLine="40"/>
              <w:jc w:val="left"/>
              <w:rPr>
                <w:rFonts w:ascii="Arial;sans-serif" w:hAnsi="Arial;sans-serif"/>
                <w:b w:val="false"/>
                <w:sz w:val="18"/>
              </w:rPr>
            </w:pPr>
            <w:r>
              <w:rPr>
                <w:rFonts w:ascii="Arial;sans-serif" w:hAnsi="Arial;sans-serif"/>
                <w:b w:val="false"/>
                <w:sz w:val="18"/>
              </w:rPr>
              <w:t>For 2022, awards were subject to a modifier (-20% to +50%) based on the Company’s CMS Star Ratings, with potential payouts ranging from 0% to 250% of target bonus</w:t>
            </w:r>
          </w:p>
        </w:tc>
      </w:tr>
      <w:tr>
        <w:trPr/>
        <w:tc>
          <w:tcPr>
            <w:tcW w:w="1490"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firstLine="40"/>
              <w:jc w:val="left"/>
              <w:rPr>
                <w:rFonts w:ascii="Arial;sans-serif" w:hAnsi="Arial;sans-serif"/>
                <w:b/>
                <w:sz w:val="18"/>
              </w:rPr>
            </w:pPr>
            <w:r>
              <w:rPr>
                <w:rFonts w:ascii="Arial;sans-serif" w:hAnsi="Arial;sans-serif"/>
                <w:b/>
                <w:sz w:val="18"/>
              </w:rPr>
              <w:t>Long-Term Equity Incentives</w:t>
            </w:r>
          </w:p>
        </w:tc>
        <w:tc>
          <w:tcPr>
            <w:tcW w:w="1307"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40" w:right="80" w:hanging="0"/>
              <w:jc w:val="center"/>
              <w:rPr>
                <w:rFonts w:ascii="Times New Roman" w:hAnsi="Times New Roman"/>
                <w:sz w:val="18"/>
              </w:rPr>
            </w:pPr>
            <w:r>
              <w:rPr>
                <w:rFonts w:ascii="Arial;sans-serif" w:hAnsi="Arial;sans-serif"/>
                <w:b w:val="false"/>
                <w:sz w:val="18"/>
              </w:rPr>
              <w:t>Target at</w:t>
            </w:r>
            <w:r>
              <w:rPr>
                <w:rFonts w:ascii="Times New Roman" w:hAnsi="Times New Roman"/>
                <w:sz w:val="18"/>
              </w:rPr>
              <w:t xml:space="preserve"> </w:t>
            </w:r>
          </w:p>
          <w:p>
            <w:pPr>
              <w:pStyle w:val="TableContents"/>
              <w:spacing w:before="0" w:after="0"/>
              <w:ind w:left="40" w:right="80" w:hanging="0"/>
              <w:jc w:val="center"/>
              <w:rPr>
                <w:rFonts w:ascii="Arial;sans-serif" w:hAnsi="Arial;sans-serif"/>
                <w:b w:val="false"/>
                <w:sz w:val="18"/>
              </w:rPr>
            </w:pPr>
            <w:r>
              <w:rPr>
                <w:rFonts w:ascii="Arial;sans-serif" w:hAnsi="Arial;sans-serif"/>
                <w:b w:val="false"/>
                <w:sz w:val="18"/>
              </w:rPr>
              <w:t>50th - 75th percentile</w:t>
            </w:r>
          </w:p>
        </w:tc>
        <w:tc>
          <w:tcPr>
            <w:tcW w:w="2705" w:type="dxa"/>
            <w:tcBorders>
              <w:bottom w:val="single" w:sz="2" w:space="0" w:color="000000"/>
            </w:tcBorders>
            <w:shd w:fill="auto" w:val="clear"/>
            <w:tcMar>
              <w:top w:w="0" w:type="dxa"/>
              <w:left w:w="0" w:type="dxa"/>
              <w:right w:w="0" w:type="dxa"/>
            </w:tcMar>
            <w:vAlign w:val="center"/>
          </w:tcPr>
          <w:p>
            <w:pPr>
              <w:pStyle w:val="TableContents"/>
              <w:spacing w:before="0" w:after="0"/>
              <w:ind w:left="0" w:right="80" w:hanging="0"/>
              <w:jc w:val="left"/>
              <w:rPr/>
            </w:pPr>
            <w:r>
              <w:rPr/>
              <w:t> </w:t>
            </w:r>
          </w:p>
          <w:p>
            <w:pPr>
              <w:pStyle w:val="TableContents"/>
              <w:spacing w:before="0" w:after="0"/>
              <w:ind w:left="1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Align executives’ interests with those of stockholders</w:t>
            </w:r>
          </w:p>
          <w:p>
            <w:pPr>
              <w:pStyle w:val="TableContents"/>
              <w:spacing w:before="0" w:after="0"/>
              <w:ind w:left="1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Align with long-term business strategy</w:t>
            </w:r>
          </w:p>
          <w:p>
            <w:pPr>
              <w:pStyle w:val="TableContents"/>
              <w:spacing w:before="0" w:after="0"/>
              <w:ind w:left="1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Retain executive talent through multi-year vesting schedules</w:t>
            </w:r>
          </w:p>
          <w:p>
            <w:pPr>
              <w:pStyle w:val="TableContents"/>
              <w:spacing w:before="0" w:after="0"/>
              <w:ind w:left="1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Motivate sustainable performance that creates long-term value for stockholders</w:t>
            </w:r>
          </w:p>
          <w:p>
            <w:pPr>
              <w:pStyle w:val="TableContents"/>
              <w:spacing w:before="0" w:after="0"/>
              <w:ind w:left="129" w:right="86" w:hanging="0"/>
              <w:jc w:val="left"/>
              <w:rPr/>
            </w:pPr>
            <w:r>
              <w:rPr/>
              <w:t>•</w:t>
            </w:r>
          </w:p>
          <w:p>
            <w:pPr>
              <w:pStyle w:val="TableContents"/>
              <w:spacing w:before="0" w:after="0"/>
              <w:ind w:left="0" w:right="0" w:firstLine="389"/>
              <w:jc w:val="left"/>
              <w:rPr>
                <w:rFonts w:ascii="Arial;sans-serif" w:hAnsi="Arial;sans-serif"/>
                <w:b w:val="false"/>
                <w:sz w:val="18"/>
              </w:rPr>
            </w:pPr>
            <w:r>
              <w:rPr>
                <w:rFonts w:ascii="Arial;sans-serif" w:hAnsi="Arial;sans-serif"/>
                <w:b w:val="false"/>
                <w:sz w:val="18"/>
              </w:rPr>
              <w:t>Foster our purpose and values to build teams that think and act like owners</w:t>
            </w:r>
          </w:p>
        </w:tc>
        <w:tc>
          <w:tcPr>
            <w:tcW w:w="4703"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29" w:right="86"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Awards based on competitive marketplace, level of position, skills and performance of the executive</w:t>
            </w:r>
          </w:p>
        </w:tc>
      </w:tr>
    </w:tbl>
    <w:p>
      <w:pPr>
        <w:pStyle w:val="TextBody"/>
        <w:spacing w:before="240" w:after="240"/>
        <w:jc w:val="left"/>
        <w:rPr>
          <w:rFonts w:ascii="Times New Roman" w:hAnsi="Times New Roman"/>
          <w:sz w:val="20"/>
        </w:rPr>
      </w:pPr>
      <w:r>
        <w:rPr>
          <w:rFonts w:ascii="Arial;sans-serif" w:hAnsi="Arial;sans-serif"/>
          <w:b w:val="false"/>
          <w:sz w:val="20"/>
        </w:rPr>
        <w:t>For fiscal 2022, using the base salaries, the annual incentive targets at the end of the year, and the long-term incentives granted throughout the course of the fiscal year, the vast majority of executive compensation was variable (98% for our CEO and an average of 92% for our other NEOs). As our Compensation Committee continues to evaluate its approach to long-term equity incentive compensation, we expect that in subsequent years the compensation of our NEOs will consist of an appropriately balanced mix of fixed pay and variable, success-based pay. For more information, please see “</w:t>
      </w:r>
      <w:r>
        <w:rPr>
          <w:rFonts w:ascii="Times New Roman" w:hAnsi="Times New Roman"/>
          <w:sz w:val="20"/>
        </w:rPr>
        <w:t>—</w:t>
      </w:r>
      <w:r>
        <w:rPr>
          <w:rFonts w:ascii="Arial;sans-serif" w:hAnsi="Arial;sans-serif"/>
          <w:b w:val="false"/>
          <w:i/>
          <w:sz w:val="20"/>
        </w:rPr>
        <w:t>2022 Executive Compensation Program in Detail</w:t>
      </w:r>
      <w:r>
        <w:rPr>
          <w:rFonts w:ascii="Arial;sans-serif" w:hAnsi="Arial;sans-serif"/>
          <w:b w:val="false"/>
          <w:sz w:val="20"/>
        </w:rPr>
        <w:t>.”</w:t>
      </w:r>
    </w:p>
    <w:p>
      <w:pPr>
        <w:pStyle w:val="TextBody"/>
        <w:spacing w:before="200" w:after="0"/>
        <w:jc w:val="left"/>
        <w:rPr>
          <w:rFonts w:ascii="Arial;sans-serif" w:hAnsi="Arial;sans-serif"/>
          <w:b/>
          <w:sz w:val="20"/>
        </w:rPr>
      </w:pPr>
      <w:bookmarkStart w:id="28" w:name="executive_compensation_decision_making"/>
      <w:bookmarkEnd w:id="28"/>
      <w:r>
        <w:rPr>
          <w:rFonts w:ascii="Arial;sans-serif" w:hAnsi="Arial;sans-serif"/>
          <w:b/>
          <w:sz w:val="20"/>
        </w:rPr>
        <w:t>Executive Compensation Decision-Making Process</w:t>
      </w:r>
    </w:p>
    <w:p>
      <w:pPr>
        <w:pStyle w:val="TextBody"/>
        <w:spacing w:before="200" w:after="200"/>
        <w:jc w:val="left"/>
        <w:rPr>
          <w:rFonts w:ascii="Arial;sans-serif" w:hAnsi="Arial;sans-serif"/>
          <w:b/>
          <w:i/>
          <w:sz w:val="20"/>
        </w:rPr>
      </w:pPr>
      <w:r>
        <w:rPr>
          <w:rFonts w:ascii="Arial;sans-serif" w:hAnsi="Arial;sans-serif"/>
          <w:b/>
          <w:i/>
          <w:sz w:val="20"/>
        </w:rPr>
        <w:t>The Role of the Compensation Committee</w:t>
      </w:r>
    </w:p>
    <w:p>
      <w:pPr>
        <w:pStyle w:val="TextBody"/>
        <w:spacing w:before="200" w:after="200"/>
        <w:jc w:val="left"/>
        <w:rPr>
          <w:rFonts w:ascii="Arial;sans-serif" w:hAnsi="Arial;sans-serif"/>
          <w:b w:val="false"/>
          <w:sz w:val="20"/>
        </w:rPr>
      </w:pPr>
      <w:r>
        <w:rPr>
          <w:rFonts w:ascii="Arial;sans-serif" w:hAnsi="Arial;sans-serif"/>
          <w:b w:val="false"/>
          <w:sz w:val="20"/>
        </w:rPr>
        <w:t>The Compensation Committee oversees the executive compensation program for our NEOs. The committee is composed solely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https://ir.alignmenthealth.com/. The committee makes all final compensation decisions and equity award recommendations regarding our NEOs.</w:t>
      </w:r>
    </w:p>
    <w:p>
      <w:pPr>
        <w:pStyle w:val="TextBody"/>
        <w:spacing w:before="240" w:after="0"/>
        <w:jc w:val="center"/>
        <w:rPr>
          <w:rFonts w:ascii="Arial;sans-serif" w:hAnsi="Arial;sans-serif"/>
          <w:b w:val="false"/>
          <w:sz w:val="20"/>
        </w:rPr>
      </w:pPr>
      <w:r>
        <w:rPr>
          <w:rFonts w:ascii="Arial;sans-serif" w:hAnsi="Arial;sans-serif"/>
          <w:b w:val="false"/>
          <w:sz w:val="20"/>
        </w:rPr>
        <w:t>43</w:t>
      </w:r>
    </w:p>
    <w:p>
      <w:pPr>
        <w:pStyle w:val="HorizontalLine"/>
        <w:rPr/>
      </w:pPr>
      <w:r>
        <w:rPr/>
      </w:r>
    </w:p>
    <w:p>
      <w:pPr>
        <w:pStyle w:val="TextBody"/>
        <w:spacing w:before="0" w:after="0"/>
        <w:jc w:val="left"/>
        <w:rPr/>
      </w:pPr>
      <w:r>
        <w:rPr/>
        <w:t> </w:t>
      </w:r>
    </w:p>
    <w:p>
      <w:pPr>
        <w:pStyle w:val="TextBody"/>
        <w:spacing w:before="0" w:after="200"/>
        <w:jc w:val="left"/>
        <w:rPr>
          <w:rFonts w:ascii="Arial;sans-serif" w:hAnsi="Arial;sans-serif"/>
          <w:b/>
          <w:i/>
          <w:sz w:val="20"/>
        </w:rPr>
      </w:pPr>
      <w:r>
        <w:rPr>
          <w:rFonts w:ascii="Arial;sans-serif" w:hAnsi="Arial;sans-serif"/>
          <w:b/>
          <w:i/>
          <w:sz w:val="20"/>
        </w:rPr>
        <w:t>The Role of Management</w:t>
      </w:r>
    </w:p>
    <w:p>
      <w:pPr>
        <w:pStyle w:val="TextBody"/>
        <w:spacing w:before="0" w:after="200"/>
        <w:jc w:val="left"/>
        <w:rPr>
          <w:rFonts w:ascii="Arial;sans-serif" w:hAnsi="Arial;sans-serif"/>
          <w:b w:val="false"/>
          <w:sz w:val="20"/>
        </w:rPr>
      </w:pPr>
      <w:r>
        <w:rPr>
          <w:rFonts w:ascii="Arial;sans-serif" w:hAnsi="Arial;sans-serif"/>
          <w:b w:val="false"/>
          <w:sz w:val="20"/>
        </w:rPr>
        <w:t>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(non-NEO) pay with the Committee providing transparency and oversight. Decisions on non-executive officer pay are made by the CEO in collaboration with the executive officers who manage such employees. The CEO does not participate in the deliberations of the Committee regarding his own compensation. The Compensation Committee makes all final determinations regarding CEO compensation.</w:t>
      </w:r>
    </w:p>
    <w:p>
      <w:pPr>
        <w:pStyle w:val="TextBody"/>
        <w:spacing w:before="0" w:after="200"/>
        <w:jc w:val="left"/>
        <w:rPr>
          <w:rFonts w:ascii="Arial;sans-serif" w:hAnsi="Arial;sans-serif"/>
          <w:b/>
          <w:i/>
          <w:sz w:val="20"/>
        </w:rPr>
      </w:pPr>
      <w:r>
        <w:rPr>
          <w:rFonts w:ascii="Arial;sans-serif" w:hAnsi="Arial;sans-serif"/>
          <w:b/>
          <w:i/>
          <w:sz w:val="20"/>
        </w:rPr>
        <w:t>The Role of the Independent Consultant</w:t>
      </w:r>
    </w:p>
    <w:p>
      <w:pPr>
        <w:pStyle w:val="TextBody"/>
        <w:spacing w:before="0" w:after="200"/>
        <w:jc w:val="left"/>
        <w:rPr>
          <w:rFonts w:ascii="Arial;sans-serif" w:hAnsi="Arial;sans-serif"/>
          <w:b w:val="false"/>
          <w:sz w:val="20"/>
        </w:rPr>
      </w:pPr>
      <w:r>
        <w:rPr>
          <w:rFonts w:ascii="Arial;sans-serif" w:hAnsi="Arial;sans-serif"/>
          <w:b w:val="false"/>
          <w:sz w:val="20"/>
        </w:rPr>
        <w:t>The Compensation Committee engages an independent compensation consultant to provide expertise on competitive pay practices, program design, and an objective assessment of any inherent risks of any programs. Pursuant to authority granted to it under its charter, the Compensation Committee has hired Pearl Meyer &amp; Partners, LLC (“Pearl Meyer”) as its independent consultant. Pearl Meyer reports directly to the Compensation Committee and does not provide any additional services to management. The Compensation Committee has conducted an independence assessment of Pearl Meyer in accordance with Nasdaq rules.</w:t>
      </w:r>
    </w:p>
    <w:p>
      <w:pPr>
        <w:pStyle w:val="TextBody"/>
        <w:spacing w:before="240" w:after="200"/>
        <w:jc w:val="left"/>
        <w:rPr>
          <w:rFonts w:ascii="Times New Roman" w:hAnsi="Times New Roman"/>
          <w:sz w:val="20"/>
        </w:rPr>
      </w:pPr>
      <w:r>
        <w:rPr>
          <w:rFonts w:ascii="Arial;sans-serif" w:hAnsi="Arial;sans-serif"/>
          <w:b/>
          <w:i/>
          <w:sz w:val="20"/>
        </w:rPr>
        <w:t>The Role of Peer Group Companies</w:t>
      </w:r>
      <w:r>
        <w:rPr>
          <w:rFonts w:ascii="Times New Roman" w:hAnsi="Times New Roman"/>
          <w:sz w:val="20"/>
        </w:rPr>
        <w:t xml:space="preserve"> </w:t>
      </w:r>
    </w:p>
    <w:p>
      <w:pPr>
        <w:pStyle w:val="TextBody"/>
        <w:spacing w:before="240" w:after="200"/>
        <w:jc w:val="left"/>
        <w:rPr>
          <w:rFonts w:ascii="Times New Roman" w:hAnsi="Times New Roman"/>
          <w:sz w:val="20"/>
        </w:rPr>
      </w:pPr>
      <w:r>
        <w:rPr>
          <w:rFonts w:ascii="Arial;sans-serif" w:hAnsi="Arial;sans-serif"/>
          <w:b w:val="false"/>
          <w:sz w:val="20"/>
        </w:rPr>
        <w:t xml:space="preserve">The Compensation Committee strives to set a competitive level of total compensation for each NEO as compared with executive officers in similar positions at peer companies. For purposes of setting 2022 compensation levels, in conjunction with the recommendation of Pearl Meyer, the Compensation Committee took into account publicly available data for a group of peer companies (the “2022-23 Compensation Peer Group”) listed below, along with industry specific survey data, where appropriate. Selection criteria for determining/reviewing the 2022-23 Compensation Peer Group, used to establish the competitive market for the NEOs, generally include </w:t>
      </w:r>
      <w:r>
        <w:rPr>
          <w:rFonts w:ascii="Arial;sans-serif" w:hAnsi="Arial;sans-serif"/>
          <w:b/>
          <w:sz w:val="20"/>
        </w:rPr>
        <w:t>c</w:t>
      </w:r>
      <w:r>
        <w:rPr>
          <w:rFonts w:ascii="Arial;sans-serif" w:hAnsi="Arial;sans-serif"/>
          <w:b w:val="false"/>
          <w:sz w:val="20"/>
        </w:rPr>
        <w:t>ompanies within the “Health Care Services” and “Health Care Technologies” industry groups and revenues ranging from approximately 1/5 times to 4 times Alignment Healthcare’s revenues (i.e., ~$228 million - $4,990 million) at the time of peer group approval.</w:t>
      </w:r>
    </w:p>
    <w:tbl>
      <w:tblPr>
        <w:tblW w:w="5117" w:type="dxa"/>
        <w:jc w:val="left"/>
        <w:tblInd w:w="0" w:type="dxa"/>
        <w:tblCellMar>
          <w:top w:w="28" w:type="dxa"/>
          <w:left w:w="28" w:type="dxa"/>
          <w:bottom w:w="28" w:type="dxa"/>
          <w:right w:w="28" w:type="dxa"/>
        </w:tblCellMar>
      </w:tblPr>
      <w:tblGrid>
        <w:gridCol w:w="2986"/>
        <w:gridCol w:w="2131"/>
      </w:tblGrid>
      <w:tr>
        <w:trPr/>
        <w:tc>
          <w:tcPr>
            <w:tcW w:w="298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29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1Life Healthcare,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Health Catalyst, Inc.</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agilon health,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HealthEquity, Inc.</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Allscripts Healthcare Solutions,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Oak Street Health</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Amedisys,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Omnicell, Inc.</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Bright Health Group,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Phreesia, Inc.</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Cano Health,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Privia Health Group, Inc.</w:t>
            </w:r>
          </w:p>
        </w:tc>
      </w:tr>
      <w:tr>
        <w:trPr/>
        <w:tc>
          <w:tcPr>
            <w:tcW w:w="298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Evolent Health, Inc.</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Arial;sans-serif" w:hAnsi="Arial;sans-serif"/>
                <w:b w:val="false"/>
                <w:sz w:val="18"/>
              </w:rPr>
            </w:pPr>
            <w:r>
              <w:rPr>
                <w:rFonts w:ascii="Arial;sans-serif" w:hAnsi="Arial;sans-serif"/>
                <w:b w:val="false"/>
                <w:sz w:val="18"/>
              </w:rPr>
              <w:t>Signify Health, Inc.</w:t>
            </w:r>
          </w:p>
        </w:tc>
      </w:tr>
    </w:tbl>
    <w:p>
      <w:pPr>
        <w:pStyle w:val="TextBody"/>
        <w:spacing w:before="240" w:after="0"/>
        <w:jc w:val="left"/>
        <w:rPr>
          <w:rFonts w:ascii="Arial;sans-serif" w:hAnsi="Arial;sans-serif"/>
          <w:b w:val="false"/>
          <w:sz w:val="20"/>
        </w:rPr>
      </w:pPr>
      <w:r>
        <w:rPr>
          <w:rFonts w:ascii="Arial;sans-serif" w:hAnsi="Arial;sans-serif"/>
          <w:b w:val="false"/>
          <w:sz w:val="20"/>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w:t>
      </w:r>
    </w:p>
    <w:p>
      <w:pPr>
        <w:pStyle w:val="TextBody"/>
        <w:spacing w:before="240" w:after="0"/>
        <w:jc w:val="center"/>
        <w:rPr>
          <w:rFonts w:ascii="Arial;sans-serif" w:hAnsi="Arial;sans-serif"/>
          <w:b w:val="false"/>
          <w:sz w:val="20"/>
        </w:rPr>
      </w:pPr>
      <w:r>
        <w:rPr>
          <w:rFonts w:ascii="Arial;sans-serif" w:hAnsi="Arial;sans-serif"/>
          <w:b w:val="false"/>
          <w:sz w:val="20"/>
        </w:rPr>
        <w:t>44</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29" w:name="y2022_executive_compensation_program"/>
      <w:bookmarkEnd w:id="29"/>
      <w:r>
        <w:rPr>
          <w:rFonts w:ascii="Arial;sans-serif" w:hAnsi="Arial;sans-serif"/>
          <w:b/>
          <w:sz w:val="20"/>
        </w:rPr>
        <w:t>2022 Executive Compensation Program in Detail</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Base Salary</w:t>
      </w:r>
    </w:p>
    <w:p>
      <w:pPr>
        <w:pStyle w:val="TextBody"/>
        <w:spacing w:before="0" w:after="0"/>
        <w:jc w:val="left"/>
        <w:rPr/>
      </w:pPr>
      <w:r>
        <w:rPr/>
        <w:t> </w:t>
      </w:r>
    </w:p>
    <w:p>
      <w:pPr>
        <w:pStyle w:val="TextBody"/>
        <w:spacing w:before="0" w:after="0"/>
        <w:jc w:val="left"/>
        <w:rPr>
          <w:rFonts w:ascii="Arial;sans-serif" w:hAnsi="Arial;sans-serif"/>
          <w:b w:val="false"/>
          <w:sz w:val="20"/>
        </w:rPr>
      </w:pPr>
      <w:r>
        <w:rPr>
          <w:rFonts w:ascii="Arial;sans-serif" w:hAnsi="Arial;sans-serif"/>
          <w:b w:val="false"/>
          <w:sz w:val="20"/>
        </w:rPr>
        <w:t>Base salary represents annual fixed compensation and is a standard element of compensation necessary to attract and retain executive leadership talent. In making base salary decisions, the Compensation Committee considers the CEO’s recommendations, as well as each NEO’s position and level of responsibility within the Company. The Committee takes into account factors such as competitive market data as well as individual performance, experience, tenure, internal equity and employee potential. For 2022, our NEOs received base salary increases, as further described below, in order to align their compensation with the market for similar roles and responsibilities.</w:t>
      </w:r>
    </w:p>
    <w:p>
      <w:pPr>
        <w:pStyle w:val="TextBody"/>
        <w:spacing w:before="240" w:after="240"/>
        <w:jc w:val="left"/>
        <w:rPr>
          <w:rFonts w:ascii="Times New Roman" w:hAnsi="Times New Roman"/>
          <w:sz w:val="20"/>
        </w:rPr>
      </w:pPr>
      <w:r>
        <w:rPr>
          <w:rFonts w:ascii="Arial;sans-serif" w:hAnsi="Arial;sans-serif"/>
          <w:b w:val="false"/>
          <w:sz w:val="20"/>
        </w:rPr>
        <w:t>In March 2022, each of our NEOs’ base salaries increased, as follows:</w:t>
      </w:r>
      <w:r>
        <w:rPr>
          <w:rFonts w:ascii="Times New Roman" w:hAnsi="Times New Roman"/>
          <w:sz w:val="20"/>
        </w:rPr>
        <w:t xml:space="preserve"> </w:t>
      </w:r>
    </w:p>
    <w:tbl>
      <w:tblPr>
        <w:tblW w:w="6679" w:type="dxa"/>
        <w:jc w:val="left"/>
        <w:tblInd w:w="0" w:type="dxa"/>
        <w:tblCellMar>
          <w:top w:w="28" w:type="dxa"/>
          <w:left w:w="28" w:type="dxa"/>
          <w:bottom w:w="28" w:type="dxa"/>
          <w:right w:w="28" w:type="dxa"/>
        </w:tblCellMar>
      </w:tblPr>
      <w:tblGrid>
        <w:gridCol w:w="1561"/>
        <w:gridCol w:w="1456"/>
        <w:gridCol w:w="1546"/>
        <w:gridCol w:w="2116"/>
      </w:tblGrid>
      <w:tr>
        <w:trPr/>
        <w:tc>
          <w:tcPr>
            <w:tcW w:w="1561"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r>
      <w:tr>
        <w:trPr/>
        <w:tc>
          <w:tcPr>
            <w:tcW w:w="15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w:t>
            </w:r>
          </w:p>
        </w:tc>
        <w:tc>
          <w:tcPr>
            <w:tcW w:w="14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Pre-Adjustment</w:t>
            </w:r>
          </w:p>
          <w:p>
            <w:pPr>
              <w:pStyle w:val="TableContents"/>
              <w:spacing w:before="0" w:after="0"/>
              <w:ind w:left="0" w:right="0" w:hanging="0"/>
              <w:jc w:val="center"/>
              <w:rPr>
                <w:rFonts w:ascii="Times New Roman" w:hAnsi="Times New Roman"/>
                <w:sz w:val="18"/>
              </w:rPr>
            </w:pPr>
            <w:r>
              <w:rPr>
                <w:rFonts w:ascii="Arial;sans-serif" w:hAnsi="Arial;sans-serif"/>
                <w:b/>
                <w:sz w:val="18"/>
              </w:rPr>
              <w:t>Base Salary</w:t>
            </w:r>
            <w:r>
              <w:rPr>
                <w:rFonts w:ascii="Arial;sans-serif" w:hAnsi="Arial;sans-serif"/>
                <w:b/>
                <w:sz w:val="12"/>
              </w:rPr>
              <w:t>(1)</w:t>
            </w:r>
          </w:p>
        </w:tc>
        <w:tc>
          <w:tcPr>
            <w:tcW w:w="15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Post-Adjustment</w:t>
            </w:r>
          </w:p>
          <w:p>
            <w:pPr>
              <w:pStyle w:val="TableContents"/>
              <w:spacing w:before="0" w:after="0"/>
              <w:ind w:left="0" w:right="0" w:hanging="0"/>
              <w:jc w:val="center"/>
              <w:rPr>
                <w:rFonts w:ascii="Arial;sans-serif" w:hAnsi="Arial;sans-serif"/>
                <w:b/>
                <w:sz w:val="18"/>
              </w:rPr>
            </w:pPr>
            <w:r>
              <w:rPr>
                <w:rFonts w:ascii="Arial;sans-serif" w:hAnsi="Arial;sans-serif"/>
                <w:b/>
                <w:sz w:val="18"/>
              </w:rPr>
              <w:t>Base Salary</w:t>
            </w:r>
          </w:p>
        </w:tc>
        <w:tc>
          <w:tcPr>
            <w:tcW w:w="211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Market Adjustment (%)</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John Kao</w:t>
            </w:r>
          </w:p>
        </w:tc>
        <w:tc>
          <w:tcPr>
            <w:tcW w:w="14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$675,000</w:t>
            </w:r>
          </w:p>
        </w:tc>
        <w:tc>
          <w:tcPr>
            <w:tcW w:w="154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$750,000</w:t>
            </w:r>
          </w:p>
        </w:tc>
        <w:tc>
          <w:tcPr>
            <w:tcW w:w="21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Thomas Freeman</w:t>
            </w:r>
          </w:p>
        </w:tc>
        <w:tc>
          <w:tcPr>
            <w:tcW w:w="14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$450,000</w:t>
            </w:r>
          </w:p>
        </w:tc>
        <w:tc>
          <w:tcPr>
            <w:tcW w:w="154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$500,000</w:t>
            </w:r>
          </w:p>
        </w:tc>
        <w:tc>
          <w:tcPr>
            <w:tcW w:w="21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Dawn Maroney</w:t>
            </w:r>
          </w:p>
        </w:tc>
        <w:tc>
          <w:tcPr>
            <w:tcW w:w="14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$550,000</w:t>
            </w:r>
          </w:p>
        </w:tc>
        <w:tc>
          <w:tcPr>
            <w:tcW w:w="154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$560,000</w:t>
            </w:r>
          </w:p>
        </w:tc>
        <w:tc>
          <w:tcPr>
            <w:tcW w:w="21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Dinesh Kumar</w:t>
            </w:r>
          </w:p>
        </w:tc>
        <w:tc>
          <w:tcPr>
            <w:tcW w:w="14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$500,000</w:t>
            </w:r>
          </w:p>
        </w:tc>
        <w:tc>
          <w:tcPr>
            <w:tcW w:w="154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$560,000</w:t>
            </w:r>
          </w:p>
        </w:tc>
        <w:tc>
          <w:tcPr>
            <w:tcW w:w="21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Richard Cross</w:t>
            </w:r>
          </w:p>
        </w:tc>
        <w:tc>
          <w:tcPr>
            <w:tcW w:w="14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$350,000</w:t>
            </w:r>
          </w:p>
        </w:tc>
        <w:tc>
          <w:tcPr>
            <w:tcW w:w="154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$400,000</w:t>
            </w:r>
          </w:p>
        </w:tc>
        <w:tc>
          <w:tcPr>
            <w:tcW w:w="21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14%</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Arial;sans-serif" w:hAnsi="Arial;sans-serif"/>
          <w:b w:val="false"/>
          <w:sz w:val="16"/>
        </w:rPr>
      </w:pPr>
      <w:r>
        <w:rPr>
          <w:rFonts w:ascii="Arial;sans-serif" w:hAnsi="Arial;sans-serif"/>
          <w:b w:val="false"/>
          <w:sz w:val="16"/>
        </w:rPr>
        <w:t xml:space="preserve">Each pre-adjustment base salary applied from January 1 through March 26, 2022 and each adjusted base salary took effect as of March 27, 2022. </w:t>
      </w:r>
    </w:p>
    <w:p>
      <w:pPr>
        <w:pStyle w:val="TextBody"/>
        <w:spacing w:before="240" w:after="0"/>
        <w:jc w:val="left"/>
        <w:rPr>
          <w:rFonts w:ascii="Arial;sans-serif" w:hAnsi="Arial;sans-serif"/>
          <w:b/>
          <w:i/>
          <w:sz w:val="20"/>
        </w:rPr>
      </w:pPr>
      <w:r>
        <w:rPr>
          <w:rFonts w:ascii="Arial;sans-serif" w:hAnsi="Arial;sans-serif"/>
          <w:b/>
          <w:i/>
          <w:sz w:val="20"/>
        </w:rPr>
        <w:t>Annual Incentives</w:t>
      </w:r>
    </w:p>
    <w:p>
      <w:pPr>
        <w:pStyle w:val="TextBody"/>
        <w:spacing w:before="240" w:after="240"/>
        <w:jc w:val="left"/>
        <w:rPr>
          <w:rFonts w:ascii="Times New Roman" w:hAnsi="Times New Roman"/>
          <w:sz w:val="20"/>
        </w:rPr>
      </w:pPr>
      <w:r>
        <w:rPr>
          <w:rFonts w:ascii="Arial;sans-serif" w:hAnsi="Arial;sans-serif"/>
          <w:b w:val="false"/>
          <w:sz w:val="20"/>
        </w:rPr>
        <w:t>The 2022 Annual Incentive Plan provided our NEOs the opportunity to earn a performance-based annual cash bonus. Actual payouts depend on the achievement of pre-determined, strategic and/or financial corporate performance objectives (100% of the award for the CEO and 75% of the award for the other NEOs), as well as individual performance (25% of the award for the NEOs other than the CEO). Based on results, payouts can range from 0% to 250% of target award amounts. In addition, a modifier (-20% to +50%) is applied to the total bonus payout based on the Company’s CMS Star Ratings (see further description below). The modifier ensures there is a direct connection and significant focus on quality and the experience our members are receiving. Target annual bonus opportunities are expressed as a percentage of base salary and were established based on the NEO’s level of responsibility and their ability to impact overall results. The Committee also considers market data in setting target award amounts.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sz w:val="20"/>
        </w:rPr>
        <w:t>Payouts under the 2022 Annual Incentive Plan occur as follows: (i) 80% of each NEO’s total annual incentive payout based on corporate and individual performance was paid in March 2023; and (ii) the remaining 20% of each NEO’s total annual incentive payout is held back and is expected to be paid in the fourth quarter of 2023, subject to achievement of CMS Star Ratings-related performance measures. See “—</w:t>
      </w:r>
      <w:r>
        <w:rPr>
          <w:rFonts w:ascii="Arial;sans-serif" w:hAnsi="Arial;sans-serif"/>
          <w:b w:val="false"/>
          <w:i/>
          <w:sz w:val="20"/>
        </w:rPr>
        <w:t>2022 Annual Incentive Plan Payouts —Adjustment for CMS Star Ratings</w:t>
      </w:r>
      <w:r>
        <w:rPr>
          <w:rFonts w:ascii="Times New Roman" w:hAnsi="Times New Roman"/>
          <w:sz w:val="20"/>
        </w:rPr>
        <w:t xml:space="preserve">” </w:t>
      </w:r>
      <w:r>
        <w:rPr>
          <w:rFonts w:ascii="Arial;sans-serif" w:hAnsi="Arial;sans-serif"/>
          <w:b w:val="false"/>
          <w:sz w:val="20"/>
        </w:rPr>
        <w:t>below.</w:t>
      </w:r>
    </w:p>
    <w:p>
      <w:pPr>
        <w:pStyle w:val="TextBody"/>
        <w:spacing w:before="0" w:after="0"/>
        <w:jc w:val="left"/>
        <w:rPr>
          <w:rFonts w:ascii="Arial;sans-serif" w:hAnsi="Arial;sans-serif"/>
          <w:b w:val="false"/>
          <w:sz w:val="20"/>
        </w:rPr>
      </w:pPr>
      <w:r>
        <w:rPr>
          <w:rFonts w:ascii="Arial;sans-serif" w:hAnsi="Arial;sans-serif"/>
          <w:b w:val="false"/>
          <w:sz w:val="20"/>
        </w:rPr>
        <w:t>The applicable base salary rates and target bonus percentages for our NEOs were increased in 2022. Target bonus opportunities for the full 2022 year reflect the weighted average of the target bonus opportunity percentages applicable to each NEO for each applicable period throughout the year, summarized as follows:</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45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85"/>
        <w:gridCol w:w="1312"/>
        <w:gridCol w:w="2032"/>
        <w:gridCol w:w="1423"/>
        <w:gridCol w:w="2085"/>
        <w:gridCol w:w="2168"/>
      </w:tblGrid>
      <w:tr>
        <w:trPr/>
        <w:tc>
          <w:tcPr>
            <w:tcW w:w="118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r>
      <w:tr>
        <w:trPr/>
        <w:tc>
          <w:tcPr>
            <w:tcW w:w="118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44"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u w:val="single"/>
              </w:rPr>
            </w:pPr>
            <w:r>
              <w:rPr>
                <w:rFonts w:ascii="Arial;sans-serif" w:hAnsi="Arial;sans-serif"/>
                <w:b/>
                <w:sz w:val="18"/>
                <w:u w:val="single"/>
              </w:rPr>
              <w:t xml:space="preserve">Pre-Adjustment </w:t>
              <w:br/>
              <w:t>Annual Incentives</w:t>
            </w:r>
          </w:p>
        </w:tc>
        <w:tc>
          <w:tcPr>
            <w:tcW w:w="3508" w:type="dxa"/>
            <w:gridSpan w:val="2"/>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u w:val="single"/>
              </w:rPr>
            </w:pPr>
            <w:r>
              <w:rPr>
                <w:rFonts w:ascii="Arial;sans-serif" w:hAnsi="Arial;sans-serif"/>
                <w:b/>
                <w:sz w:val="18"/>
                <w:u w:val="single"/>
              </w:rPr>
              <w:t xml:space="preserve">Post-Adjustment </w:t>
              <w:br/>
              <w:t>Annual Incentives</w:t>
            </w:r>
          </w:p>
        </w:tc>
        <w:tc>
          <w:tcPr>
            <w:tcW w:w="216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Initial Base Salary Rate</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Target to Maximum Bonus Opportunity (%)</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Adjusted Base Salary Rate</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Target to Maximum Bonus Opportunity (%)</w:t>
            </w:r>
            <w:r>
              <w:rPr>
                <w:rFonts w:ascii="Arial;sans-serif" w:hAnsi="Arial;sans-serif"/>
                <w:b/>
                <w:sz w:val="12"/>
              </w:rPr>
              <w:t>(1)</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2022 Target Bonus Opportunity – Full Year ($)</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John Kao</w:t>
            </w:r>
            <w:r>
              <w:rPr>
                <w:rFonts w:ascii="Arial;sans-serif" w:hAnsi="Arial;sans-serif"/>
                <w:b w:val="false"/>
                <w:sz w:val="12"/>
              </w:rPr>
              <w:t>(2)</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$675,000</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 - 200%</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$750,000</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 - 200%</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$729,827</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Thomas Freeman</w:t>
            </w:r>
            <w:r>
              <w:rPr>
                <w:rFonts w:ascii="Arial;sans-serif" w:hAnsi="Arial;sans-serif"/>
                <w:b w:val="false"/>
                <w:sz w:val="12"/>
              </w:rPr>
              <w:t>(2)</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$450,000</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 - 100%</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$500,000</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 - 170%</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$413,558</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Dawn Maroney</w:t>
            </w:r>
            <w:r>
              <w:rPr>
                <w:rFonts w:ascii="Arial;sans-serif" w:hAnsi="Arial;sans-serif"/>
                <w:b w:val="false"/>
                <w:sz w:val="12"/>
              </w:rPr>
              <w:t>(2)</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$550,000</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 - 170%</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$560,000</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 - 170%</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$473,712</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Dinesh Kumar</w:t>
            </w:r>
            <w:r>
              <w:rPr>
                <w:rFonts w:ascii="Arial;sans-serif" w:hAnsi="Arial;sans-serif"/>
                <w:b w:val="false"/>
                <w:sz w:val="12"/>
              </w:rPr>
              <w:t>(2)</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$500,000</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 - 170%</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$560,000</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 - 170%</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$462,269</w:t>
            </w:r>
          </w:p>
        </w:tc>
      </w:tr>
      <w:tr>
        <w:trPr/>
        <w:tc>
          <w:tcPr>
            <w:tcW w:w="11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Richard Cross</w:t>
            </w:r>
            <w:r>
              <w:rPr>
                <w:rFonts w:ascii="Arial;sans-serif" w:hAnsi="Arial;sans-serif"/>
                <w:b w:val="false"/>
                <w:sz w:val="12"/>
              </w:rPr>
              <w:t>(2)</w:t>
            </w:r>
          </w:p>
        </w:tc>
        <w:tc>
          <w:tcPr>
            <w:tcW w:w="131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$350,000</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 - 100%</w:t>
            </w:r>
          </w:p>
        </w:tc>
        <w:tc>
          <w:tcPr>
            <w:tcW w:w="1423"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$400,000</w:t>
            </w:r>
          </w:p>
        </w:tc>
        <w:tc>
          <w:tcPr>
            <w:tcW w:w="208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 - 100%</w:t>
            </w:r>
          </w:p>
        </w:tc>
        <w:tc>
          <w:tcPr>
            <w:tcW w:w="2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$193,269</w:t>
            </w:r>
          </w:p>
        </w:tc>
      </w:tr>
    </w:tbl>
    <w:p>
      <w:pPr>
        <w:pStyle w:val="TextBody"/>
        <w:spacing w:before="160" w:after="160"/>
        <w:jc w:val="left"/>
        <w:rPr>
          <w:rFonts w:ascii="Times New Roman" w:hAnsi="Times New Roman"/>
          <w:b w:val="false"/>
          <w:sz w:val="16"/>
        </w:rPr>
      </w:pPr>
      <w:r>
        <w:rPr>
          <w:rFonts w:ascii="Times New Roman" w:hAnsi="Times New Roman"/>
          <w:b w:val="false"/>
          <w:sz w:val="16"/>
        </w:rPr>
        <w:t>(1)</w:t>
      </w:r>
    </w:p>
    <w:p>
      <w:pPr>
        <w:pStyle w:val="TextBody"/>
        <w:spacing w:before="160" w:after="160"/>
        <w:jc w:val="left"/>
        <w:rPr>
          <w:rFonts w:ascii="Arial;sans-serif" w:hAnsi="Arial;sans-serif"/>
          <w:b w:val="false"/>
          <w:sz w:val="16"/>
        </w:rPr>
      </w:pPr>
      <w:r>
        <w:rPr>
          <w:rFonts w:ascii="Arial;sans-serif" w:hAnsi="Arial;sans-serif"/>
          <w:b w:val="false"/>
          <w:sz w:val="16"/>
        </w:rPr>
        <w:t>For 2022, bonus opportunities were subject to further modification based on performance, with payouts ranging from 0% to 250% of target amounts, subject to a modifier (-20% to +50%) to the total bonus payout based on the Company’s CMS Star Ratings.</w:t>
      </w:r>
    </w:p>
    <w:p>
      <w:pPr>
        <w:pStyle w:val="TextBody"/>
        <w:spacing w:before="160" w:after="160"/>
        <w:jc w:val="left"/>
        <w:rPr>
          <w:rFonts w:ascii="Times New Roman" w:hAnsi="Times New Roman"/>
          <w:b w:val="false"/>
          <w:sz w:val="16"/>
        </w:rPr>
      </w:pPr>
      <w:r>
        <w:rPr>
          <w:rFonts w:ascii="Times New Roman" w:hAnsi="Times New Roman"/>
          <w:b w:val="false"/>
          <w:sz w:val="16"/>
        </w:rPr>
        <w:t>(2)</w:t>
      </w:r>
    </w:p>
    <w:p>
      <w:pPr>
        <w:pStyle w:val="TextBody"/>
        <w:spacing w:before="160" w:after="160"/>
        <w:jc w:val="left"/>
        <w:rPr>
          <w:rFonts w:ascii="Arial;sans-serif" w:hAnsi="Arial;sans-serif"/>
          <w:b w:val="false"/>
          <w:sz w:val="16"/>
        </w:rPr>
      </w:pPr>
      <w:r>
        <w:rPr>
          <w:rFonts w:ascii="Arial;sans-serif" w:hAnsi="Arial;sans-serif"/>
          <w:b w:val="false"/>
          <w:sz w:val="16"/>
        </w:rPr>
        <w:t xml:space="preserve">Amounts under “Pre-Adjustment Annual Incentives” represent base salary and target and maximum bonus opportunity applicable to the bonus calculation from January 1 to March 26, 2022. Amounts under “Post-Adjustment Annual Incentives” represent base salary and target and maximum bonus opportunity applicable to the bonus calculation from March 27 to December 31, 2022. Base salary and target/max bonus opportunities were increased in connection with the Compensation Committee’s annual review of NEO compensation. </w:t>
      </w:r>
    </w:p>
    <w:p>
      <w:pPr>
        <w:pStyle w:val="TextBody"/>
        <w:spacing w:before="240" w:after="240"/>
        <w:jc w:val="left"/>
        <w:rPr>
          <w:rFonts w:ascii="Arial;sans-serif" w:hAnsi="Arial;sans-serif"/>
          <w:b w:val="false"/>
          <w:i/>
          <w:sz w:val="20"/>
        </w:rPr>
      </w:pPr>
      <w:r>
        <w:rPr>
          <w:rFonts w:ascii="Arial;sans-serif" w:hAnsi="Arial;sans-serif"/>
          <w:b w:val="false"/>
          <w:i/>
          <w:sz w:val="20"/>
        </w:rPr>
        <w:t>2022 Corporate Performance Metrics, Weightings and Results</w:t>
      </w:r>
    </w:p>
    <w:p>
      <w:pPr>
        <w:pStyle w:val="TextBody"/>
        <w:spacing w:before="240" w:after="240"/>
        <w:jc w:val="left"/>
        <w:rPr>
          <w:rFonts w:ascii="Arial;sans-serif" w:hAnsi="Arial;sans-serif"/>
          <w:b w:val="false"/>
          <w:sz w:val="20"/>
        </w:rPr>
      </w:pPr>
      <w:r>
        <w:rPr>
          <w:rFonts w:ascii="Arial;sans-serif" w:hAnsi="Arial;sans-serif"/>
          <w:b w:val="false"/>
          <w:sz w:val="20"/>
        </w:rPr>
        <w:t>In 2022, we used membership, adjusted gross profit and adjusted EBITDA as the corporate performance metrics in the Annual Incentive Plan. We chose these metrics for the following reasons in the Annual Incentive Plan:</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Membership growth shows that we are increasing our customer base and is a leading indicator of long-term revenue and profitability growth for Alignment Healthcare.</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Adjusted gross profit keeps us focused on efficient delivery and execution.</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Adjusted EBITDA provides a clear view of our total operational profitability—it focuses on growth, while continuing to provide strong accountability for returns.</w:t>
      </w:r>
    </w:p>
    <w:p>
      <w:pPr>
        <w:pStyle w:val="TextBody"/>
        <w:spacing w:before="0" w:after="200"/>
        <w:jc w:val="left"/>
        <w:rPr>
          <w:rFonts w:ascii="Arial;sans-serif" w:hAnsi="Arial;sans-serif"/>
          <w:b w:val="false"/>
          <w:sz w:val="20"/>
        </w:rPr>
      </w:pPr>
      <w:r>
        <w:rPr>
          <w:rFonts w:ascii="Arial;sans-serif" w:hAnsi="Arial;sans-serif"/>
          <w:b w:val="false"/>
          <w:sz w:val="20"/>
        </w:rPr>
        <w:t>The Compensation Committee chose to remove revenue, which had previously served as a corporate performance metric in 2021, as a corporate performance metric for 2022, as it was viewed as duplicative in light of the focus on membership growth.</w:t>
      </w:r>
    </w:p>
    <w:p>
      <w:pPr>
        <w:pStyle w:val="TextBody"/>
        <w:spacing w:before="0" w:after="120"/>
        <w:jc w:val="left"/>
        <w:rPr>
          <w:rFonts w:ascii="Arial;sans-serif" w:hAnsi="Arial;sans-serif"/>
          <w:b w:val="false"/>
          <w:sz w:val="20"/>
        </w:rPr>
      </w:pPr>
      <w:r>
        <w:rPr>
          <w:rFonts w:ascii="Arial;sans-serif" w:hAnsi="Arial;sans-serif"/>
          <w:b w:val="false"/>
          <w:sz w:val="20"/>
        </w:rPr>
        <w:t>The table below sets forth the relative weighting of the metrics selected for our 2022 Annual Incentive Plan, the results achieved for each metric, as determined by the Compensation Committee, and the resulting aggregate percentage achieved with respect to our corporate objectives:</w:t>
      </w:r>
    </w:p>
    <w:p>
      <w:pPr>
        <w:pStyle w:val="TextBody"/>
        <w:spacing w:before="0" w:after="0"/>
        <w:jc w:val="left"/>
        <w:rPr/>
      </w:pPr>
      <w:r>
        <w:rPr/>
        <w:t> </w:t>
      </w:r>
    </w:p>
    <w:tbl>
      <w:tblPr>
        <w:tblW w:w="9483" w:type="dxa"/>
        <w:jc w:val="left"/>
        <w:tblInd w:w="0" w:type="dxa"/>
        <w:tblCellMar>
          <w:top w:w="28" w:type="dxa"/>
          <w:left w:w="28" w:type="dxa"/>
          <w:bottom w:w="28" w:type="dxa"/>
          <w:right w:w="28" w:type="dxa"/>
        </w:tblCellMar>
      </w:tblPr>
      <w:tblGrid>
        <w:gridCol w:w="814"/>
        <w:gridCol w:w="716"/>
        <w:gridCol w:w="4066"/>
        <w:gridCol w:w="2101"/>
        <w:gridCol w:w="1786"/>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814" w:type="dxa"/>
            <w:vMerge w:val="restart"/>
            <w:tcBorders>
              <w:bottom w:val="single" w:sz="1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16" w:type="dxa"/>
            <w:vMerge w:val="restart"/>
            <w:tcBorders>
              <w:bottom w:val="single" w:sz="1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953" w:type="dxa"/>
            <w:gridSpan w:val="3"/>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2022 Performance Metrics and Levels</w:t>
            </w:r>
          </w:p>
        </w:tc>
      </w:tr>
      <w:tr>
        <w:trPr/>
        <w:tc>
          <w:tcPr>
            <w:tcW w:w="814" w:type="dxa"/>
            <w:vMerge w:val="continue"/>
            <w:tcBorders>
              <w:bottom w:val="single" w:sz="16" w:space="0" w:color="000000"/>
            </w:tcBorders>
            <w:shd w:fill="auto" w:val="clear"/>
            <w:tcMar>
              <w:top w:w="0" w:type="dxa"/>
              <w:left w:w="0" w:type="dxa"/>
              <w:right w:w="0" w:type="dxa"/>
            </w:tcMar>
            <w:vAlign w:val="center"/>
          </w:tcPr>
          <w:p>
            <w:pPr>
              <w:pStyle w:val="Normal"/>
              <w:rPr/>
            </w:pPr>
            <w:r>
              <w:rPr/>
            </w:r>
          </w:p>
        </w:tc>
        <w:tc>
          <w:tcPr>
            <w:tcW w:w="716" w:type="dxa"/>
            <w:vMerge w:val="continue"/>
            <w:tcBorders>
              <w:bottom w:val="single" w:sz="16" w:space="0" w:color="000000"/>
            </w:tcBorders>
            <w:shd w:fill="auto" w:val="clear"/>
            <w:tcMar>
              <w:top w:w="0" w:type="dxa"/>
              <w:left w:w="0" w:type="dxa"/>
              <w:right w:w="0" w:type="dxa"/>
            </w:tcMar>
            <w:vAlign w:val="center"/>
          </w:tcPr>
          <w:p>
            <w:pPr>
              <w:pStyle w:val="Normal"/>
              <w:rPr/>
            </w:pPr>
            <w:r>
              <w:rPr/>
            </w:r>
          </w:p>
        </w:tc>
        <w:tc>
          <w:tcPr>
            <w:tcW w:w="4066" w:type="dxa"/>
            <w:tcBorders>
              <w:left w:val="single" w:sz="2" w:space="0" w:color="000000"/>
              <w:bottom w:val="single" w:sz="2" w:space="0" w:color="000000"/>
              <w:right w:val="single" w:sz="2" w:space="0" w:color="000000"/>
            </w:tcBorders>
            <w:shd w:fill="auto" w:val="clear"/>
            <w:tcMar>
              <w:top w:w="0" w:type="dxa"/>
              <w:left w:w="115" w:type="dxa"/>
              <w:right w:w="115"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Health Plan Membership as of January 1, 2023</w:t>
            </w:r>
          </w:p>
        </w:tc>
        <w:tc>
          <w:tcPr>
            <w:tcW w:w="210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Adjusted Gross Profit</w:t>
            </w:r>
            <w:r>
              <w:rPr>
                <w:rFonts w:ascii="Arial;sans-serif" w:hAnsi="Arial;sans-serif"/>
                <w:b/>
                <w:sz w:val="12"/>
              </w:rPr>
              <w:t>(1)</w:t>
            </w:r>
          </w:p>
        </w:tc>
        <w:tc>
          <w:tcPr>
            <w:tcW w:w="17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Adjusted EBITDA</w:t>
            </w:r>
            <w:r>
              <w:rPr>
                <w:rFonts w:ascii="Arial;sans-serif" w:hAnsi="Arial;sans-serif"/>
                <w:b/>
                <w:sz w:val="12"/>
              </w:rPr>
              <w:t>(1)</w:t>
            </w:r>
          </w:p>
        </w:tc>
      </w:tr>
      <w:tr>
        <w:trPr/>
        <w:tc>
          <w:tcPr>
            <w:tcW w:w="814" w:type="dxa"/>
            <w:vMerge w:val="continue"/>
            <w:tcBorders>
              <w:bottom w:val="single" w:sz="16" w:space="0" w:color="000000"/>
            </w:tcBorders>
            <w:shd w:fill="auto" w:val="clear"/>
            <w:tcMar>
              <w:top w:w="0" w:type="dxa"/>
              <w:left w:w="0" w:type="dxa"/>
              <w:right w:w="0" w:type="dxa"/>
            </w:tcMar>
            <w:vAlign w:val="center"/>
          </w:tcPr>
          <w:p>
            <w:pPr>
              <w:pStyle w:val="Normal"/>
              <w:rPr/>
            </w:pPr>
            <w:r>
              <w:rPr/>
            </w:r>
          </w:p>
        </w:tc>
        <w:tc>
          <w:tcPr>
            <w:tcW w:w="716" w:type="dxa"/>
            <w:vMerge w:val="continue"/>
            <w:tcBorders>
              <w:bottom w:val="single" w:sz="16" w:space="0" w:color="000000"/>
            </w:tcBorders>
            <w:shd w:fill="auto" w:val="clear"/>
            <w:tcMar>
              <w:top w:w="0" w:type="dxa"/>
              <w:left w:w="0" w:type="dxa"/>
              <w:right w:w="0" w:type="dxa"/>
            </w:tcMar>
            <w:vAlign w:val="center"/>
          </w:tcPr>
          <w:p>
            <w:pPr>
              <w:pStyle w:val="Normal"/>
              <w:rPr/>
            </w:pPr>
            <w:r>
              <w:rPr/>
            </w:r>
          </w:p>
        </w:tc>
        <w:tc>
          <w:tcPr>
            <w:tcW w:w="4066" w:type="dxa"/>
            <w:tcBorders>
              <w:left w:val="single" w:sz="2" w:space="0" w:color="000000"/>
              <w:bottom w:val="single" w:sz="16" w:space="0" w:color="000000"/>
              <w:right w:val="single" w:sz="2" w:space="0" w:color="000000"/>
            </w:tcBorders>
            <w:shd w:fill="auto" w:val="clear"/>
            <w:tcMar>
              <w:top w:w="0" w:type="dxa"/>
              <w:left w:w="115" w:type="dxa"/>
              <w:right w:w="115" w:type="dxa"/>
            </w:tcMar>
            <w:vAlign w:val="center"/>
          </w:tcPr>
          <w:p>
            <w:pPr>
              <w:pStyle w:val="TableContents"/>
              <w:spacing w:before="0" w:after="0"/>
              <w:ind w:left="0" w:right="0" w:hanging="0"/>
              <w:jc w:val="center"/>
              <w:rPr>
                <w:rFonts w:ascii="Arial;sans-serif" w:hAnsi="Arial;sans-serif"/>
                <w:b w:val="false"/>
                <w:i/>
                <w:sz w:val="18"/>
              </w:rPr>
            </w:pPr>
            <w:r>
              <w:rPr>
                <w:rFonts w:ascii="Arial;sans-serif" w:hAnsi="Arial;sans-serif"/>
                <w:b w:val="false"/>
                <w:i/>
                <w:sz w:val="18"/>
              </w:rPr>
              <w:t>(50% Weighting)</w:t>
            </w:r>
          </w:p>
        </w:tc>
        <w:tc>
          <w:tcPr>
            <w:tcW w:w="2101" w:type="dxa"/>
            <w:tcBorders>
              <w:bottom w:val="single" w:sz="16"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i/>
                <w:sz w:val="18"/>
              </w:rPr>
            </w:pPr>
            <w:r>
              <w:rPr>
                <w:rFonts w:ascii="Arial;sans-serif" w:hAnsi="Arial;sans-serif"/>
                <w:b w:val="false"/>
                <w:i/>
                <w:sz w:val="18"/>
              </w:rPr>
              <w:t>(30% Weighting)</w:t>
            </w:r>
          </w:p>
        </w:tc>
        <w:tc>
          <w:tcPr>
            <w:tcW w:w="1786" w:type="dxa"/>
            <w:tcBorders>
              <w:bottom w:val="single" w:sz="1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i/>
                <w:sz w:val="18"/>
              </w:rPr>
            </w:pPr>
            <w:r>
              <w:rPr>
                <w:rFonts w:ascii="Arial;sans-serif" w:hAnsi="Arial;sans-serif"/>
                <w:b w:val="false"/>
                <w:i/>
                <w:sz w:val="18"/>
              </w:rPr>
              <w:t>(20% Weighting)</w:t>
            </w:r>
          </w:p>
        </w:tc>
      </w:tr>
      <w:tr>
        <w:trPr/>
        <w:tc>
          <w:tcPr>
            <w:tcW w:w="1530" w:type="dxa"/>
            <w:gridSpan w:val="2"/>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Threshold</w:t>
            </w:r>
          </w:p>
        </w:tc>
        <w:tc>
          <w:tcPr>
            <w:tcW w:w="406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106,596</w:t>
            </w:r>
          </w:p>
        </w:tc>
        <w:tc>
          <w:tcPr>
            <w:tcW w:w="210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$162.0M</w:t>
            </w:r>
          </w:p>
        </w:tc>
        <w:tc>
          <w:tcPr>
            <w:tcW w:w="17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($52.0M)</w:t>
            </w:r>
          </w:p>
        </w:tc>
      </w:tr>
      <w:tr>
        <w:trPr/>
        <w:tc>
          <w:tcPr>
            <w:tcW w:w="1530" w:type="dxa"/>
            <w:gridSpan w:val="2"/>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Target</w:t>
            </w:r>
          </w:p>
        </w:tc>
        <w:tc>
          <w:tcPr>
            <w:tcW w:w="406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111,230</w:t>
            </w:r>
          </w:p>
        </w:tc>
        <w:tc>
          <w:tcPr>
            <w:tcW w:w="210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$174.9M</w:t>
            </w:r>
          </w:p>
        </w:tc>
        <w:tc>
          <w:tcPr>
            <w:tcW w:w="17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($36.4M)</w:t>
            </w:r>
          </w:p>
        </w:tc>
      </w:tr>
      <w:tr>
        <w:trPr/>
        <w:tc>
          <w:tcPr>
            <w:tcW w:w="1530" w:type="dxa"/>
            <w:gridSpan w:val="2"/>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Maximum</w:t>
            </w:r>
          </w:p>
        </w:tc>
        <w:tc>
          <w:tcPr>
            <w:tcW w:w="406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120,500</w:t>
            </w:r>
          </w:p>
        </w:tc>
        <w:tc>
          <w:tcPr>
            <w:tcW w:w="210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$195.0M</w:t>
            </w:r>
          </w:p>
        </w:tc>
        <w:tc>
          <w:tcPr>
            <w:tcW w:w="17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($10.0M)</w:t>
            </w:r>
          </w:p>
        </w:tc>
      </w:tr>
      <w:tr>
        <w:trPr/>
        <w:tc>
          <w:tcPr>
            <w:tcW w:w="1530" w:type="dxa"/>
            <w:gridSpan w:val="2"/>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Actual Results</w:t>
            </w:r>
            <w:r>
              <w:rPr>
                <w:rFonts w:ascii="Arial;sans-serif" w:hAnsi="Arial;sans-serif"/>
                <w:b/>
                <w:sz w:val="12"/>
              </w:rPr>
              <w:t>(2)</w:t>
            </w:r>
          </w:p>
        </w:tc>
        <w:tc>
          <w:tcPr>
            <w:tcW w:w="406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 xml:space="preserve">68% of </w:t>
              <w:br/>
              <w:t>Target</w:t>
            </w:r>
          </w:p>
        </w:tc>
        <w:tc>
          <w:tcPr>
            <w:tcW w:w="210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197% of Target</w:t>
            </w:r>
          </w:p>
        </w:tc>
        <w:tc>
          <w:tcPr>
            <w:tcW w:w="17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158% of Target</w:t>
            </w:r>
          </w:p>
        </w:tc>
      </w:tr>
    </w:tbl>
    <w:p>
      <w:pPr>
        <w:pStyle w:val="TextBody"/>
        <w:spacing w:before="240" w:after="0"/>
        <w:jc w:val="center"/>
        <w:rPr>
          <w:rFonts w:ascii="Arial;sans-serif" w:hAnsi="Arial;sans-serif"/>
          <w:b w:val="false"/>
          <w:sz w:val="20"/>
        </w:rPr>
      </w:pPr>
      <w:r>
        <w:rPr>
          <w:rFonts w:ascii="Arial;sans-serif" w:hAnsi="Arial;sans-serif"/>
          <w:b w:val="false"/>
          <w:sz w:val="20"/>
        </w:rPr>
        <w:t>46</w:t>
      </w:r>
    </w:p>
    <w:p>
      <w:pPr>
        <w:pStyle w:val="HorizontalLine"/>
        <w:rPr/>
      </w:pPr>
      <w:r>
        <w:rPr/>
      </w:r>
    </w:p>
    <w:p>
      <w:pPr>
        <w:pStyle w:val="TextBody"/>
        <w:spacing w:before="0" w:after="0"/>
        <w:jc w:val="left"/>
        <w:rPr/>
      </w:pPr>
      <w:r>
        <w:rPr/>
        <w:t> </w:t>
      </w:r>
    </w:p>
    <w:tbl>
      <w:tblPr>
        <w:tblW w:w="3062" w:type="dxa"/>
        <w:jc w:val="left"/>
        <w:tblInd w:w="0" w:type="dxa"/>
        <w:tblCellMar>
          <w:top w:w="28" w:type="dxa"/>
          <w:left w:w="28" w:type="dxa"/>
          <w:bottom w:w="28" w:type="dxa"/>
          <w:right w:w="28" w:type="dxa"/>
        </w:tblCellMar>
      </w:tblPr>
      <w:tblGrid>
        <w:gridCol w:w="1621"/>
        <w:gridCol w:w="1441"/>
      </w:tblGrid>
      <w:tr>
        <w:trPr/>
        <w:tc>
          <w:tcPr>
            <w:tcW w:w="162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1621" w:type="dxa"/>
            <w:tcBorders>
              <w:top w:val="single" w:sz="2" w:space="0" w:color="000000"/>
              <w:bottom w:val="single" w:sz="2" w:space="0" w:color="000000"/>
              <w:right w:val="single" w:sz="2" w:space="0" w:color="000000"/>
            </w:tcBorders>
            <w:shd w:fill="auto" w:val="clear"/>
            <w:tcMar>
              <w:left w:w="0" w:type="dxa"/>
              <w:right w:w="115"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Funded Amount</w:t>
            </w:r>
            <w:r>
              <w:rPr>
                <w:rFonts w:ascii="Arial;sans-serif" w:hAnsi="Arial;sans-serif"/>
                <w:b/>
                <w:sz w:val="12"/>
              </w:rPr>
              <w:t>(3)</w:t>
            </w:r>
          </w:p>
        </w:tc>
        <w:tc>
          <w:tcPr>
            <w:tcW w:w="1441" w:type="dxa"/>
            <w:tcBorders>
              <w:top w:val="single" w:sz="2" w:space="0" w:color="000000"/>
              <w:bottom w:val="single" w:sz="2" w:space="0" w:color="000000"/>
              <w:right w:val="single" w:sz="2" w:space="0" w:color="000000"/>
            </w:tcBorders>
            <w:shd w:fill="auto" w:val="clear"/>
            <w:tcMar>
              <w:left w:w="0" w:type="dxa"/>
              <w:right w:w="115" w:type="dxa"/>
            </w:tcMar>
            <w:vAlign w:val="center"/>
          </w:tcPr>
          <w:p>
            <w:pPr>
              <w:pStyle w:val="TableContents"/>
              <w:spacing w:before="0" w:after="0"/>
              <w:ind w:left="0" w:right="0" w:hanging="0"/>
              <w:jc w:val="center"/>
              <w:rPr>
                <w:rFonts w:ascii="Arial;sans-serif" w:hAnsi="Arial;sans-serif"/>
                <w:b/>
                <w:i/>
                <w:sz w:val="18"/>
              </w:rPr>
            </w:pPr>
            <w:r>
              <w:rPr>
                <w:rFonts w:ascii="Arial;sans-serif" w:hAnsi="Arial;sans-serif"/>
                <w:b/>
                <w:i/>
                <w:sz w:val="18"/>
              </w:rPr>
              <w:t>125% of Target</w:t>
            </w:r>
          </w:p>
        </w:tc>
      </w:tr>
    </w:tbl>
    <w:p>
      <w:pPr>
        <w:pStyle w:val="TextBody"/>
        <w:spacing w:before="0" w:after="0"/>
        <w:jc w:val="left"/>
        <w:rPr/>
      </w:pPr>
      <w:r>
        <w:rPr/>
        <w:t> </w:t>
      </w:r>
    </w:p>
    <w:p>
      <w:pPr>
        <w:pStyle w:val="TextBody"/>
        <w:spacing w:before="0" w:after="120"/>
        <w:jc w:val="left"/>
        <w:rPr>
          <w:rFonts w:ascii="Times New Roman" w:hAnsi="Times New Roman"/>
          <w:b w:val="false"/>
          <w:sz w:val="16"/>
        </w:rPr>
      </w:pPr>
      <w:r>
        <w:rPr>
          <w:rFonts w:ascii="Times New Roman" w:hAnsi="Times New Roman"/>
          <w:b w:val="false"/>
          <w:sz w:val="16"/>
        </w:rPr>
        <w:t>(1)</w:t>
      </w:r>
    </w:p>
    <w:p>
      <w:pPr>
        <w:pStyle w:val="TextBody"/>
        <w:spacing w:before="0" w:after="120"/>
        <w:jc w:val="left"/>
        <w:rPr>
          <w:rFonts w:ascii="Arial;sans-serif" w:hAnsi="Arial;sans-serif"/>
          <w:b w:val="false"/>
          <w:sz w:val="16"/>
        </w:rPr>
      </w:pPr>
      <w:r>
        <w:rPr>
          <w:rFonts w:ascii="Arial;sans-serif" w:hAnsi="Arial;sans-serif"/>
          <w:b w:val="false"/>
          <w:sz w:val="16"/>
        </w:rPr>
        <w:t>Adjusted gross profit and adjusted EBITDA are non-GAAP measures. For a reconciliation to the most directly comparable GAAP measures, please see the Appendix to this proxy statement. For these measures, performance is measured from “Target” to “Maximum” on a linear basis excluding incremental additional accruals for Annual Incentive Plan payouts for performance above “Target.”</w:t>
      </w:r>
    </w:p>
    <w:p>
      <w:pPr>
        <w:pStyle w:val="TextBody"/>
        <w:spacing w:before="120" w:after="120"/>
        <w:jc w:val="left"/>
        <w:rPr>
          <w:rFonts w:ascii="Times New Roman" w:hAnsi="Times New Roman"/>
          <w:b w:val="false"/>
          <w:sz w:val="16"/>
        </w:rPr>
      </w:pPr>
      <w:r>
        <w:rPr>
          <w:rFonts w:ascii="Times New Roman" w:hAnsi="Times New Roman"/>
          <w:b w:val="false"/>
          <w:sz w:val="16"/>
        </w:rPr>
        <w:t>(2)</w:t>
      </w:r>
    </w:p>
    <w:p>
      <w:pPr>
        <w:pStyle w:val="TextBody"/>
        <w:spacing w:before="120" w:after="120"/>
        <w:jc w:val="left"/>
        <w:rPr>
          <w:rFonts w:ascii="Arial;sans-serif" w:hAnsi="Arial;sans-serif"/>
          <w:b w:val="false"/>
          <w:sz w:val="16"/>
        </w:rPr>
      </w:pPr>
      <w:r>
        <w:rPr>
          <w:rFonts w:ascii="Arial;sans-serif" w:hAnsi="Arial;sans-serif"/>
          <w:b w:val="false"/>
          <w:sz w:val="16"/>
        </w:rPr>
        <w:t>The actual percent of target achieved is calculated based on straight-line interpolation between incremental goal levels established between threshold and target and target and maximum.</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283"/>
        <w:jc w:val="left"/>
        <w:rPr>
          <w:rFonts w:ascii="Arial;sans-serif" w:hAnsi="Arial;sans-serif"/>
          <w:b w:val="false"/>
          <w:sz w:val="16"/>
        </w:rPr>
      </w:pPr>
      <w:r>
        <w:rPr>
          <w:rFonts w:ascii="Arial;sans-serif" w:hAnsi="Arial;sans-serif"/>
          <w:b w:val="false"/>
          <w:sz w:val="16"/>
        </w:rPr>
        <w:t>Represents percentage of corporate objectives achieved. Actual payouts to NEOs were adjusted to reflect level of achievement of individual objectives, which ranged from 83% to 93% (which the exception of our CEO, whose payout is entirely based on achievement of corporate objectives).</w:t>
      </w:r>
    </w:p>
    <w:p>
      <w:pPr>
        <w:pStyle w:val="TextBody"/>
        <w:spacing w:before="240" w:after="0"/>
        <w:jc w:val="left"/>
        <w:rPr>
          <w:rFonts w:ascii="Arial;sans-serif" w:hAnsi="Arial;sans-serif"/>
          <w:b w:val="false"/>
          <w:i/>
          <w:sz w:val="20"/>
        </w:rPr>
      </w:pPr>
      <w:r>
        <w:rPr>
          <w:rFonts w:ascii="Arial;sans-serif" w:hAnsi="Arial;sans-serif"/>
          <w:b w:val="false"/>
          <w:i/>
          <w:sz w:val="20"/>
        </w:rPr>
        <w:t>2022 Annual Incentive Plan Payouts</w:t>
      </w:r>
    </w:p>
    <w:p>
      <w:pPr>
        <w:pStyle w:val="TextBody"/>
        <w:spacing w:before="120" w:after="200"/>
        <w:jc w:val="left"/>
        <w:rPr>
          <w:rFonts w:ascii="Arial;sans-serif" w:hAnsi="Arial;sans-serif"/>
          <w:b w:val="false"/>
          <w:sz w:val="20"/>
        </w:rPr>
      </w:pPr>
      <w:r>
        <w:rPr>
          <w:rFonts w:ascii="Arial;sans-serif" w:hAnsi="Arial;sans-serif"/>
          <w:b w:val="false"/>
          <w:sz w:val="20"/>
        </w:rPr>
        <w:t>Based on the above performance results, the funding of the Annual Incentive Plan was set at 125% of each NEO’s applicable target based on the achievement of corporate objectives and subsequently adjusted based on each NEOs individual performance (excluding the CEO whose bonus entirely based on achievement of corporate objectives). Target bonus opportunities for the 2022 year and payout amounts reflect the weighted average of the target bonus opportunity percentages applicable to each NEO for each applicable period throughout the year. The following table lists the actual awards earned by the NEOs in 2022 (and paid in 2023):</w:t>
      </w:r>
    </w:p>
    <w:tbl>
      <w:tblPr>
        <w:tblW w:w="10205" w:type="dxa"/>
        <w:jc w:val="left"/>
        <w:tblInd w:w="0" w:type="dxa"/>
        <w:tblCellMar>
          <w:top w:w="28" w:type="dxa"/>
          <w:left w:w="28" w:type="dxa"/>
          <w:bottom w:w="28" w:type="dxa"/>
          <w:right w:w="28" w:type="dxa"/>
        </w:tblCellMar>
      </w:tblPr>
      <w:tblGrid>
        <w:gridCol w:w="1059"/>
        <w:gridCol w:w="2032"/>
        <w:gridCol w:w="1555"/>
        <w:gridCol w:w="1535"/>
        <w:gridCol w:w="1629"/>
        <w:gridCol w:w="1107"/>
        <w:gridCol w:w="1288"/>
      </w:tblGrid>
      <w:tr>
        <w:trPr/>
        <w:tc>
          <w:tcPr>
            <w:tcW w:w="1059"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r>
      <w:tr>
        <w:trPr/>
        <w:tc>
          <w:tcPr>
            <w:tcW w:w="105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w:t>
            </w:r>
          </w:p>
        </w:tc>
        <w:tc>
          <w:tcPr>
            <w:tcW w:w="20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Weighted-Average Bonus Target</w:t>
            </w:r>
            <w:r>
              <w:rPr>
                <w:rFonts w:ascii="Arial;sans-serif" w:hAnsi="Arial;sans-serif"/>
                <w:b/>
                <w:sz w:val="12"/>
              </w:rPr>
              <w:t>(1)</w:t>
            </w:r>
            <w:r>
              <w:rPr>
                <w:rFonts w:ascii="Times New Roman" w:hAnsi="Times New Roman"/>
                <w:sz w:val="18"/>
              </w:rPr>
              <w:t> </w:t>
            </w:r>
            <w:r>
              <w:rPr>
                <w:rFonts w:ascii="Arial;sans-serif" w:hAnsi="Arial;sans-serif"/>
                <w:b/>
                <w:sz w:val="18"/>
              </w:rPr>
              <w:t>(%)</w:t>
            </w:r>
            <w:r>
              <w:rPr>
                <w:rFonts w:ascii="Times New Roman" w:hAnsi="Times New Roman"/>
                <w:sz w:val="18"/>
              </w:rPr>
              <w:t xml:space="preserve"> </w:t>
            </w:r>
          </w:p>
        </w:tc>
        <w:tc>
          <w:tcPr>
            <w:tcW w:w="155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Corporate Performance Results </w:t>
              <w:br/>
              <w:t>(%)</w:t>
            </w:r>
          </w:p>
        </w:tc>
        <w:tc>
          <w:tcPr>
            <w:tcW w:w="153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Individual Performance Results</w:t>
              <w:br/>
              <w:t>(%)</w:t>
            </w:r>
          </w:p>
        </w:tc>
        <w:tc>
          <w:tcPr>
            <w:tcW w:w="162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2022 Target Bonus Opportunity – Full Year </w:t>
              <w:br/>
              <w:t>($)</w:t>
            </w:r>
          </w:p>
        </w:tc>
        <w:tc>
          <w:tcPr>
            <w:tcW w:w="110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Actual Payout Amount</w:t>
            </w:r>
            <w:r>
              <w:rPr>
                <w:rFonts w:ascii="Arial;sans-serif" w:hAnsi="Arial;sans-serif"/>
                <w:b/>
                <w:sz w:val="12"/>
              </w:rPr>
              <w:t>(2)</w:t>
            </w:r>
            <w:r>
              <w:rPr>
                <w:rFonts w:ascii="Times New Roman" w:hAnsi="Times New Roman"/>
                <w:sz w:val="18"/>
              </w:rPr>
              <w:t>  </w:t>
            </w:r>
            <w:r>
              <w:rPr>
                <w:rFonts w:ascii="Arial;sans-serif" w:hAnsi="Arial;sans-serif"/>
                <w:b/>
                <w:sz w:val="18"/>
              </w:rPr>
              <w:br/>
              <w:t>($)</w:t>
            </w:r>
          </w:p>
        </w:tc>
        <w:tc>
          <w:tcPr>
            <w:tcW w:w="128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Actual Payout as Percent of Target </w:t>
              <w:br/>
              <w:t>(%)</w:t>
            </w:r>
          </w:p>
        </w:tc>
      </w:tr>
      <w:tr>
        <w:trPr/>
        <w:tc>
          <w:tcPr>
            <w:tcW w:w="105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John Kao</w:t>
            </w:r>
            <w:r>
              <w:rPr>
                <w:rFonts w:ascii="Arial;sans-serif" w:hAnsi="Arial;sans-serif"/>
                <w:b w:val="false"/>
                <w:sz w:val="12"/>
              </w:rPr>
              <w:t>(3)</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w:t>
            </w:r>
          </w:p>
        </w:tc>
        <w:tc>
          <w:tcPr>
            <w:tcW w:w="155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125</w:t>
            </w:r>
          </w:p>
        </w:tc>
        <w:tc>
          <w:tcPr>
            <w:tcW w:w="15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w:t>
            </w:r>
          </w:p>
        </w:tc>
        <w:tc>
          <w:tcPr>
            <w:tcW w:w="16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729,827</w:t>
            </w:r>
          </w:p>
        </w:tc>
        <w:tc>
          <w:tcPr>
            <w:tcW w:w="110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910,664</w:t>
            </w:r>
          </w:p>
        </w:tc>
        <w:tc>
          <w:tcPr>
            <w:tcW w:w="1288"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124.8</w:t>
            </w:r>
          </w:p>
        </w:tc>
      </w:tr>
      <w:tr>
        <w:trPr/>
        <w:tc>
          <w:tcPr>
            <w:tcW w:w="105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Thomas Freeman</w:t>
            </w:r>
            <w:r>
              <w:rPr>
                <w:rFonts w:ascii="Arial;sans-serif" w:hAnsi="Arial;sans-serif"/>
                <w:b w:val="false"/>
                <w:sz w:val="12"/>
              </w:rPr>
              <w:t>(3)</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76</w:t>
            </w:r>
          </w:p>
        </w:tc>
        <w:tc>
          <w:tcPr>
            <w:tcW w:w="155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125</w:t>
            </w:r>
          </w:p>
        </w:tc>
        <w:tc>
          <w:tcPr>
            <w:tcW w:w="15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93</w:t>
            </w:r>
          </w:p>
        </w:tc>
        <w:tc>
          <w:tcPr>
            <w:tcW w:w="16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413,558</w:t>
            </w:r>
          </w:p>
        </w:tc>
        <w:tc>
          <w:tcPr>
            <w:tcW w:w="110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433,632</w:t>
            </w:r>
          </w:p>
        </w:tc>
        <w:tc>
          <w:tcPr>
            <w:tcW w:w="1288"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116.8</w:t>
            </w:r>
          </w:p>
        </w:tc>
      </w:tr>
      <w:tr>
        <w:trPr/>
        <w:tc>
          <w:tcPr>
            <w:tcW w:w="105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Dawn Maroney</w:t>
            </w:r>
            <w:r>
              <w:rPr>
                <w:rFonts w:ascii="Arial;sans-serif" w:hAnsi="Arial;sans-serif"/>
                <w:b w:val="false"/>
                <w:sz w:val="12"/>
              </w:rPr>
              <w:t>(3)</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w:t>
            </w:r>
          </w:p>
        </w:tc>
        <w:tc>
          <w:tcPr>
            <w:tcW w:w="155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125</w:t>
            </w:r>
          </w:p>
        </w:tc>
        <w:tc>
          <w:tcPr>
            <w:tcW w:w="15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83</w:t>
            </w:r>
          </w:p>
        </w:tc>
        <w:tc>
          <w:tcPr>
            <w:tcW w:w="16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473,712</w:t>
            </w:r>
          </w:p>
        </w:tc>
        <w:tc>
          <w:tcPr>
            <w:tcW w:w="110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541,611</w:t>
            </w:r>
          </w:p>
        </w:tc>
        <w:tc>
          <w:tcPr>
            <w:tcW w:w="1288"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114.3</w:t>
            </w:r>
          </w:p>
        </w:tc>
      </w:tr>
      <w:tr>
        <w:trPr/>
        <w:tc>
          <w:tcPr>
            <w:tcW w:w="105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Dinesh Kumar</w:t>
            </w:r>
            <w:r>
              <w:rPr>
                <w:rFonts w:ascii="Arial;sans-serif" w:hAnsi="Arial;sans-serif"/>
                <w:b w:val="false"/>
                <w:sz w:val="12"/>
              </w:rPr>
              <w:t>(3)</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85</w:t>
            </w:r>
          </w:p>
        </w:tc>
        <w:tc>
          <w:tcPr>
            <w:tcW w:w="155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125</w:t>
            </w:r>
          </w:p>
        </w:tc>
        <w:tc>
          <w:tcPr>
            <w:tcW w:w="15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83</w:t>
            </w:r>
          </w:p>
        </w:tc>
        <w:tc>
          <w:tcPr>
            <w:tcW w:w="16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462,269</w:t>
            </w:r>
          </w:p>
        </w:tc>
        <w:tc>
          <w:tcPr>
            <w:tcW w:w="110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528,529</w:t>
            </w:r>
          </w:p>
        </w:tc>
        <w:tc>
          <w:tcPr>
            <w:tcW w:w="1288"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114.3</w:t>
            </w:r>
          </w:p>
        </w:tc>
      </w:tr>
      <w:tr>
        <w:trPr/>
        <w:tc>
          <w:tcPr>
            <w:tcW w:w="105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Richard Cross</w:t>
            </w:r>
            <w:r>
              <w:rPr>
                <w:rFonts w:ascii="Arial;sans-serif" w:hAnsi="Arial;sans-serif"/>
                <w:b w:val="false"/>
                <w:sz w:val="12"/>
              </w:rPr>
              <w:t>(3)</w:t>
            </w:r>
          </w:p>
        </w:tc>
        <w:tc>
          <w:tcPr>
            <w:tcW w:w="2032"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50</w:t>
            </w:r>
          </w:p>
        </w:tc>
        <w:tc>
          <w:tcPr>
            <w:tcW w:w="155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125</w:t>
            </w:r>
          </w:p>
        </w:tc>
        <w:tc>
          <w:tcPr>
            <w:tcW w:w="153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88</w:t>
            </w:r>
          </w:p>
        </w:tc>
        <w:tc>
          <w:tcPr>
            <w:tcW w:w="1629"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193,269</w:t>
            </w:r>
          </w:p>
        </w:tc>
        <w:tc>
          <w:tcPr>
            <w:tcW w:w="110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223,194</w:t>
            </w:r>
          </w:p>
        </w:tc>
        <w:tc>
          <w:tcPr>
            <w:tcW w:w="1288"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115.5</w:t>
            </w:r>
          </w:p>
        </w:tc>
      </w:tr>
    </w:tbl>
    <w:p>
      <w:pPr>
        <w:pStyle w:val="TextBody"/>
        <w:spacing w:before="160" w:after="160"/>
        <w:jc w:val="left"/>
        <w:rPr>
          <w:rFonts w:ascii="Times New Roman" w:hAnsi="Times New Roman"/>
          <w:b w:val="false"/>
          <w:sz w:val="16"/>
        </w:rPr>
      </w:pPr>
      <w:r>
        <w:rPr>
          <w:rFonts w:ascii="Times New Roman" w:hAnsi="Times New Roman"/>
          <w:b w:val="false"/>
          <w:sz w:val="16"/>
        </w:rPr>
        <w:t>(1)</w:t>
      </w:r>
    </w:p>
    <w:p>
      <w:pPr>
        <w:pStyle w:val="TextBody"/>
        <w:spacing w:before="160" w:after="160"/>
        <w:jc w:val="left"/>
        <w:rPr/>
      </w:pPr>
      <w:r>
        <w:rPr>
          <w:rFonts w:ascii="Arial;sans-serif" w:hAnsi="Arial;sans-serif"/>
          <w:b w:val="false"/>
          <w:sz w:val="16"/>
        </w:rPr>
        <w:t>Represents the aggregate target bonus opportunity expressed as a weighted-average percentage reflecting the base salaries and bonus targets applicable for portions of the fiscal year. See “</w:t>
      </w:r>
      <w:r>
        <w:rPr/>
        <w:t>—</w:t>
      </w:r>
      <w:r>
        <w:rPr>
          <w:rFonts w:ascii="Arial;sans-serif" w:hAnsi="Arial;sans-serif"/>
          <w:b w:val="false"/>
          <w:i/>
          <w:sz w:val="16"/>
        </w:rPr>
        <w:t>Annual Incentives</w:t>
      </w:r>
      <w:r>
        <w:rPr/>
        <w:t xml:space="preserve">” </w:t>
      </w:r>
      <w:r>
        <w:rPr>
          <w:rFonts w:ascii="Arial;sans-serif" w:hAnsi="Arial;sans-serif"/>
          <w:b w:val="false"/>
          <w:sz w:val="16"/>
        </w:rPr>
        <w:t>above.</w:t>
      </w:r>
    </w:p>
    <w:p>
      <w:pPr>
        <w:pStyle w:val="TextBody"/>
        <w:spacing w:before="160" w:after="160"/>
        <w:jc w:val="left"/>
        <w:rPr>
          <w:rFonts w:ascii="Times New Roman" w:hAnsi="Times New Roman"/>
          <w:b w:val="false"/>
          <w:sz w:val="16"/>
        </w:rPr>
      </w:pPr>
      <w:r>
        <w:rPr>
          <w:rFonts w:ascii="Times New Roman" w:hAnsi="Times New Roman"/>
          <w:b w:val="false"/>
          <w:sz w:val="16"/>
        </w:rPr>
        <w:t>(2)</w:t>
      </w:r>
    </w:p>
    <w:p>
      <w:pPr>
        <w:pStyle w:val="TextBody"/>
        <w:spacing w:before="160" w:after="160"/>
        <w:jc w:val="left"/>
        <w:rPr/>
      </w:pPr>
      <w:r>
        <w:rPr>
          <w:rFonts w:ascii="Arial;sans-serif" w:hAnsi="Arial;sans-serif"/>
          <w:b w:val="false"/>
          <w:sz w:val="16"/>
        </w:rPr>
        <w:t>Represents payout based on achievement of corporate objectives established at 125% and individual objectives as shown in the table. Actual payout in March 2023 was 80% of these amounts, with the remaining 20% held back and potentially payable in the fourth quarter of 2023, subject to the modifier based on the Company’s CMS Star Ratings. See “—</w:t>
      </w:r>
      <w:r>
        <w:rPr>
          <w:rFonts w:ascii="Arial;sans-serif" w:hAnsi="Arial;sans-serif"/>
          <w:b w:val="false"/>
          <w:i/>
          <w:sz w:val="16"/>
        </w:rPr>
        <w:t>2022 Annual Incentive Plan Payouts—Adjustment for CMS Star Ratings</w:t>
      </w:r>
      <w:r>
        <w:rPr/>
        <w:t xml:space="preserve">” </w:t>
      </w:r>
      <w:r>
        <w:rPr>
          <w:rFonts w:ascii="Arial;sans-serif" w:hAnsi="Arial;sans-serif"/>
          <w:b w:val="false"/>
          <w:sz w:val="16"/>
        </w:rPr>
        <w:t>below.</w:t>
      </w:r>
    </w:p>
    <w:p>
      <w:pPr>
        <w:pStyle w:val="TextBody"/>
        <w:spacing w:before="200" w:after="0"/>
        <w:jc w:val="left"/>
        <w:rPr>
          <w:rFonts w:ascii="Times New Roman" w:hAnsi="Times New Roman"/>
          <w:sz w:val="20"/>
        </w:rPr>
      </w:pPr>
      <w:r>
        <w:rPr>
          <w:rFonts w:ascii="Arial;sans-serif" w:hAnsi="Arial;sans-serif"/>
          <w:b w:val="false"/>
          <w:i/>
          <w:sz w:val="20"/>
        </w:rPr>
        <w:t>Adjustment for CMS Star Ratings.</w:t>
      </w:r>
      <w:r>
        <w:rPr>
          <w:rFonts w:ascii="Times New Roman" w:hAnsi="Times New Roman"/>
          <w:sz w:val="20"/>
        </w:rPr>
        <w:t xml:space="preserve"> </w:t>
      </w:r>
      <w:r>
        <w:rPr>
          <w:rFonts w:ascii="Arial;sans-serif" w:hAnsi="Arial;sans-serif"/>
          <w:b w:val="false"/>
          <w:sz w:val="20"/>
        </w:rPr>
        <w:t>As described above, 20% of each NEOs total 2022 Annual Incentive Plan payout based on corporate and individual performance will not be paid until the fourth quarter of 2023. The amount of the holdback that is paid to each NEO is subject to an adjustment based on the CMS Star Rating achieved by the Company’s Medicare Advantage plans. Each rated health plan has an “Overall” quality rating of 1 to 5 stars (5 is highest), which accounts for member experience, medical care, and health plan administration.</w:t>
      </w:r>
    </w:p>
    <w:p>
      <w:pPr>
        <w:pStyle w:val="TextBody"/>
        <w:spacing w:before="200" w:after="200"/>
        <w:jc w:val="left"/>
        <w:rPr>
          <w:rFonts w:ascii="Arial;sans-serif" w:hAnsi="Arial;sans-serif"/>
          <w:b w:val="false"/>
          <w:sz w:val="20"/>
        </w:rPr>
      </w:pPr>
      <w:r>
        <w:rPr>
          <w:rFonts w:ascii="Arial;sans-serif" w:hAnsi="Arial;sans-serif"/>
          <w:b w:val="false"/>
          <w:sz w:val="20"/>
        </w:rPr>
        <w:t>A plan’s overall rating is based on three general categories:</w:t>
      </w:r>
    </w:p>
    <w:p>
      <w:pPr>
        <w:pStyle w:val="TextBody"/>
        <w:spacing w:before="0" w:after="200"/>
        <w:jc w:val="left"/>
        <w:rPr/>
      </w:pPr>
      <w:r>
        <w:rPr/>
        <w:t>•</w:t>
      </w:r>
    </w:p>
    <w:p>
      <w:pPr>
        <w:pStyle w:val="TextBody"/>
        <w:spacing w:before="0" w:after="200"/>
        <w:jc w:val="left"/>
        <w:rPr/>
      </w:pPr>
      <w:r>
        <w:rPr>
          <w:rFonts w:ascii="Arial;sans-serif" w:hAnsi="Arial;sans-serif"/>
          <w:b w:val="false"/>
          <w:i/>
          <w:sz w:val="20"/>
        </w:rPr>
        <w:t>Member experience</w:t>
      </w:r>
      <w:r>
        <w:rPr>
          <w:rFonts w:ascii="Arial;sans-serif" w:hAnsi="Arial;sans-serif"/>
          <w:b w:val="false"/>
          <w:sz w:val="20"/>
        </w:rPr>
        <w:t>: Based on surveys of member satisfaction including:</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Their health care and doctors</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Ease of getting appointments and services</w:t>
      </w:r>
    </w:p>
    <w:p>
      <w:pPr>
        <w:pStyle w:val="TextBody"/>
        <w:spacing w:before="0" w:after="200"/>
        <w:jc w:val="left"/>
        <w:rPr/>
      </w:pPr>
      <w:r>
        <w:rPr/>
        <w:t>•</w:t>
      </w:r>
    </w:p>
    <w:p>
      <w:pPr>
        <w:pStyle w:val="TextBody"/>
        <w:spacing w:before="0" w:after="200"/>
        <w:jc w:val="left"/>
        <w:rPr/>
      </w:pPr>
      <w:r>
        <w:rPr>
          <w:rFonts w:ascii="Arial;sans-serif" w:hAnsi="Arial;sans-serif"/>
          <w:b w:val="false"/>
          <w:i/>
          <w:sz w:val="20"/>
        </w:rPr>
        <w:t>Medical care</w:t>
      </w:r>
      <w:r>
        <w:rPr>
          <w:rFonts w:ascii="Arial;sans-serif" w:hAnsi="Arial;sans-serif"/>
          <w:b w:val="false"/>
          <w:sz w:val="20"/>
        </w:rPr>
        <w:t>: Based on how well the plan's network providers manage member health care, including:</w:t>
      </w:r>
    </w:p>
    <w:p>
      <w:pPr>
        <w:pStyle w:val="TextBody"/>
        <w:spacing w:before="240" w:after="0"/>
        <w:jc w:val="center"/>
        <w:rPr>
          <w:rFonts w:ascii="Arial;sans-serif" w:hAnsi="Arial;sans-serif"/>
          <w:b w:val="false"/>
          <w:sz w:val="20"/>
        </w:rPr>
      </w:pPr>
      <w:r>
        <w:rPr>
          <w:rFonts w:ascii="Arial;sans-serif" w:hAnsi="Arial;sans-serif"/>
          <w:b w:val="false"/>
          <w:sz w:val="20"/>
        </w:rPr>
        <w:t>47</w:t>
      </w:r>
    </w:p>
    <w:p>
      <w:pPr>
        <w:pStyle w:val="HorizontalLine"/>
        <w:rPr/>
      </w:pPr>
      <w:r>
        <w:rPr/>
      </w:r>
    </w:p>
    <w:p>
      <w:pPr>
        <w:pStyle w:val="TextBody"/>
        <w:spacing w:before="0" w:after="0"/>
        <w:jc w:val="left"/>
        <w:rPr/>
      </w:pPr>
      <w:r>
        <w:rPr/>
        <w:t> </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Providing regular screenings, vaccines, and other basic health services</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Monitoring some conditions</w:t>
      </w:r>
    </w:p>
    <w:p>
      <w:pPr>
        <w:pStyle w:val="TextBody"/>
        <w:spacing w:before="0" w:after="200"/>
        <w:jc w:val="left"/>
        <w:rPr/>
      </w:pPr>
      <w:r>
        <w:rPr/>
        <w:t>•</w:t>
      </w:r>
    </w:p>
    <w:p>
      <w:pPr>
        <w:pStyle w:val="TextBody"/>
        <w:spacing w:before="0" w:after="200"/>
        <w:jc w:val="left"/>
        <w:rPr/>
      </w:pPr>
      <w:r>
        <w:rPr>
          <w:rFonts w:ascii="Arial;sans-serif" w:hAnsi="Arial;sans-serif"/>
          <w:b w:val="false"/>
          <w:i/>
          <w:sz w:val="20"/>
        </w:rPr>
        <w:t>Plan administration</w:t>
      </w:r>
      <w:r>
        <w:rPr>
          <w:rFonts w:ascii="Arial;sans-serif" w:hAnsi="Arial;sans-serif"/>
          <w:b w:val="false"/>
          <w:sz w:val="20"/>
        </w:rPr>
        <w:t>: Based on how well the plan is run, including:</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Customer service</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Access to needed information</w:t>
      </w:r>
    </w:p>
    <w:p>
      <w:pPr>
        <w:pStyle w:val="TextBody"/>
        <w:spacing w:before="0" w:after="200"/>
        <w:jc w:val="left"/>
        <w:rPr>
          <w:rFonts w:ascii="Times New Roman" w:hAnsi="Times New Roman"/>
          <w:b w:val="false"/>
          <w:sz w:val="20"/>
        </w:rPr>
      </w:pPr>
      <w:r>
        <w:rPr>
          <w:rFonts w:ascii="Times New Roman" w:hAnsi="Times New Roman"/>
          <w:b w:val="false"/>
          <w:sz w:val="20"/>
        </w:rPr>
        <w:t>o</w:t>
      </w:r>
    </w:p>
    <w:p>
      <w:pPr>
        <w:pStyle w:val="TextBody"/>
        <w:spacing w:before="0" w:after="200"/>
        <w:jc w:val="left"/>
        <w:rPr>
          <w:rFonts w:ascii="Arial;sans-serif" w:hAnsi="Arial;sans-serif"/>
          <w:b w:val="false"/>
          <w:sz w:val="20"/>
        </w:rPr>
      </w:pPr>
      <w:r>
        <w:rPr>
          <w:rFonts w:ascii="Arial;sans-serif" w:hAnsi="Arial;sans-serif"/>
          <w:b w:val="false"/>
          <w:sz w:val="20"/>
        </w:rPr>
        <w:t>Network providers ordering appropriate tests and treatment</w:t>
      </w:r>
    </w:p>
    <w:p>
      <w:pPr>
        <w:pStyle w:val="TextBody"/>
        <w:spacing w:before="0" w:after="200"/>
        <w:jc w:val="left"/>
        <w:rPr>
          <w:rFonts w:ascii="Arial;sans-serif" w:hAnsi="Arial;sans-serif"/>
          <w:b w:val="false"/>
          <w:sz w:val="20"/>
        </w:rPr>
      </w:pPr>
      <w:r>
        <w:rPr>
          <w:rFonts w:ascii="Arial;sans-serif" w:hAnsi="Arial;sans-serif"/>
          <w:b w:val="false"/>
          <w:sz w:val="20"/>
        </w:rPr>
        <w:t>All health plan ratings are calculated the same way, using the same information sources.</w:t>
      </w:r>
    </w:p>
    <w:p>
      <w:pPr>
        <w:pStyle w:val="TextBody"/>
        <w:spacing w:before="0" w:after="200"/>
        <w:jc w:val="left"/>
        <w:rPr>
          <w:rFonts w:ascii="Arial;sans-serif" w:hAnsi="Arial;sans-serif"/>
          <w:b w:val="false"/>
          <w:sz w:val="20"/>
        </w:rPr>
      </w:pPr>
      <w:r>
        <w:rPr>
          <w:rFonts w:ascii="Arial;sans-serif" w:hAnsi="Arial;sans-serif"/>
          <w:b w:val="false"/>
          <w:sz w:val="20"/>
        </w:rPr>
        <w:t>When the prior fiscal year’s results are available in the fourth quarter of 2023, the NEO’s final payouts will be adjusted as follows:</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3.5 stars or lower will result in a 20% decrease in each NEO’s aggregate bonus (i.e., no payment of the 20% holdback will occur);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4.0 stars will result in a 5% increase in each NEO’s aggregate bonus;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4.5 stars will result in a 20% increase in each NEO’s aggregate bonus; and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5.0 stars will result in a 50% increase in each NEO’s aggregate bonus.</w:t>
      </w:r>
    </w:p>
    <w:p>
      <w:pPr>
        <w:pStyle w:val="TextBody"/>
        <w:spacing w:before="0" w:after="200"/>
        <w:jc w:val="left"/>
        <w:rPr>
          <w:rFonts w:ascii="Arial;sans-serif" w:hAnsi="Arial;sans-serif"/>
          <w:b w:val="false"/>
          <w:sz w:val="20"/>
        </w:rPr>
      </w:pPr>
      <w:r>
        <w:rPr>
          <w:rFonts w:ascii="Arial;sans-serif" w:hAnsi="Arial;sans-serif"/>
          <w:b w:val="false"/>
          <w:sz w:val="20"/>
        </w:rPr>
        <w:t>For the 2023 fiscal year, the Compensation Committee has made changes to percentages by which the NEO’s final payouts will be adjusted, as follows:</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3.5 stars or lower will result in a 25% decrease in each NEO’s aggregate bonus (i.e., no payment of the 25% holdback will occur);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4.0 stars will result in a 5% decrease in each NEO’s aggregate bonus;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 xml:space="preserve">4.5 stars will result in a 40% increase in each NEO’s aggregate bonus; and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5.0 stars will result in a 50% increase in each NEO’s aggregate bonus.</w:t>
      </w:r>
    </w:p>
    <w:p>
      <w:pPr>
        <w:pStyle w:val="TextBody"/>
        <w:spacing w:before="0" w:after="200"/>
        <w:jc w:val="left"/>
        <w:rPr>
          <w:rFonts w:ascii="Arial;sans-serif" w:hAnsi="Arial;sans-serif"/>
          <w:b w:val="false"/>
          <w:sz w:val="20"/>
        </w:rPr>
      </w:pPr>
      <w:r>
        <w:rPr>
          <w:rFonts w:ascii="Arial;sans-serif" w:hAnsi="Arial;sans-serif"/>
          <w:b w:val="false"/>
          <w:sz w:val="20"/>
        </w:rPr>
        <w:t>These changes are applicable to Annual Incentive Plan cash payouts for all eligible employees. The Committee made these revisions to the 2023 Annual Incentive Plan in order to align more closely our employees incentives with the results of the CMS Star Ratings, which the Company believes are critical to future membership growth.</w:t>
      </w:r>
    </w:p>
    <w:p>
      <w:pPr>
        <w:pStyle w:val="TextBody"/>
        <w:spacing w:before="240" w:after="0"/>
        <w:jc w:val="left"/>
        <w:rPr>
          <w:rFonts w:ascii="Arial;sans-serif" w:hAnsi="Arial;sans-serif"/>
          <w:b/>
          <w:i/>
          <w:sz w:val="20"/>
        </w:rPr>
      </w:pPr>
      <w:r>
        <w:rPr>
          <w:rFonts w:ascii="Arial;sans-serif" w:hAnsi="Arial;sans-serif"/>
          <w:b/>
          <w:i/>
          <w:sz w:val="20"/>
        </w:rPr>
        <w:t>Long-Term Equity Incentives</w:t>
      </w:r>
    </w:p>
    <w:p>
      <w:pPr>
        <w:pStyle w:val="TextBody"/>
        <w:spacing w:before="240" w:after="0"/>
        <w:jc w:val="left"/>
        <w:rPr>
          <w:rFonts w:ascii="Times New Roman" w:hAnsi="Times New Roman"/>
          <w:sz w:val="20"/>
        </w:rPr>
      </w:pPr>
      <w:r>
        <w:rPr>
          <w:rFonts w:ascii="Arial;sans-serif" w:hAnsi="Arial;sans-serif"/>
          <w:b w:val="false"/>
          <w:sz w:val="20"/>
        </w:rPr>
        <w:t>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Pre-Initial Public Offering Awards.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Prior to our IPO, Alignment Partners had granted profits interests in the form of Class B and Class C Units (</w:t>
      </w:r>
      <w:r>
        <w:rPr>
          <w:rFonts w:ascii="Arial;sans-serif" w:hAnsi="Arial;sans-serif"/>
          <w:b w:val="false"/>
          <w:i/>
          <w:sz w:val="20"/>
        </w:rPr>
        <w:t>i.e.</w:t>
      </w:r>
      <w:r>
        <w:rPr>
          <w:rFonts w:ascii="Arial;sans-serif" w:hAnsi="Arial;sans-serif"/>
          <w:b w:val="false"/>
          <w:sz w:val="20"/>
        </w:rPr>
        <w:t>, incentive units) to certain key employees of the Company, which were governed by the terms of the individual award agreement documenting the grant and the Alignment Partners partnership agreement. Unless otherwise provided in an individual award agreement, a specified percentage of each grant of incentive units would be fully vested upon grant, a specified percentage would vest based on service, and the remaining percentage would vest based on the occurrence of a “change of control.” The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service-based incentive units generally vested 25% on the first four anniversaries of the applicable vesting commencement date, subject to the employee’s continued employment or service on each such vesting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addition, Alignment Healthcare Holdings, LLC maintained a Stock Appreciation Rights Plan, effective as of December 14, 2014 (the “SAR Plan”), which provided for the grant of stock appreciation rights (“SARs”) to key employees of the Company (including Mr. Freeman). The SARs issued under the SAR Plan were phantom equity interests that allowed the grantee to share in the appreciation of our business above a certain threshold, and represented the right to receive cash equal to the excess of (i) the aggregate fair market value of a portion of the equity interests of Alignment Healthcare Holdings, LLC, over (y) the aggregate applicable exercise price. The threshold price for each SAR grant was the fair market value of Alignment Healthcare Holdings, LLC’s business as of the applicable date of grant. Awards of SARs were governed by the terms of the SAR Plan and the individual award letter documenting the grant. Unless otherwise provided in an individual award letter, each grant of SARs would vest 80% based on service and 20% based on the occurrence of a change of control. The service-based SARs would vest 25% on the first four anniversaries of the initial vesting date, subject to the employee’s continued employment on each such vesting date.</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As of the time of our IPO, only the service-based portion of Class B units were fully vested. Our IPO was not considered a change in control for purposes of the SAR Plan. In connection with our IPO, all vested incentive units and SARs were converted into the economic equivalent number of vested shares of common stock of the Company (with 50% of SARs subject to cash settlement and the remaining 50% subject to stock settlement), and all unvested incentive units and SARs were converted into the economic equivalent number of restricted shares of the Company. Restricted shares of the Company that converted from unvested performance-based incentive units and SARs will vest (i) 50% on the later of (x) the fourth anniversary of the initial vesting date and (y) the first anniversary of our IPO and (ii) 50% on the later of (x) the fourth anniversary of the initial vesting date and (y) the second anniversary of our IPO, in each case, subject to continued employment or service on each such vesting date. Restricted shares of the Company that converted from unvested service-based incentive units and SARs remain subject to the applicable employee’s vesting schedule as in effect immediately prior to the IPO. Such restricted shares to the extent unvested shall accelerate and vest upon the occurrence of a change of control.</w:t>
      </w:r>
    </w:p>
    <w:p>
      <w:pPr>
        <w:pStyle w:val="TextBody"/>
        <w:spacing w:before="0" w:after="0"/>
        <w:jc w:val="left"/>
        <w:rPr/>
      </w:pPr>
      <w:r>
        <w:rPr/>
        <w:t> </w:t>
      </w:r>
    </w:p>
    <w:p>
      <w:pPr>
        <w:pStyle w:val="TextBody"/>
        <w:spacing w:before="200" w:after="200"/>
        <w:jc w:val="left"/>
        <w:rPr>
          <w:rFonts w:ascii="Times New Roman" w:hAnsi="Times New Roman"/>
          <w:sz w:val="20"/>
        </w:rPr>
      </w:pPr>
      <w:r>
        <w:rPr>
          <w:rFonts w:ascii="Arial;sans-serif" w:hAnsi="Arial;sans-serif"/>
          <w:b w:val="false"/>
          <w:sz w:val="20"/>
        </w:rPr>
        <w:t>The table below sets forth, as of the closing date of our IPO, (i) the number of shares of common stock converted from vested incentive units and SARs and (ii) the number of restricted shares converted from unvested incentive units and SARs, in each case, held by our NEOs: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275"/>
        <w:gridCol w:w="1458"/>
        <w:gridCol w:w="3304"/>
        <w:gridCol w:w="4168"/>
      </w:tblGrid>
      <w:tr>
        <w:trPr/>
        <w:tc>
          <w:tcPr>
            <w:tcW w:w="1275"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3304" w:type="dxa"/>
            <w:tcBorders/>
            <w:shd w:fill="auto" w:val="clear"/>
            <w:vAlign w:val="center"/>
          </w:tcPr>
          <w:p>
            <w:pPr>
              <w:pStyle w:val="TableContents"/>
              <w:spacing w:before="0" w:after="283"/>
              <w:rPr>
                <w:sz w:val="4"/>
                <w:szCs w:val="4"/>
              </w:rPr>
            </w:pPr>
            <w:r>
              <w:rPr>
                <w:sz w:val="4"/>
                <w:szCs w:val="4"/>
              </w:rPr>
            </w:r>
          </w:p>
        </w:tc>
        <w:tc>
          <w:tcPr>
            <w:tcW w:w="4168" w:type="dxa"/>
            <w:tcBorders/>
            <w:shd w:fill="auto" w:val="clear"/>
            <w:vAlign w:val="center"/>
          </w:tcPr>
          <w:p>
            <w:pPr>
              <w:pStyle w:val="TableContents"/>
              <w:spacing w:before="0" w:after="283"/>
              <w:rPr>
                <w:sz w:val="4"/>
                <w:szCs w:val="4"/>
              </w:rPr>
            </w:pPr>
            <w:r>
              <w:rPr>
                <w:sz w:val="4"/>
                <w:szCs w:val="4"/>
              </w:rPr>
            </w:r>
          </w:p>
        </w:tc>
      </w:tr>
      <w:tr>
        <w:trPr/>
        <w:tc>
          <w:tcPr>
            <w:tcW w:w="1275"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w:t>
            </w:r>
          </w:p>
        </w:tc>
        <w:tc>
          <w:tcPr>
            <w:tcW w:w="145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Vested Common Stock</w:t>
            </w:r>
          </w:p>
        </w:tc>
        <w:tc>
          <w:tcPr>
            <w:tcW w:w="330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Unvested</w:t>
            </w:r>
            <w:r>
              <w:rPr>
                <w:rFonts w:ascii="Times New Roman" w:hAnsi="Times New Roman"/>
                <w:sz w:val="18"/>
              </w:rPr>
              <w:t xml:space="preserve"> </w:t>
            </w:r>
          </w:p>
          <w:p>
            <w:pPr>
              <w:pStyle w:val="TableContents"/>
              <w:spacing w:before="0" w:after="0"/>
              <w:ind w:left="0" w:right="0" w:hanging="0"/>
              <w:jc w:val="center"/>
              <w:rPr>
                <w:rFonts w:ascii="Times New Roman" w:hAnsi="Times New Roman"/>
                <w:sz w:val="18"/>
              </w:rPr>
            </w:pPr>
            <w:r>
              <w:rPr>
                <w:rFonts w:ascii="Arial;sans-serif" w:hAnsi="Arial;sans-serif"/>
                <w:b/>
                <w:sz w:val="18"/>
              </w:rPr>
              <w:t xml:space="preserve">Restricted Shares </w:t>
            </w:r>
            <w:r>
              <w:rPr>
                <w:rFonts w:ascii="Arial;sans-serif" w:hAnsi="Arial;sans-serif"/>
                <w:b w:val="false"/>
                <w:i/>
                <w:sz w:val="18"/>
              </w:rPr>
              <w:t>(Converted from Service-Based Incentive Units)</w:t>
            </w:r>
            <w:r>
              <w:rPr>
                <w:rFonts w:ascii="Times New Roman" w:hAnsi="Times New Roman"/>
                <w:sz w:val="18"/>
              </w:rPr>
              <w:t xml:space="preserve"> </w:t>
            </w:r>
          </w:p>
        </w:tc>
        <w:tc>
          <w:tcPr>
            <w:tcW w:w="416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sz w:val="18"/>
              </w:rPr>
              <w:t>Unvested</w:t>
            </w:r>
            <w:r>
              <w:rPr>
                <w:rFonts w:ascii="Times New Roman" w:hAnsi="Times New Roman"/>
                <w:sz w:val="18"/>
              </w:rPr>
              <w:t xml:space="preserve"> </w:t>
            </w:r>
          </w:p>
          <w:p>
            <w:pPr>
              <w:pStyle w:val="TableContents"/>
              <w:spacing w:before="0" w:after="0"/>
              <w:ind w:left="0" w:right="0" w:hanging="0"/>
              <w:jc w:val="center"/>
              <w:rPr>
                <w:rFonts w:ascii="Times New Roman" w:hAnsi="Times New Roman"/>
                <w:sz w:val="18"/>
              </w:rPr>
            </w:pPr>
            <w:r>
              <w:rPr>
                <w:rFonts w:ascii="Arial;sans-serif" w:hAnsi="Arial;sans-serif"/>
                <w:b/>
                <w:sz w:val="18"/>
              </w:rPr>
              <w:t xml:space="preserve">Restricted Shares </w:t>
            </w:r>
            <w:r>
              <w:rPr>
                <w:rFonts w:ascii="Arial;sans-serif" w:hAnsi="Arial;sans-serif"/>
                <w:b w:val="false"/>
                <w:i/>
                <w:sz w:val="18"/>
              </w:rPr>
              <w:t>(Converted from Performance-Based Incentive Units and SARs)</w:t>
            </w:r>
          </w:p>
        </w:tc>
      </w:tr>
      <w:tr>
        <w:trPr/>
        <w:tc>
          <w:tcPr>
            <w:tcW w:w="127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John Kao</w:t>
            </w:r>
            <w:r>
              <w:rPr>
                <w:rFonts w:ascii="Arial;sans-serif" w:hAnsi="Arial;sans-serif"/>
                <w:b w:val="false"/>
                <w:sz w:val="12"/>
              </w:rPr>
              <w:t>(1)</w:t>
            </w:r>
          </w:p>
        </w:tc>
        <w:tc>
          <w:tcPr>
            <w:tcW w:w="145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2,797,642</w:t>
            </w:r>
            <w:r>
              <w:rPr>
                <w:rFonts w:ascii="Times New Roman" w:hAnsi="Times New Roman"/>
                <w:sz w:val="18"/>
              </w:rPr>
              <w:t xml:space="preserve"> </w:t>
            </w:r>
          </w:p>
        </w:tc>
        <w:tc>
          <w:tcPr>
            <w:tcW w:w="330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974,208</w:t>
            </w:r>
            <w:r>
              <w:rPr>
                <w:rFonts w:ascii="Times New Roman" w:hAnsi="Times New Roman"/>
                <w:sz w:val="18"/>
              </w:rPr>
              <w:t xml:space="preserve"> </w:t>
            </w:r>
          </w:p>
        </w:tc>
        <w:tc>
          <w:tcPr>
            <w:tcW w:w="4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513,187</w:t>
            </w:r>
            <w:r>
              <w:rPr>
                <w:rFonts w:ascii="Times New Roman" w:hAnsi="Times New Roman"/>
                <w:sz w:val="18"/>
              </w:rPr>
              <w:t xml:space="preserve"> </w:t>
            </w:r>
          </w:p>
        </w:tc>
      </w:tr>
      <w:tr>
        <w:trPr/>
        <w:tc>
          <w:tcPr>
            <w:tcW w:w="127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Thomas Freeman</w:t>
            </w:r>
            <w:r>
              <w:rPr>
                <w:rFonts w:ascii="Arial;sans-serif" w:hAnsi="Arial;sans-serif"/>
                <w:b w:val="false"/>
                <w:sz w:val="12"/>
              </w:rPr>
              <w:t>(2)</w:t>
            </w:r>
          </w:p>
        </w:tc>
        <w:tc>
          <w:tcPr>
            <w:tcW w:w="145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498,041</w:t>
            </w:r>
            <w:r>
              <w:rPr>
                <w:rFonts w:ascii="Times New Roman" w:hAnsi="Times New Roman"/>
                <w:sz w:val="18"/>
              </w:rPr>
              <w:t xml:space="preserve"> </w:t>
            </w:r>
          </w:p>
        </w:tc>
        <w:tc>
          <w:tcPr>
            <w:tcW w:w="330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427,458</w:t>
            </w:r>
            <w:r>
              <w:rPr>
                <w:rFonts w:ascii="Times New Roman" w:hAnsi="Times New Roman"/>
                <w:sz w:val="18"/>
              </w:rPr>
              <w:t xml:space="preserve"> </w:t>
            </w:r>
          </w:p>
        </w:tc>
        <w:tc>
          <w:tcPr>
            <w:tcW w:w="4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176,985</w:t>
            </w:r>
            <w:r>
              <w:rPr>
                <w:rFonts w:ascii="Times New Roman" w:hAnsi="Times New Roman"/>
                <w:sz w:val="18"/>
              </w:rPr>
              <w:t xml:space="preserve"> </w:t>
            </w:r>
          </w:p>
        </w:tc>
      </w:tr>
      <w:tr>
        <w:trPr/>
        <w:tc>
          <w:tcPr>
            <w:tcW w:w="127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Dawn Maroney</w:t>
            </w:r>
          </w:p>
        </w:tc>
        <w:tc>
          <w:tcPr>
            <w:tcW w:w="145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890,360</w:t>
            </w:r>
            <w:r>
              <w:rPr>
                <w:rFonts w:ascii="Times New Roman" w:hAnsi="Times New Roman"/>
                <w:sz w:val="18"/>
              </w:rPr>
              <w:t xml:space="preserve"> </w:t>
            </w:r>
          </w:p>
        </w:tc>
        <w:tc>
          <w:tcPr>
            <w:tcW w:w="330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540,735</w:t>
            </w:r>
          </w:p>
        </w:tc>
        <w:tc>
          <w:tcPr>
            <w:tcW w:w="4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204,053</w:t>
            </w:r>
          </w:p>
        </w:tc>
      </w:tr>
      <w:tr>
        <w:trPr/>
        <w:tc>
          <w:tcPr>
            <w:tcW w:w="127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Dinesh Kumar</w:t>
            </w:r>
          </w:p>
        </w:tc>
        <w:tc>
          <w:tcPr>
            <w:tcW w:w="145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394,641</w:t>
            </w:r>
          </w:p>
        </w:tc>
        <w:tc>
          <w:tcPr>
            <w:tcW w:w="330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482,931</w:t>
            </w:r>
            <w:r>
              <w:rPr>
                <w:rFonts w:ascii="Times New Roman" w:hAnsi="Times New Roman"/>
                <w:sz w:val="18"/>
              </w:rPr>
              <w:t xml:space="preserve"> </w:t>
            </w:r>
          </w:p>
        </w:tc>
        <w:tc>
          <w:tcPr>
            <w:tcW w:w="4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159,667</w:t>
            </w:r>
            <w:r>
              <w:rPr>
                <w:rFonts w:ascii="Times New Roman" w:hAnsi="Times New Roman"/>
                <w:sz w:val="18"/>
              </w:rPr>
              <w:t xml:space="preserve"> </w:t>
            </w:r>
          </w:p>
        </w:tc>
      </w:tr>
      <w:tr>
        <w:trPr/>
        <w:tc>
          <w:tcPr>
            <w:tcW w:w="1275"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Richard Cross</w:t>
            </w:r>
          </w:p>
        </w:tc>
        <w:tc>
          <w:tcPr>
            <w:tcW w:w="1458"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96,519</w:t>
            </w:r>
          </w:p>
        </w:tc>
        <w:tc>
          <w:tcPr>
            <w:tcW w:w="3304"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133,831</w:t>
            </w:r>
          </w:p>
        </w:tc>
        <w:tc>
          <w:tcPr>
            <w:tcW w:w="41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r>
    </w:tbl>
    <w:p>
      <w:pPr>
        <w:pStyle w:val="TextBody"/>
        <w:spacing w:before="120" w:after="120"/>
        <w:jc w:val="left"/>
        <w:rPr>
          <w:rFonts w:ascii="Times New Roman" w:hAnsi="Times New Roman"/>
          <w:b w:val="false"/>
          <w:sz w:val="16"/>
        </w:rPr>
      </w:pPr>
      <w:r>
        <w:rPr>
          <w:rFonts w:ascii="Times New Roman" w:hAnsi="Times New Roman"/>
          <w:b w:val="false"/>
          <w:sz w:val="16"/>
        </w:rPr>
        <w:t>(1)</w:t>
      </w:r>
    </w:p>
    <w:p>
      <w:pPr>
        <w:pStyle w:val="TextBody"/>
        <w:spacing w:before="120" w:after="120"/>
        <w:jc w:val="left"/>
        <w:rPr>
          <w:rFonts w:ascii="Arial;sans-serif" w:hAnsi="Arial;sans-serif"/>
          <w:b w:val="false"/>
          <w:sz w:val="16"/>
        </w:rPr>
      </w:pPr>
      <w:r>
        <w:rPr>
          <w:rFonts w:ascii="Arial;sans-serif" w:hAnsi="Arial;sans-serif"/>
          <w:b w:val="false"/>
          <w:sz w:val="16"/>
        </w:rPr>
        <w:t>As of the date of our IPO, Mr. Kao’s shares of common stock and restricted shares were held by JEK Trust, dated February 8, 2021, of which Mr. Kao is the trustee.</w:t>
      </w:r>
    </w:p>
    <w:p>
      <w:pPr>
        <w:pStyle w:val="TextBody"/>
        <w:spacing w:before="120" w:after="120"/>
        <w:jc w:val="left"/>
        <w:rPr>
          <w:rFonts w:ascii="Times New Roman" w:hAnsi="Times New Roman"/>
          <w:b w:val="false"/>
          <w:sz w:val="16"/>
        </w:rPr>
      </w:pPr>
      <w:r>
        <w:rPr>
          <w:rFonts w:ascii="Times New Roman" w:hAnsi="Times New Roman"/>
          <w:b w:val="false"/>
          <w:sz w:val="16"/>
        </w:rPr>
        <w:t>(2)</w:t>
      </w:r>
    </w:p>
    <w:p>
      <w:pPr>
        <w:pStyle w:val="TextBody"/>
        <w:spacing w:before="120" w:after="120"/>
        <w:jc w:val="left"/>
        <w:rPr>
          <w:rFonts w:ascii="Arial;sans-serif" w:hAnsi="Arial;sans-serif"/>
          <w:b w:val="false"/>
          <w:sz w:val="16"/>
        </w:rPr>
      </w:pPr>
      <w:r>
        <w:rPr>
          <w:rFonts w:ascii="Arial;sans-serif" w:hAnsi="Arial;sans-serif"/>
          <w:b w:val="false"/>
          <w:sz w:val="16"/>
        </w:rPr>
        <w:t>As of the date of our IPO, 381,535 shares of common stock and 497,602 restricted shares were held by FCO Holdings LLC, a limited liability company owned by FCO Holdings Trust One, an irrevocable trust.</w:t>
      </w:r>
    </w:p>
    <w:p>
      <w:pPr>
        <w:pStyle w:val="TextBody"/>
        <w:spacing w:before="240" w:after="200"/>
        <w:jc w:val="left"/>
        <w:rPr>
          <w:rFonts w:ascii="Arial;sans-serif" w:hAnsi="Arial;sans-serif"/>
          <w:b w:val="false"/>
          <w:i/>
          <w:sz w:val="20"/>
        </w:rPr>
      </w:pPr>
      <w:r>
        <w:rPr>
          <w:rFonts w:ascii="Arial;sans-serif" w:hAnsi="Arial;sans-serif"/>
          <w:b w:val="false"/>
          <w:i/>
          <w:sz w:val="20"/>
        </w:rPr>
        <w:t>2021 Equity Incentive Plan and Awards</w:t>
      </w:r>
    </w:p>
    <w:p>
      <w:pPr>
        <w:pStyle w:val="TextBody"/>
        <w:spacing w:before="0" w:after="200"/>
        <w:jc w:val="left"/>
        <w:rPr>
          <w:rFonts w:ascii="Times New Roman" w:hAnsi="Times New Roman"/>
          <w:sz w:val="20"/>
        </w:rPr>
      </w:pPr>
      <w:r>
        <w:rPr>
          <w:rFonts w:ascii="Arial;sans-serif" w:hAnsi="Arial;sans-serif"/>
          <w:b w:val="false"/>
          <w:sz w:val="20"/>
        </w:rPr>
        <w:t>In connection with our IPO, our Board adopted, and our stockholders approved, an equity incentive plan (the “2021 Plan”), pursuant to which employees, consultants and directors of our company and our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49</w:t>
      </w:r>
    </w:p>
    <w:p>
      <w:pPr>
        <w:pStyle w:val="HorizontalLine"/>
        <w:rPr/>
      </w:pPr>
      <w:r>
        <w:rPr/>
      </w:r>
    </w:p>
    <w:p>
      <w:pPr>
        <w:pStyle w:val="TextBody"/>
        <w:spacing w:before="0" w:after="0"/>
        <w:jc w:val="left"/>
        <w:rPr/>
      </w:pPr>
      <w:r>
        <w:rPr/>
        <w:t> </w:t>
      </w:r>
    </w:p>
    <w:p>
      <w:pPr>
        <w:pStyle w:val="TextBody"/>
        <w:spacing w:before="0" w:after="200"/>
        <w:jc w:val="left"/>
        <w:rPr>
          <w:rFonts w:ascii="Times New Roman" w:hAnsi="Times New Roman"/>
          <w:sz w:val="20"/>
        </w:rPr>
      </w:pPr>
      <w:r>
        <w:rPr>
          <w:rFonts w:ascii="Arial;sans-serif" w:hAnsi="Arial;sans-serif"/>
          <w:b w:val="false"/>
          <w:sz w:val="20"/>
        </w:rPr>
        <w:t>affiliates performing services for us, including our executive officers, are eligible to receive awards. The 2021 Plan provides for the grant of stock options, stock appreciation rights, restricted shares, dividend equivalents, other stock-based awards (including RSUs) and performance awards intended to align the interests of participants with those of our stockholders.</w:t>
      </w:r>
      <w:r>
        <w:rPr>
          <w:rFonts w:ascii="Times New Roman" w:hAnsi="Times New Roman"/>
          <w:sz w:val="20"/>
        </w:rPr>
        <w:t xml:space="preserve"> </w:t>
      </w:r>
    </w:p>
    <w:p>
      <w:pPr>
        <w:pStyle w:val="TextBody"/>
        <w:spacing w:before="0" w:after="200"/>
        <w:jc w:val="left"/>
        <w:rPr>
          <w:rFonts w:ascii="Arial;sans-serif" w:hAnsi="Arial;sans-serif"/>
          <w:b w:val="false"/>
          <w:sz w:val="20"/>
        </w:rPr>
      </w:pPr>
      <w:r>
        <w:rPr>
          <w:rFonts w:ascii="Arial;sans-serif" w:hAnsi="Arial;sans-serif"/>
          <w:b w:val="false"/>
          <w:sz w:val="20"/>
        </w:rPr>
        <w:t>On March 24, 2021, the Board approved equity grants to recognize and reward the successful completion of our IPO (the "IPO Grants"). The IPO Grants were granted using 85% nonqualified stock options and 15% restricted stock units. The IPO Grants were granted at an amount to reflect each executive’s importance to the organization and the desired continued retention of said executives following the liquidity of pre-IPO equity awards for the NEOs. The IPO Grants for each NEO were as follows:</w:t>
      </w:r>
    </w:p>
    <w:tbl>
      <w:tblPr>
        <w:tblW w:w="4998" w:type="dxa"/>
        <w:jc w:val="left"/>
        <w:tblInd w:w="0" w:type="dxa"/>
        <w:tblCellMar>
          <w:top w:w="28" w:type="dxa"/>
          <w:left w:w="28" w:type="dxa"/>
          <w:bottom w:w="28" w:type="dxa"/>
          <w:right w:w="28" w:type="dxa"/>
        </w:tblCellMar>
      </w:tblPr>
      <w:tblGrid>
        <w:gridCol w:w="1561"/>
        <w:gridCol w:w="1306"/>
        <w:gridCol w:w="2131"/>
      </w:tblGrid>
      <w:tr>
        <w:trPr/>
        <w:tc>
          <w:tcPr>
            <w:tcW w:w="156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561" w:type="dxa"/>
            <w:vMerge w:val="restart"/>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vMerge w:val="continue"/>
            <w:tcBorders>
              <w:bottom w:val="single" w:sz="12" w:space="0" w:color="000000"/>
            </w:tcBorders>
            <w:shd w:fill="auto" w:val="clear"/>
            <w:tcMar>
              <w:top w:w="0" w:type="dxa"/>
              <w:left w:w="0" w:type="dxa"/>
              <w:right w:w="0" w:type="dxa"/>
            </w:tcMar>
            <w:vAlign w:val="center"/>
          </w:tcPr>
          <w:p>
            <w:pPr>
              <w:pStyle w:val="Normal"/>
              <w:rPr/>
            </w:pPr>
            <w:r>
              <w:rPr/>
            </w:r>
          </w:p>
        </w:tc>
        <w:tc>
          <w:tcPr>
            <w:tcW w:w="1306" w:type="dxa"/>
            <w:tcBorders>
              <w:left w:val="single" w:sz="2" w:space="0" w:color="000000"/>
              <w:bottom w:val="single" w:sz="2" w:space="0" w:color="000000"/>
              <w:right w:val="single" w:sz="2" w:space="0" w:color="000000"/>
            </w:tcBorders>
            <w:shd w:fill="auto" w:val="clear"/>
            <w:tcMar>
              <w:top w:w="0" w:type="dxa"/>
              <w:left w:w="108"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Stock Options</w:t>
              <w:br/>
              <w:t>(#)</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Restricted Stock Units </w:t>
              <w:br/>
              <w:t>(#)</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John Kao</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3,916,668</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311,030</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Thomas Freeman</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762,720</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60,569</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Dawn Maroney</w:t>
            </w:r>
            <w:r>
              <w:rPr>
                <w:rFonts w:ascii="Times New Roman" w:hAnsi="Times New Roman"/>
                <w:sz w:val="18"/>
              </w:rPr>
              <w:t xml:space="preserve"> </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1,030,702</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81,850</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Dinesh Kumar</w:t>
            </w:r>
            <w:r>
              <w:rPr>
                <w:rFonts w:ascii="Times New Roman" w:hAnsi="Times New Roman"/>
                <w:sz w:val="18"/>
              </w:rPr>
              <w:t xml:space="preserve"> </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669,956</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53,202</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Richard Cross</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245,556</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19,500</w:t>
            </w:r>
          </w:p>
        </w:tc>
      </w:tr>
    </w:tbl>
    <w:p>
      <w:pPr>
        <w:pStyle w:val="TextBody"/>
        <w:spacing w:before="240" w:after="0"/>
        <w:jc w:val="left"/>
        <w:rPr>
          <w:rFonts w:ascii="Arial;sans-serif" w:hAnsi="Arial;sans-serif"/>
          <w:b w:val="false"/>
          <w:sz w:val="20"/>
        </w:rPr>
      </w:pPr>
      <w:r>
        <w:rPr>
          <w:rFonts w:ascii="Arial;sans-serif" w:hAnsi="Arial;sans-serif"/>
          <w:b w:val="false"/>
          <w:sz w:val="20"/>
        </w:rPr>
        <w:t>The stock options vest over a four-year period, 25% per annum, subject to the award recipient’s continued employment through each vesting date, and expire on the tenth anniversary of the grant date. Stock options have an exercise price of $18.00 per share, and only share in appreciation above such exercise price.</w:t>
      </w:r>
    </w:p>
    <w:p>
      <w:pPr>
        <w:pStyle w:val="TextBody"/>
        <w:spacing w:before="240" w:after="0"/>
        <w:jc w:val="left"/>
        <w:rPr>
          <w:rFonts w:ascii="Arial;sans-serif" w:hAnsi="Arial;sans-serif"/>
          <w:b w:val="false"/>
          <w:sz w:val="20"/>
        </w:rPr>
      </w:pPr>
      <w:r>
        <w:rPr>
          <w:rFonts w:ascii="Arial;sans-serif" w:hAnsi="Arial;sans-serif"/>
          <w:b w:val="false"/>
          <w:sz w:val="20"/>
        </w:rPr>
        <w:t>The restricted stock units vest over a four-year period, 25% per annum.</w:t>
      </w:r>
    </w:p>
    <w:p>
      <w:pPr>
        <w:pStyle w:val="TextBody"/>
        <w:spacing w:before="200" w:after="200"/>
        <w:jc w:val="left"/>
        <w:rPr>
          <w:rFonts w:ascii="Arial;sans-serif" w:hAnsi="Arial;sans-serif"/>
          <w:b w:val="false"/>
          <w:i/>
          <w:sz w:val="20"/>
        </w:rPr>
      </w:pPr>
      <w:r>
        <w:rPr>
          <w:rFonts w:ascii="Arial;sans-serif" w:hAnsi="Arial;sans-serif"/>
          <w:b w:val="false"/>
          <w:i/>
          <w:sz w:val="20"/>
        </w:rPr>
        <w:t>2022 Regular Annual Equity Awards</w:t>
      </w:r>
    </w:p>
    <w:p>
      <w:pPr>
        <w:pStyle w:val="TextBody"/>
        <w:spacing w:before="240" w:after="240"/>
        <w:jc w:val="left"/>
        <w:rPr>
          <w:rFonts w:ascii="Arial;sans-serif" w:hAnsi="Arial;sans-serif"/>
          <w:b w:val="false"/>
          <w:sz w:val="20"/>
        </w:rPr>
      </w:pPr>
      <w:r>
        <w:rPr>
          <w:rFonts w:ascii="Arial;sans-serif" w:hAnsi="Arial;sans-serif"/>
          <w:b w:val="false"/>
          <w:sz w:val="20"/>
        </w:rPr>
        <w:t>In 2022, the Compensation Committee undertook a close assessment of the structure of our legacy equity awards, which are more representative of private companies, and worked closely with our independent compensation consultant to design a regular annual equity award program that aligns the interests of our executives and stockholders each year.</w:t>
      </w:r>
    </w:p>
    <w:p>
      <w:pPr>
        <w:pStyle w:val="TextBody"/>
        <w:spacing w:before="0" w:after="200"/>
        <w:jc w:val="left"/>
        <w:rPr>
          <w:rFonts w:ascii="Arial;sans-serif" w:hAnsi="Arial;sans-serif"/>
          <w:b w:val="false"/>
          <w:sz w:val="20"/>
        </w:rPr>
      </w:pPr>
      <w:r>
        <w:rPr>
          <w:rFonts w:ascii="Arial;sans-serif" w:hAnsi="Arial;sans-serif"/>
          <w:b w:val="false"/>
          <w:sz w:val="20"/>
        </w:rPr>
        <w:t>In February 2022, the Board approved annual equity incentive awards to our NEOs to encourage ongoing performance and alignment of each executive’s financial interests with that of other stockholders (“2022 Annual Grants”). The 2022 Annual Grants were granted using 25% nonqualified stock options and 75% restricted stock units. Stock options are intended to align the interests of award recipients with those of stockholders, since options deliver value only if Alignment Healthcare’s stock price appreciates after they are granted. The restricted stock units align NEOs with existing stockholders as they are full value share ownership in the Company. The Annual 2022 Grants were granted at an amount designed to align our total compensation with our peer group, to reflect each executive’s importance to the organization and to promote the desired continued retention of said executives. The 2022 Annual Grants for each NEO were as follows:</w:t>
      </w:r>
    </w:p>
    <w:tbl>
      <w:tblPr>
        <w:tblW w:w="4998" w:type="dxa"/>
        <w:jc w:val="left"/>
        <w:tblInd w:w="0" w:type="dxa"/>
        <w:tblCellMar>
          <w:top w:w="28" w:type="dxa"/>
          <w:left w:w="28" w:type="dxa"/>
          <w:bottom w:w="28" w:type="dxa"/>
          <w:right w:w="28" w:type="dxa"/>
        </w:tblCellMar>
      </w:tblPr>
      <w:tblGrid>
        <w:gridCol w:w="1561"/>
        <w:gridCol w:w="1306"/>
        <w:gridCol w:w="2131"/>
      </w:tblGrid>
      <w:tr>
        <w:trPr/>
        <w:tc>
          <w:tcPr>
            <w:tcW w:w="156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561" w:type="dxa"/>
            <w:vMerge w:val="restart"/>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3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vMerge w:val="continue"/>
            <w:tcBorders>
              <w:bottom w:val="single" w:sz="12" w:space="0" w:color="000000"/>
            </w:tcBorders>
            <w:shd w:fill="auto" w:val="clear"/>
            <w:tcMar>
              <w:top w:w="0" w:type="dxa"/>
              <w:left w:w="0" w:type="dxa"/>
              <w:right w:w="0" w:type="dxa"/>
            </w:tcMar>
            <w:vAlign w:val="center"/>
          </w:tcPr>
          <w:p>
            <w:pPr>
              <w:pStyle w:val="Normal"/>
              <w:rPr/>
            </w:pPr>
            <w:r>
              <w:rPr/>
            </w:r>
          </w:p>
        </w:tc>
        <w:tc>
          <w:tcPr>
            <w:tcW w:w="1306" w:type="dxa"/>
            <w:tcBorders>
              <w:left w:val="single" w:sz="2" w:space="0" w:color="000000"/>
              <w:bottom w:val="single" w:sz="2" w:space="0" w:color="000000"/>
              <w:right w:val="single" w:sz="2" w:space="0" w:color="000000"/>
            </w:tcBorders>
            <w:shd w:fill="auto" w:val="clear"/>
            <w:tcMar>
              <w:top w:w="0" w:type="dxa"/>
              <w:left w:w="108" w:type="dxa"/>
              <w:right w:w="108"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Stock Options</w:t>
              <w:br/>
              <w:t>(#)</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 xml:space="preserve">Restricted Stock Units </w:t>
              <w:br/>
              <w:t>(#)</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John Kao</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364,964</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496,689</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Thomas Freeman</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100,365</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136,589</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Dawn Maroney</w:t>
            </w:r>
            <w:r>
              <w:rPr>
                <w:rFonts w:ascii="Times New Roman" w:hAnsi="Times New Roman"/>
                <w:sz w:val="18"/>
              </w:rPr>
              <w:t xml:space="preserve"> </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152,068</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206,954</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Dinesh Kumar</w:t>
            </w:r>
            <w:r>
              <w:rPr>
                <w:rFonts w:ascii="Times New Roman" w:hAnsi="Times New Roman"/>
                <w:sz w:val="18"/>
              </w:rPr>
              <w:t xml:space="preserve"> </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152,068</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206,954</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Richard Cross</w:t>
            </w:r>
          </w:p>
        </w:tc>
        <w:tc>
          <w:tcPr>
            <w:tcW w:w="130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36,496</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49,669</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50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The stock options vest over a four-year period, 25% per annum, subject to the award recipient’s continued employment through each vesting date, and expire on the tenth anniversary of the grant date. Stock options have an exercise price of $9.06 per share, and only share in appreciation above such exercise price.</w:t>
      </w:r>
      <w:r>
        <w:rPr>
          <w:rFonts w:ascii="Times New Roman" w:hAnsi="Times New Roman"/>
          <w:sz w:val="20"/>
        </w:rPr>
        <w:t xml:space="preserve"> </w:t>
      </w:r>
    </w:p>
    <w:p>
      <w:pPr>
        <w:pStyle w:val="TextBody"/>
        <w:spacing w:before="240" w:after="240"/>
        <w:jc w:val="left"/>
        <w:rPr>
          <w:rFonts w:ascii="Arial;sans-serif" w:hAnsi="Arial;sans-serif"/>
          <w:b w:val="false"/>
          <w:sz w:val="20"/>
        </w:rPr>
      </w:pPr>
      <w:r>
        <w:rPr>
          <w:rFonts w:ascii="Arial;sans-serif" w:hAnsi="Arial;sans-serif"/>
          <w:b w:val="false"/>
          <w:sz w:val="20"/>
        </w:rPr>
        <w:t>The restricted stock units vest over a four-year period, 25% per annum.</w:t>
      </w:r>
    </w:p>
    <w:p>
      <w:pPr>
        <w:pStyle w:val="TextBody"/>
        <w:spacing w:before="200" w:after="200"/>
        <w:jc w:val="left"/>
        <w:rPr>
          <w:rFonts w:ascii="Arial;sans-serif" w:hAnsi="Arial;sans-serif"/>
          <w:b w:val="false"/>
          <w:i/>
          <w:sz w:val="20"/>
        </w:rPr>
      </w:pPr>
      <w:r>
        <w:rPr>
          <w:rFonts w:ascii="Arial;sans-serif" w:hAnsi="Arial;sans-serif"/>
          <w:b w:val="false"/>
          <w:i/>
          <w:sz w:val="20"/>
        </w:rPr>
        <w:t>2022 Additional Equity Awards</w:t>
      </w:r>
    </w:p>
    <w:p>
      <w:pPr>
        <w:pStyle w:val="TextBody"/>
        <w:spacing w:before="240" w:after="240"/>
        <w:jc w:val="left"/>
        <w:rPr>
          <w:rFonts w:ascii="Times New Roman" w:hAnsi="Times New Roman"/>
          <w:sz w:val="20"/>
        </w:rPr>
      </w:pPr>
      <w:r>
        <w:rPr>
          <w:rFonts w:ascii="Arial;sans-serif" w:hAnsi="Arial;sans-serif"/>
          <w:b w:val="false"/>
          <w:sz w:val="20"/>
        </w:rPr>
        <w:t>In September 2022, the Board approved additional equity incentive awards to a broad group of senior employees, including our NEOs. The additional grants, which were issued entirely as restricted stock units, were granted to recognize our recent strong financial performance and to support our talent retention objectives. The grants were structured to vest 50% in each of September of 2025 and 2026, creating a strong retention mechanism for the NEOs and to continue to align their financial interests with stockholders.</w:t>
      </w:r>
      <w:r>
        <w:rPr>
          <w:rFonts w:ascii="Times New Roman" w:hAnsi="Times New Roman"/>
          <w:sz w:val="20"/>
        </w:rPr>
        <w:t xml:space="preserve"> </w:t>
      </w:r>
    </w:p>
    <w:p>
      <w:pPr>
        <w:pStyle w:val="TextBody"/>
        <w:spacing w:before="240" w:after="240"/>
        <w:jc w:val="left"/>
        <w:rPr>
          <w:rFonts w:ascii="Arial;sans-serif" w:hAnsi="Arial;sans-serif"/>
          <w:b w:val="false"/>
          <w:sz w:val="20"/>
        </w:rPr>
      </w:pPr>
      <w:r>
        <w:rPr>
          <w:rFonts w:ascii="Arial;sans-serif" w:hAnsi="Arial;sans-serif"/>
          <w:b w:val="false"/>
          <w:sz w:val="20"/>
        </w:rPr>
        <w:t>The following grants were issued to our NEOs:</w:t>
      </w:r>
    </w:p>
    <w:tbl>
      <w:tblPr>
        <w:tblW w:w="3647" w:type="dxa"/>
        <w:jc w:val="left"/>
        <w:tblInd w:w="0" w:type="dxa"/>
        <w:tblCellMar>
          <w:top w:w="28" w:type="dxa"/>
          <w:left w:w="28" w:type="dxa"/>
          <w:bottom w:w="28" w:type="dxa"/>
          <w:right w:w="28" w:type="dxa"/>
        </w:tblCellMar>
      </w:tblPr>
      <w:tblGrid>
        <w:gridCol w:w="1561"/>
        <w:gridCol w:w="2086"/>
      </w:tblGrid>
      <w:tr>
        <w:trPr/>
        <w:tc>
          <w:tcPr>
            <w:tcW w:w="1561"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r>
      <w:tr>
        <w:trPr/>
        <w:tc>
          <w:tcPr>
            <w:tcW w:w="1561" w:type="dxa"/>
            <w:vMerge w:val="restart"/>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vMerge w:val="continue"/>
            <w:tcBorders>
              <w:bottom w:val="single" w:sz="12" w:space="0" w:color="000000"/>
            </w:tcBorders>
            <w:shd w:fill="auto" w:val="clear"/>
            <w:tcMar>
              <w:top w:w="0" w:type="dxa"/>
              <w:left w:w="0" w:type="dxa"/>
              <w:right w:w="0" w:type="dxa"/>
            </w:tcMar>
            <w:vAlign w:val="center"/>
          </w:tcPr>
          <w:p>
            <w:pPr>
              <w:pStyle w:val="Normal"/>
              <w:rPr/>
            </w:pPr>
            <w:r>
              <w:rPr/>
            </w:r>
          </w:p>
        </w:tc>
        <w:tc>
          <w:tcPr>
            <w:tcW w:w="208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Restricted Stock Units</w:t>
              <w:br/>
              <w:t>(#)</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John Kao</w:t>
            </w:r>
          </w:p>
        </w:tc>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340" w:hanging="0"/>
              <w:jc w:val="right"/>
              <w:rPr>
                <w:rFonts w:ascii="Arial;sans-serif" w:hAnsi="Arial;sans-serif"/>
                <w:b w:val="false"/>
                <w:sz w:val="20"/>
              </w:rPr>
            </w:pPr>
            <w:r>
              <w:rPr>
                <w:rFonts w:ascii="Arial;sans-serif" w:hAnsi="Arial;sans-serif"/>
                <w:b w:val="false"/>
                <w:sz w:val="20"/>
              </w:rPr>
              <w:t>1,639,027</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Thomas Freeman</w:t>
            </w:r>
          </w:p>
        </w:tc>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340" w:hanging="0"/>
              <w:jc w:val="right"/>
              <w:rPr>
                <w:rFonts w:ascii="Arial;sans-serif" w:hAnsi="Arial;sans-serif"/>
                <w:b w:val="false"/>
                <w:sz w:val="20"/>
              </w:rPr>
            </w:pPr>
            <w:r>
              <w:rPr>
                <w:rFonts w:ascii="Arial;sans-serif" w:hAnsi="Arial;sans-serif"/>
                <w:b w:val="false"/>
                <w:sz w:val="20"/>
              </w:rPr>
              <w:t>319,179</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Dawn Maroney</w:t>
            </w:r>
            <w:r>
              <w:rPr>
                <w:rFonts w:ascii="Times New Roman" w:hAnsi="Times New Roman"/>
                <w:sz w:val="18"/>
              </w:rPr>
              <w:t xml:space="preserve"> </w:t>
            </w:r>
          </w:p>
        </w:tc>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340" w:hanging="0"/>
              <w:jc w:val="right"/>
              <w:rPr>
                <w:rFonts w:ascii="Arial;sans-serif" w:hAnsi="Arial;sans-serif"/>
                <w:b w:val="false"/>
                <w:sz w:val="20"/>
              </w:rPr>
            </w:pPr>
            <w:r>
              <w:rPr>
                <w:rFonts w:ascii="Arial;sans-serif" w:hAnsi="Arial;sans-serif"/>
                <w:b w:val="false"/>
                <w:sz w:val="20"/>
              </w:rPr>
              <w:t>431,323</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Dinesh Kumar</w:t>
            </w:r>
            <w:r>
              <w:rPr>
                <w:rFonts w:ascii="Times New Roman" w:hAnsi="Times New Roman"/>
                <w:sz w:val="18"/>
              </w:rPr>
              <w:t xml:space="preserve"> </w:t>
            </w:r>
          </w:p>
        </w:tc>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340" w:hanging="0"/>
              <w:jc w:val="right"/>
              <w:rPr>
                <w:rFonts w:ascii="Arial;sans-serif" w:hAnsi="Arial;sans-serif"/>
                <w:b w:val="false"/>
                <w:sz w:val="20"/>
              </w:rPr>
            </w:pPr>
            <w:r>
              <w:rPr>
                <w:rFonts w:ascii="Arial;sans-serif" w:hAnsi="Arial;sans-serif"/>
                <w:b w:val="false"/>
                <w:sz w:val="20"/>
              </w:rPr>
              <w:t>280,360</w:t>
            </w:r>
          </w:p>
        </w:tc>
      </w:tr>
      <w:tr>
        <w:trPr/>
        <w:tc>
          <w:tcPr>
            <w:tcW w:w="156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Richard Cross</w:t>
            </w:r>
          </w:p>
        </w:tc>
        <w:tc>
          <w:tcPr>
            <w:tcW w:w="2086" w:type="dxa"/>
            <w:tcBorders>
              <w:bottom w:val="single" w:sz="2" w:space="0" w:color="000000"/>
            </w:tcBorders>
            <w:shd w:fill="auto" w:val="clear"/>
            <w:tcMar>
              <w:top w:w="0" w:type="dxa"/>
              <w:left w:w="0" w:type="dxa"/>
              <w:right w:w="0" w:type="dxa"/>
            </w:tcMar>
            <w:vAlign w:val="center"/>
          </w:tcPr>
          <w:p>
            <w:pPr>
              <w:pStyle w:val="TableContents"/>
              <w:spacing w:before="0" w:after="0"/>
              <w:ind w:left="0" w:right="340" w:hanging="0"/>
              <w:jc w:val="right"/>
              <w:rPr>
                <w:rFonts w:ascii="Arial;sans-serif" w:hAnsi="Arial;sans-serif"/>
                <w:b w:val="false"/>
                <w:sz w:val="20"/>
              </w:rPr>
            </w:pPr>
            <w:r>
              <w:rPr>
                <w:rFonts w:ascii="Arial;sans-serif" w:hAnsi="Arial;sans-serif"/>
                <w:b w:val="false"/>
                <w:sz w:val="20"/>
              </w:rPr>
              <w:t>102,759</w:t>
            </w:r>
          </w:p>
        </w:tc>
      </w:tr>
    </w:tbl>
    <w:p>
      <w:pPr>
        <w:pStyle w:val="TextBody"/>
        <w:spacing w:before="200" w:after="0"/>
        <w:jc w:val="left"/>
        <w:rPr>
          <w:rFonts w:ascii="Arial;sans-serif" w:hAnsi="Arial;sans-serif"/>
          <w:b/>
          <w:sz w:val="20"/>
        </w:rPr>
      </w:pPr>
      <w:bookmarkStart w:id="30" w:name="other_compensation_matters"/>
      <w:bookmarkEnd w:id="30"/>
      <w:r>
        <w:rPr>
          <w:rFonts w:ascii="Arial;sans-serif" w:hAnsi="Arial;sans-serif"/>
          <w:b/>
          <w:sz w:val="20"/>
        </w:rPr>
        <w:t>Other Compensation Matters</w:t>
      </w:r>
    </w:p>
    <w:p>
      <w:pPr>
        <w:pStyle w:val="TextBody"/>
        <w:spacing w:before="240" w:after="0"/>
        <w:jc w:val="left"/>
        <w:rPr>
          <w:rFonts w:ascii="Arial;sans-serif" w:hAnsi="Arial;sans-serif"/>
          <w:b/>
          <w:i/>
          <w:sz w:val="20"/>
        </w:rPr>
      </w:pPr>
      <w:r>
        <w:rPr>
          <w:rFonts w:ascii="Arial;sans-serif" w:hAnsi="Arial;sans-serif"/>
          <w:b/>
          <w:i/>
          <w:sz w:val="20"/>
        </w:rPr>
        <w:t>Employment Agreements</w:t>
      </w:r>
    </w:p>
    <w:p>
      <w:pPr>
        <w:pStyle w:val="TextBody"/>
        <w:spacing w:before="240" w:after="0"/>
        <w:jc w:val="left"/>
        <w:rPr>
          <w:rFonts w:ascii="Times New Roman" w:hAnsi="Times New Roman"/>
          <w:sz w:val="20"/>
        </w:rPr>
      </w:pPr>
      <w:r>
        <w:rPr>
          <w:rFonts w:ascii="Arial;sans-serif" w:hAnsi="Arial;sans-serif"/>
          <w:b w:val="false"/>
          <w:sz w:val="20"/>
        </w:rPr>
        <w:t>In connection with our IPO, we entered into amended and restated employment agreements with each of our Named Executive Officers, effective as of March 26, 2021, each of which supersedes a prior employment agreement. Each such amended and restated employment agreement specifies the terms of the executive’s employment, including certain compensation levels, and is intended to assure us of the executive’s continued employment and retention and to provide stability in our management team.</w:t>
      </w:r>
      <w:r>
        <w:rPr>
          <w:rFonts w:ascii="Times New Roman" w:hAnsi="Times New Roman"/>
          <w:sz w:val="20"/>
        </w:rPr>
        <w:t xml:space="preserve"> </w:t>
      </w:r>
    </w:p>
    <w:p>
      <w:pPr>
        <w:pStyle w:val="TextBody"/>
        <w:spacing w:before="240" w:after="200"/>
        <w:jc w:val="left"/>
        <w:rPr>
          <w:rFonts w:ascii="Times New Roman" w:hAnsi="Times New Roman"/>
          <w:sz w:val="20"/>
        </w:rPr>
      </w:pPr>
      <w:r>
        <w:rPr>
          <w:rFonts w:ascii="Arial;sans-serif" w:hAnsi="Arial;sans-serif"/>
          <w:b w:val="false"/>
          <w:sz w:val="20"/>
        </w:rPr>
        <w:t>The terms of the employment agreements are described under “</w:t>
      </w:r>
      <w:r>
        <w:rPr>
          <w:rFonts w:ascii="Arial;sans-serif" w:hAnsi="Arial;sans-serif"/>
          <w:b w:val="false"/>
          <w:i/>
          <w:sz w:val="20"/>
        </w:rPr>
        <w:t>Executive and Director Compensation—Employment Agreements</w:t>
      </w:r>
      <w:r>
        <w:rPr>
          <w:rFonts w:ascii="Times New Roman" w:hAnsi="Times New Roman"/>
          <w:sz w:val="20"/>
        </w:rPr>
        <w:t xml:space="preserve">” </w:t>
      </w:r>
      <w:r>
        <w:rPr>
          <w:rFonts w:ascii="Arial;sans-serif" w:hAnsi="Arial;sans-serif"/>
          <w:b w:val="false"/>
          <w:sz w:val="20"/>
        </w:rPr>
        <w:t>below. In addition to the terms described therein, the employment agreements provide for certain severance payments and benefits following a termination of employment under certain circumstances. For details on the severance payment and benefits under each NEO’s respective employment agreement and the 2021 Plan, see “</w:t>
      </w:r>
      <w:r>
        <w:rPr>
          <w:rFonts w:ascii="Arial;sans-serif" w:hAnsi="Arial;sans-serif"/>
          <w:b w:val="false"/>
          <w:i/>
          <w:sz w:val="20"/>
        </w:rPr>
        <w:t>Executive and Director Compensation—Potential Payments Upon Termination or Change in Control</w:t>
      </w:r>
      <w:r>
        <w:rPr>
          <w:rFonts w:ascii="Arial;sans-serif" w:hAnsi="Arial;sans-serif"/>
          <w:b w:val="false"/>
          <w:sz w:val="20"/>
        </w:rPr>
        <w:t>.”</w:t>
      </w:r>
    </w:p>
    <w:p>
      <w:pPr>
        <w:pStyle w:val="TextBody"/>
        <w:spacing w:before="0" w:after="0"/>
        <w:jc w:val="left"/>
        <w:rPr>
          <w:rFonts w:ascii="Arial;sans-serif" w:hAnsi="Arial;sans-serif"/>
          <w:b/>
          <w:i/>
          <w:sz w:val="20"/>
        </w:rPr>
      </w:pPr>
      <w:r>
        <w:rPr>
          <w:rFonts w:ascii="Arial;sans-serif" w:hAnsi="Arial;sans-serif"/>
          <w:b/>
          <w:i/>
          <w:sz w:val="20"/>
        </w:rPr>
        <w:t>Retirement Benefits</w:t>
      </w:r>
    </w:p>
    <w:p>
      <w:pPr>
        <w:pStyle w:val="TextBody"/>
        <w:spacing w:before="240" w:after="0"/>
        <w:jc w:val="left"/>
        <w:rPr>
          <w:rFonts w:ascii="Times New Roman" w:hAnsi="Times New Roman"/>
          <w:sz w:val="20"/>
        </w:rPr>
      </w:pPr>
      <w:r>
        <w:rPr>
          <w:rFonts w:ascii="Arial;sans-serif" w:hAnsi="Arial;sans-serif"/>
          <w:b w:val="false"/>
          <w:sz w:val="20"/>
        </w:rPr>
        <w:t>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 distributed from</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51</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the 401(k) plan and employer matching contributions are deductible by us when made. We do not maintain any defined benefit pension plans or any nonqualified deferred compensation plans.</w:t>
      </w:r>
    </w:p>
    <w:p>
      <w:pPr>
        <w:pStyle w:val="TextBody"/>
        <w:spacing w:before="200" w:after="0"/>
        <w:jc w:val="left"/>
        <w:rPr>
          <w:rFonts w:ascii="Arial;sans-serif" w:hAnsi="Arial;sans-serif"/>
          <w:b/>
          <w:i/>
          <w:sz w:val="20"/>
        </w:rPr>
      </w:pPr>
      <w:r>
        <w:rPr>
          <w:rFonts w:ascii="Arial;sans-serif" w:hAnsi="Arial;sans-serif"/>
          <w:b/>
          <w:i/>
          <w:sz w:val="20"/>
        </w:rPr>
        <w:t>Executive Benefits and Perquisites</w:t>
      </w:r>
    </w:p>
    <w:p>
      <w:pPr>
        <w:pStyle w:val="TextBody"/>
        <w:spacing w:before="200" w:after="0"/>
        <w:jc w:val="left"/>
        <w:rPr>
          <w:rFonts w:ascii="Arial;sans-serif" w:hAnsi="Arial;sans-serif"/>
          <w:b w:val="false"/>
          <w:sz w:val="20"/>
        </w:rPr>
      </w:pPr>
      <w:r>
        <w:rPr>
          <w:rFonts w:ascii="Arial;sans-serif" w:hAnsi="Arial;sans-serif"/>
          <w:b w:val="false"/>
          <w:sz w:val="20"/>
        </w:rPr>
        <w:t>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 participate in a defined benefit pension plan.</w:t>
      </w:r>
    </w:p>
    <w:p>
      <w:pPr>
        <w:pStyle w:val="TextBody"/>
        <w:spacing w:before="200" w:after="0"/>
        <w:jc w:val="left"/>
        <w:rPr>
          <w:rFonts w:ascii="Arial;sans-serif" w:hAnsi="Arial;sans-serif"/>
          <w:b w:val="false"/>
          <w:sz w:val="20"/>
        </w:rPr>
      </w:pPr>
      <w:r>
        <w:rPr>
          <w:rFonts w:ascii="Arial;sans-serif" w:hAnsi="Arial;sans-serif"/>
          <w:b w:val="false"/>
          <w:sz w:val="20"/>
        </w:rPr>
        <w:t>We provide limited perquisites to our NEOs, including an internet stipend and reimbursement of business expenses.</w:t>
      </w:r>
    </w:p>
    <w:p>
      <w:pPr>
        <w:pStyle w:val="TextBody"/>
        <w:spacing w:before="200" w:after="200"/>
        <w:jc w:val="left"/>
        <w:rPr>
          <w:rFonts w:ascii="Arial;sans-serif" w:hAnsi="Arial;sans-serif"/>
          <w:b/>
          <w:i/>
          <w:sz w:val="20"/>
        </w:rPr>
      </w:pPr>
      <w:r>
        <w:rPr>
          <w:rFonts w:ascii="Arial;sans-serif" w:hAnsi="Arial;sans-serif"/>
          <w:b/>
          <w:i/>
          <w:sz w:val="20"/>
        </w:rPr>
        <w:t>Impact of Tax and Accounting</w:t>
      </w:r>
    </w:p>
    <w:p>
      <w:pPr>
        <w:pStyle w:val="TextBody"/>
        <w:spacing w:before="200" w:after="200"/>
        <w:jc w:val="left"/>
        <w:rPr>
          <w:rFonts w:ascii="Arial;sans-serif" w:hAnsi="Arial;sans-serif"/>
          <w:b w:val="false"/>
          <w:sz w:val="20"/>
        </w:rPr>
      </w:pPr>
      <w:r>
        <w:rPr>
          <w:rFonts w:ascii="Arial;sans-serif" w:hAnsi="Arial;sans-serif"/>
          <w:b w:val="false"/>
          <w:sz w:val="20"/>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pStyle w:val="TextBody"/>
        <w:spacing w:before="200" w:after="200"/>
        <w:jc w:val="left"/>
        <w:rPr>
          <w:rFonts w:ascii="Arial;sans-serif" w:hAnsi="Arial;sans-serif"/>
          <w:b w:val="false"/>
          <w:sz w:val="20"/>
        </w:rPr>
      </w:pPr>
      <w:r>
        <w:rPr>
          <w:rFonts w:ascii="Arial;sans-serif" w:hAnsi="Arial;sans-serif"/>
          <w:b w:val="false"/>
          <w:sz w:val="20"/>
        </w:rPr>
        <w:t>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pStyle w:val="TextBody"/>
        <w:spacing w:before="200" w:after="0"/>
        <w:jc w:val="left"/>
        <w:rPr>
          <w:rFonts w:ascii="Arial;sans-serif" w:hAnsi="Arial;sans-serif"/>
          <w:b/>
          <w:sz w:val="20"/>
        </w:rPr>
      </w:pPr>
      <w:bookmarkStart w:id="31" w:name="compensation_committee_report"/>
      <w:bookmarkEnd w:id="31"/>
      <w:r>
        <w:rPr>
          <w:rFonts w:ascii="Arial;sans-serif" w:hAnsi="Arial;sans-serif"/>
          <w:b/>
          <w:sz w:val="20"/>
        </w:rPr>
        <w:t>Compensation Committee Report</w:t>
      </w:r>
    </w:p>
    <w:p>
      <w:pPr>
        <w:pStyle w:val="TextBody"/>
        <w:spacing w:before="200" w:after="200"/>
        <w:jc w:val="left"/>
        <w:rPr>
          <w:rFonts w:ascii="Arial;sans-serif" w:hAnsi="Arial;sans-serif"/>
          <w:b w:val="false"/>
          <w:sz w:val="20"/>
        </w:rPr>
      </w:pPr>
      <w:r>
        <w:rPr>
          <w:rFonts w:ascii="Arial;sans-serif" w:hAnsi="Arial;sans-serif"/>
          <w:b w:val="false"/>
          <w:sz w:val="20"/>
        </w:rPr>
        <w:t>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2022.</w:t>
      </w:r>
    </w:p>
    <w:p>
      <w:pPr>
        <w:pStyle w:val="TextBody"/>
        <w:spacing w:before="0" w:after="200"/>
        <w:jc w:val="left"/>
        <w:rPr>
          <w:rFonts w:ascii="Arial;sans-serif" w:hAnsi="Arial;sans-serif"/>
          <w:b w:val="false"/>
          <w:sz w:val="20"/>
        </w:rPr>
      </w:pPr>
      <w:r>
        <w:rPr>
          <w:rFonts w:ascii="Arial;sans-serif" w:hAnsi="Arial;sans-serif"/>
          <w:b w:val="false"/>
          <w:sz w:val="20"/>
        </w:rPr>
        <w:t>The Compensation Committee:</w:t>
      </w:r>
    </w:p>
    <w:p>
      <w:pPr>
        <w:pStyle w:val="TextBody"/>
        <w:spacing w:before="0" w:after="0"/>
        <w:jc w:val="left"/>
        <w:rPr>
          <w:rFonts w:ascii="Arial;sans-serif" w:hAnsi="Arial;sans-serif"/>
          <w:b w:val="false"/>
          <w:sz w:val="20"/>
        </w:rPr>
      </w:pPr>
      <w:r>
        <w:rPr>
          <w:rFonts w:ascii="Arial;sans-serif" w:hAnsi="Arial;sans-serif"/>
          <w:b w:val="false"/>
          <w:sz w:val="20"/>
        </w:rPr>
        <w:t>Robbert Vorhoff, Chairman</w:t>
      </w:r>
    </w:p>
    <w:p>
      <w:pPr>
        <w:pStyle w:val="TextBody"/>
        <w:spacing w:before="0" w:after="0"/>
        <w:jc w:val="left"/>
        <w:rPr>
          <w:rFonts w:ascii="Arial;sans-serif" w:hAnsi="Arial;sans-serif"/>
          <w:b w:val="false"/>
          <w:sz w:val="20"/>
        </w:rPr>
      </w:pPr>
      <w:r>
        <w:rPr>
          <w:rFonts w:ascii="Arial;sans-serif" w:hAnsi="Arial;sans-serif"/>
          <w:b w:val="false"/>
          <w:sz w:val="20"/>
        </w:rPr>
        <w:t>Thomas Carella</w:t>
      </w:r>
    </w:p>
    <w:p>
      <w:pPr>
        <w:pStyle w:val="TextBody"/>
        <w:spacing w:before="0" w:after="200"/>
        <w:jc w:val="left"/>
        <w:rPr>
          <w:rFonts w:ascii="Arial;sans-serif" w:hAnsi="Arial;sans-serif"/>
          <w:b w:val="false"/>
          <w:sz w:val="20"/>
        </w:rPr>
      </w:pPr>
      <w:r>
        <w:rPr>
          <w:rFonts w:ascii="Arial;sans-serif" w:hAnsi="Arial;sans-serif"/>
          <w:b w:val="false"/>
          <w:sz w:val="20"/>
        </w:rPr>
        <w:t>Jacqueline Kosecoff</w:t>
      </w:r>
    </w:p>
    <w:p>
      <w:pPr>
        <w:pStyle w:val="TextBody"/>
        <w:spacing w:before="0" w:after="0"/>
        <w:jc w:val="left"/>
        <w:rPr>
          <w:rFonts w:ascii="Arial;sans-serif" w:hAnsi="Arial;sans-serif"/>
          <w:b w:val="false"/>
          <w:i/>
          <w:sz w:val="20"/>
        </w:rPr>
      </w:pPr>
      <w:r>
        <w:rPr>
          <w:rFonts w:ascii="Arial;sans-serif" w:hAnsi="Arial;sans-serif"/>
          <w:b w:val="false"/>
          <w:i/>
          <w:sz w:val="20"/>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52</w:t>
      </w:r>
    </w:p>
    <w:p>
      <w:pPr>
        <w:pStyle w:val="HorizontalLine"/>
        <w:rPr/>
      </w:pPr>
      <w:r>
        <w:rPr/>
      </w:r>
    </w:p>
    <w:p>
      <w:pPr>
        <w:pStyle w:val="TextBody"/>
        <w:spacing w:before="0" w:after="0"/>
        <w:jc w:val="left"/>
        <w:rPr/>
      </w:pPr>
      <w:r>
        <w:rPr/>
        <w:t> </w:t>
      </w:r>
    </w:p>
    <w:p>
      <w:pPr>
        <w:pStyle w:val="TextBody"/>
        <w:spacing w:before="0" w:after="200"/>
        <w:jc w:val="center"/>
        <w:rPr>
          <w:rFonts w:ascii="Times New Roman" w:hAnsi="Times New Roman"/>
          <w:sz w:val="20"/>
        </w:rPr>
      </w:pPr>
      <w:bookmarkStart w:id="32" w:name="executive_and_director_compensation"/>
      <w:bookmarkEnd w:id="32"/>
      <w:r>
        <w:rPr>
          <w:rFonts w:ascii="Arial;sans-serif" w:hAnsi="Arial;sans-serif"/>
          <w:b/>
          <w:sz w:val="20"/>
        </w:rPr>
        <w:t>EXECUTIVE AND DIRECTOR COMPENSATION</w:t>
      </w:r>
      <w:r>
        <w:rPr>
          <w:rFonts w:ascii="Times New Roman" w:hAnsi="Times New Roman"/>
          <w:sz w:val="20"/>
        </w:rPr>
        <w:t xml:space="preserve"> </w:t>
      </w:r>
    </w:p>
    <w:p>
      <w:pPr>
        <w:pStyle w:val="TextBody"/>
        <w:spacing w:before="240" w:after="0"/>
        <w:jc w:val="left"/>
        <w:rPr>
          <w:rFonts w:ascii="Arial;sans-serif" w:hAnsi="Arial;sans-serif"/>
          <w:b w:val="false"/>
          <w:i/>
          <w:sz w:val="20"/>
        </w:rPr>
      </w:pPr>
      <w:r>
        <w:rPr>
          <w:rFonts w:ascii="Arial;sans-serif" w:hAnsi="Arial;sans-serif"/>
          <w:b w:val="false"/>
          <w:i/>
          <w:sz w:val="20"/>
        </w:rPr>
        <w:t>Unless we state otherwise or the context otherwise requires, in this “Executive and Director Compensation” section the terms “Alignment,” “we,” “us,” “our” and the “Company” refer to Alignment Healthcare Holdings, LLC for the period up to our IPO, and for all periods following our IPO in March 2021, to Alignment Healthcare, Inc. “Alignment Partners” refers to Alignment Healthcare Partners, LP, a Delaware limited partnership, which, prior to the reorganization undertaken in connection with the IPO, was the sole member of Alignment Healthcare Holdings, LLC.</w:t>
      </w:r>
    </w:p>
    <w:p>
      <w:pPr>
        <w:pStyle w:val="TextBody"/>
        <w:spacing w:before="240" w:after="0"/>
        <w:jc w:val="left"/>
        <w:rPr>
          <w:rFonts w:ascii="Times New Roman" w:hAnsi="Times New Roman"/>
          <w:sz w:val="20"/>
        </w:rPr>
      </w:pPr>
      <w:r>
        <w:rPr>
          <w:rFonts w:ascii="Arial;sans-serif" w:hAnsi="Arial;sans-serif"/>
          <w:b w:val="false"/>
          <w:sz w:val="20"/>
        </w:rPr>
        <w:t>This section discusses the material components of the executive compensation program for our Chief Executive Officer, Chief Financial Officer and our three other most highly compensated officers as of December 31, 2022,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sz w:val="20"/>
        </w:rPr>
        <w:t>Summary Compensation Table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following table presents summary information regarding the total compensation awarded to, earned by, and paid to our Named Executive Officers for the fiscal years ending December 31, 2022, December 31, 2021, and December 31, 2020, as applicable.</w:t>
      </w:r>
      <w:r>
        <w:rPr>
          <w:rFonts w:ascii="Times New Roman" w:hAnsi="Times New Roman"/>
          <w:sz w:val="20"/>
        </w:rPr>
        <w:t xml:space="preserve"> </w:t>
      </w:r>
    </w:p>
    <w:tbl>
      <w:tblPr>
        <w:tblW w:w="9114" w:type="dxa"/>
        <w:jc w:val="left"/>
        <w:tblInd w:w="0" w:type="dxa"/>
        <w:tblCellMar>
          <w:top w:w="28" w:type="dxa"/>
          <w:left w:w="28" w:type="dxa"/>
          <w:bottom w:w="28" w:type="dxa"/>
          <w:right w:w="28" w:type="dxa"/>
        </w:tblCellMar>
      </w:tblPr>
      <w:tblGrid>
        <w:gridCol w:w="2806"/>
        <w:gridCol w:w="406"/>
        <w:gridCol w:w="601"/>
        <w:gridCol w:w="706"/>
        <w:gridCol w:w="796"/>
        <w:gridCol w:w="796"/>
        <w:gridCol w:w="1081"/>
        <w:gridCol w:w="1081"/>
        <w:gridCol w:w="841"/>
      </w:tblGrid>
      <w:tr>
        <w:trPr/>
        <w:tc>
          <w:tcPr>
            <w:tcW w:w="28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Year</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Salary</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Bonus</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Arial;sans-serif" w:hAnsi="Arial;sans-serif"/>
                <w:b w:val="false"/>
                <w:sz w:val="14"/>
              </w:rPr>
              <w:t>Stock</w:t>
            </w:r>
            <w:r>
              <w:rPr>
                <w:rFonts w:ascii="Times New Roman" w:hAnsi="Times New Roman"/>
                <w:sz w:val="14"/>
              </w:rPr>
              <w:t xml:space="preserve"> </w:t>
            </w:r>
          </w:p>
          <w:p>
            <w:pPr>
              <w:pStyle w:val="TableContents"/>
              <w:spacing w:before="0" w:after="0"/>
              <w:ind w:left="0" w:right="0" w:hanging="0"/>
              <w:jc w:val="center"/>
              <w:rPr>
                <w:rFonts w:ascii="Times New Roman" w:hAnsi="Times New Roman"/>
                <w:sz w:val="14"/>
              </w:rPr>
            </w:pPr>
            <w:r>
              <w:rPr>
                <w:rFonts w:ascii="Arial;sans-serif" w:hAnsi="Arial;sans-serif"/>
                <w:b w:val="false"/>
                <w:sz w:val="14"/>
              </w:rPr>
              <w:t>Awards</w:t>
            </w:r>
            <w:r>
              <w:rPr>
                <w:rFonts w:ascii="Arial;sans-serif" w:hAnsi="Arial;sans-serif"/>
                <w:b w:val="false"/>
                <w:sz w:val="9"/>
              </w:rPr>
              <w:t>(1)</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Arial;sans-serif" w:hAnsi="Arial;sans-serif"/>
                <w:b w:val="false"/>
                <w:sz w:val="14"/>
              </w:rPr>
              <w:t>Option</w:t>
            </w:r>
            <w:r>
              <w:rPr>
                <w:rFonts w:ascii="Times New Roman" w:hAnsi="Times New Roman"/>
                <w:sz w:val="14"/>
              </w:rPr>
              <w:t xml:space="preserve"> </w:t>
            </w:r>
          </w:p>
          <w:p>
            <w:pPr>
              <w:pStyle w:val="TableContents"/>
              <w:spacing w:before="0" w:after="0"/>
              <w:ind w:left="0" w:right="0" w:hanging="0"/>
              <w:jc w:val="center"/>
              <w:rPr>
                <w:rFonts w:ascii="Times New Roman" w:hAnsi="Times New Roman"/>
                <w:sz w:val="14"/>
              </w:rPr>
            </w:pPr>
            <w:r>
              <w:rPr>
                <w:rFonts w:ascii="Arial;sans-serif" w:hAnsi="Arial;sans-serif"/>
                <w:b w:val="false"/>
                <w:sz w:val="14"/>
              </w:rPr>
              <w:t>Awards</w:t>
            </w:r>
            <w:r>
              <w:rPr>
                <w:rFonts w:ascii="Arial;sans-serif" w:hAnsi="Arial;sans-serif"/>
                <w:b w:val="false"/>
                <w:sz w:val="9"/>
              </w:rPr>
              <w:t>(2)</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Non-Equity</w:t>
            </w:r>
          </w:p>
          <w:p>
            <w:pPr>
              <w:pStyle w:val="TableContents"/>
              <w:spacing w:before="0" w:after="0"/>
              <w:ind w:left="0" w:right="0" w:hanging="0"/>
              <w:jc w:val="center"/>
              <w:rPr>
                <w:rFonts w:ascii="Times New Roman" w:hAnsi="Times New Roman"/>
                <w:sz w:val="14"/>
              </w:rPr>
            </w:pPr>
            <w:r>
              <w:rPr>
                <w:rFonts w:ascii="Arial;sans-serif" w:hAnsi="Arial;sans-serif"/>
                <w:b w:val="false"/>
                <w:sz w:val="14"/>
              </w:rPr>
              <w:t>Incentive Plan</w:t>
            </w:r>
            <w:r>
              <w:rPr>
                <w:rFonts w:ascii="Times New Roman" w:hAnsi="Times New Roman"/>
                <w:sz w:val="14"/>
              </w:rPr>
              <w:t xml:space="preserve"> </w:t>
            </w:r>
          </w:p>
          <w:p>
            <w:pPr>
              <w:pStyle w:val="TableContents"/>
              <w:spacing w:before="0" w:after="0"/>
              <w:ind w:left="0" w:right="0" w:hanging="0"/>
              <w:jc w:val="center"/>
              <w:rPr>
                <w:rFonts w:ascii="Times New Roman" w:hAnsi="Times New Roman"/>
                <w:sz w:val="14"/>
              </w:rPr>
            </w:pPr>
            <w:r>
              <w:rPr>
                <w:rFonts w:ascii="Arial;sans-serif" w:hAnsi="Arial;sans-serif"/>
                <w:b w:val="false"/>
                <w:sz w:val="14"/>
              </w:rPr>
              <w:t>Compensation</w:t>
            </w:r>
            <w:r>
              <w:rPr>
                <w:rFonts w:ascii="Arial;sans-serif" w:hAnsi="Arial;sans-serif"/>
                <w:b w:val="false"/>
                <w:sz w:val="9"/>
              </w:rPr>
              <w:t>(3)</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Arial;sans-serif" w:hAnsi="Arial;sans-serif"/>
                <w:b w:val="false"/>
                <w:sz w:val="14"/>
              </w:rPr>
              <w:t>All Other</w:t>
            </w:r>
            <w:r>
              <w:rPr>
                <w:rFonts w:ascii="Times New Roman" w:hAnsi="Times New Roman"/>
                <w:sz w:val="14"/>
              </w:rPr>
              <w:t xml:space="preserve"> </w:t>
            </w:r>
          </w:p>
          <w:p>
            <w:pPr>
              <w:pStyle w:val="TableContents"/>
              <w:spacing w:before="0" w:after="0"/>
              <w:ind w:left="0" w:right="0" w:hanging="0"/>
              <w:jc w:val="center"/>
              <w:rPr>
                <w:rFonts w:ascii="Times New Roman" w:hAnsi="Times New Roman"/>
                <w:sz w:val="14"/>
              </w:rPr>
            </w:pPr>
            <w:r>
              <w:rPr>
                <w:rFonts w:ascii="Arial;sans-serif" w:hAnsi="Arial;sans-serif"/>
                <w:b w:val="false"/>
                <w:sz w:val="14"/>
              </w:rPr>
              <w:t>Compensation</w:t>
            </w:r>
            <w:r>
              <w:rPr>
                <w:rFonts w:ascii="Arial;sans-serif" w:hAnsi="Arial;sans-serif"/>
                <w:b w:val="false"/>
                <w:sz w:val="9"/>
              </w:rPr>
              <w:t>(4)</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Total</w:t>
            </w:r>
          </w:p>
          <w:p>
            <w:pPr>
              <w:pStyle w:val="TableContents"/>
              <w:spacing w:before="0" w:after="0"/>
              <w:ind w:left="0" w:right="0" w:hanging="0"/>
              <w:jc w:val="center"/>
              <w:rPr>
                <w:rFonts w:ascii="Arial;sans-serif" w:hAnsi="Arial;sans-serif"/>
                <w:b w:val="false"/>
                <w:sz w:val="14"/>
              </w:rPr>
            </w:pPr>
            <w:r>
              <w:rPr>
                <w:rFonts w:ascii="Arial;sans-serif" w:hAnsi="Arial;sans-serif"/>
                <w:b w:val="false"/>
                <w:sz w:val="14"/>
              </w:rPr>
              <w:t>($)</w:t>
            </w:r>
          </w:p>
        </w:tc>
      </w:tr>
      <w:tr>
        <w:trPr/>
        <w:tc>
          <w:tcPr>
            <w:tcW w:w="280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 w:hAnsi="Times New Roman"/>
                <w:sz w:val="14"/>
              </w:rPr>
            </w:pPr>
            <w:r>
              <w:rPr>
                <w:rFonts w:ascii="Arial;sans-serif" w:hAnsi="Arial;sans-serif"/>
                <w:b/>
                <w:sz w:val="14"/>
              </w:rPr>
              <w:t>John Kao</w:t>
              <w:br/>
            </w:r>
            <w:r>
              <w:rPr>
                <w:rFonts w:ascii="Arial;sans-serif" w:hAnsi="Arial;sans-serif"/>
                <w:b w:val="false"/>
                <w:sz w:val="14"/>
              </w:rPr>
              <w:t>Chief Executive Officer</w:t>
            </w:r>
          </w:p>
        </w:tc>
        <w:tc>
          <w:tcPr>
            <w:tcW w:w="40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2022</w:t>
            </w:r>
          </w:p>
        </w:tc>
        <w:tc>
          <w:tcPr>
            <w:tcW w:w="60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729,827</w:t>
            </w:r>
          </w:p>
        </w:tc>
        <w:tc>
          <w:tcPr>
            <w:tcW w:w="706" w:type="dxa"/>
            <w:tcBorders/>
            <w:shd w:fill="auto" w:val="clear"/>
            <w:tcMar>
              <w:top w:w="0" w:type="dxa"/>
              <w:left w:w="0" w:type="dxa"/>
              <w:bottom w:w="0" w:type="dxa"/>
              <w:right w:w="0" w:type="dxa"/>
            </w:tcMar>
            <w:vAlign w:val="center"/>
          </w:tcPr>
          <w:p>
            <w:pPr>
              <w:pStyle w:val="TableContents"/>
              <w:spacing w:before="120" w:after="0"/>
              <w:ind w:left="0" w:right="0" w:hanging="0"/>
              <w:jc w:val="right"/>
              <w:rPr/>
            </w:pPr>
            <w:r>
              <w:rPr/>
              <w:t>—</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30,937,508</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1,500,002</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902,835</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420</w:t>
            </w:r>
          </w:p>
        </w:tc>
        <w:tc>
          <w:tcPr>
            <w:tcW w:w="84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34,070,592</w:t>
            </w:r>
          </w:p>
        </w:tc>
      </w:tr>
      <w:tr>
        <w:trPr/>
        <w:tc>
          <w:tcPr>
            <w:tcW w:w="28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2021</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675,000</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4"/>
              </w:rPr>
            </w:pPr>
            <w:r>
              <w:rPr>
                <w:rFonts w:ascii="Arial;sans-serif" w:hAnsi="Arial;sans-serif"/>
                <w:b w:val="false"/>
                <w:sz w:val="14"/>
              </w:rPr>
              <w:t>200,000</w:t>
            </w:r>
            <w:r>
              <w:rPr>
                <w:rFonts w:ascii="Arial;sans-serif" w:hAnsi="Arial;sans-serif"/>
                <w:b w:val="false"/>
                <w:sz w:val="9"/>
              </w:rPr>
              <w:t>(5)</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14,835,906</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29,570,843</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716,681</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4"/>
              </w:rPr>
            </w:pPr>
            <w:r>
              <w:rPr>
                <w:rFonts w:ascii="Arial;sans-serif" w:hAnsi="Arial;sans-serif"/>
                <w:b w:val="false"/>
                <w:sz w:val="14"/>
              </w:rPr>
              <w:t>420</w:t>
            </w:r>
            <w:r>
              <w:rPr>
                <w:rFonts w:ascii="Times New Roman" w:hAnsi="Times New Roman"/>
                <w:sz w:val="14"/>
              </w:rPr>
              <w:t xml:space="preserve"> </w:t>
            </w:r>
          </w:p>
        </w:tc>
        <w:tc>
          <w:tcPr>
            <w:tcW w:w="8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45,998,851</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2020</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656,827</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2,537,500</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659,138</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3,853,465</w:t>
            </w:r>
          </w:p>
        </w:tc>
      </w:tr>
      <w:tr>
        <w:trPr/>
        <w:tc>
          <w:tcPr>
            <w:tcW w:w="280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 w:hAnsi="Times New Roman"/>
                <w:sz w:val="14"/>
              </w:rPr>
            </w:pPr>
            <w:r>
              <w:rPr>
                <w:rFonts w:ascii="Arial;sans-serif" w:hAnsi="Arial;sans-serif"/>
                <w:b/>
                <w:sz w:val="14"/>
              </w:rPr>
              <w:t>Thomas Freeman</w:t>
              <w:br/>
            </w:r>
            <w:r>
              <w:rPr>
                <w:rFonts w:ascii="Arial;sans-serif" w:hAnsi="Arial;sans-serif"/>
                <w:b w:val="false"/>
                <w:sz w:val="14"/>
              </w:rPr>
              <w:t>Chief Financial Officer</w:t>
            </w:r>
          </w:p>
        </w:tc>
        <w:tc>
          <w:tcPr>
            <w:tcW w:w="40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2022</w:t>
            </w:r>
          </w:p>
        </w:tc>
        <w:tc>
          <w:tcPr>
            <w:tcW w:w="60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486,539</w:t>
            </w:r>
          </w:p>
        </w:tc>
        <w:tc>
          <w:tcPr>
            <w:tcW w:w="706" w:type="dxa"/>
            <w:tcBorders/>
            <w:shd w:fill="auto" w:val="clear"/>
            <w:tcMar>
              <w:top w:w="0" w:type="dxa"/>
              <w:left w:w="0" w:type="dxa"/>
              <w:bottom w:w="0" w:type="dxa"/>
              <w:right w:w="0" w:type="dxa"/>
            </w:tcMar>
            <w:vAlign w:val="center"/>
          </w:tcPr>
          <w:p>
            <w:pPr>
              <w:pStyle w:val="TableContents"/>
              <w:spacing w:before="120" w:after="0"/>
              <w:ind w:left="0" w:right="0" w:hanging="0"/>
              <w:jc w:val="right"/>
              <w:rPr/>
            </w:pPr>
            <w:r>
              <w:rPr/>
              <w:t>—</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6,385,854</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412,500</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448,501</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13,703</w:t>
            </w:r>
          </w:p>
        </w:tc>
        <w:tc>
          <w:tcPr>
            <w:tcW w:w="84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7,747,097</w:t>
            </w:r>
          </w:p>
        </w:tc>
      </w:tr>
      <w:tr>
        <w:trPr/>
        <w:tc>
          <w:tcPr>
            <w:tcW w:w="28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2021</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436,539</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4"/>
              </w:rPr>
            </w:pPr>
            <w:r>
              <w:rPr>
                <w:rFonts w:ascii="Arial;sans-serif" w:hAnsi="Arial;sans-serif"/>
                <w:b w:val="false"/>
                <w:sz w:val="14"/>
              </w:rPr>
              <w:t>100,000</w:t>
            </w:r>
            <w:r>
              <w:rPr>
                <w:rFonts w:ascii="Arial;sans-serif" w:hAnsi="Arial;sans-serif"/>
                <w:b w:val="false"/>
                <w:sz w:val="9"/>
              </w:rPr>
              <w:t>(5)</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4,275,972</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4"/>
              </w:rPr>
            </w:pPr>
            <w:r>
              <w:rPr>
                <w:rFonts w:ascii="Arial;sans-serif" w:hAnsi="Arial;sans-serif"/>
                <w:b w:val="false"/>
                <w:sz w:val="14"/>
              </w:rPr>
              <w:t>5,758,536</w:t>
            </w:r>
            <w:r>
              <w:rPr>
                <w:rFonts w:ascii="Times New Roman" w:hAnsi="Times New Roman"/>
                <w:sz w:val="14"/>
              </w:rPr>
              <w:t xml:space="preserve"> </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306,414</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15,267</w:t>
            </w:r>
          </w:p>
        </w:tc>
        <w:tc>
          <w:tcPr>
            <w:tcW w:w="8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10,892,727</w:t>
            </w:r>
          </w:p>
        </w:tc>
      </w:tr>
      <w:tr>
        <w:trPr/>
        <w:tc>
          <w:tcPr>
            <w:tcW w:w="28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2020</w:t>
            </w:r>
          </w:p>
        </w:tc>
        <w:tc>
          <w:tcPr>
            <w:tcW w:w="6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389,231</w:t>
            </w:r>
          </w:p>
        </w:tc>
        <w:tc>
          <w:tcPr>
            <w:tcW w:w="7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609,000</w:t>
            </w:r>
          </w:p>
        </w:tc>
        <w:tc>
          <w:tcPr>
            <w:tcW w:w="7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8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273,420</w:t>
            </w:r>
          </w:p>
        </w:tc>
        <w:tc>
          <w:tcPr>
            <w:tcW w:w="108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7,752</w:t>
            </w:r>
          </w:p>
        </w:tc>
        <w:tc>
          <w:tcPr>
            <w:tcW w:w="84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1,279,403</w:t>
            </w:r>
          </w:p>
        </w:tc>
      </w:tr>
      <w:tr>
        <w:trPr/>
        <w:tc>
          <w:tcPr>
            <w:tcW w:w="280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 w:hAnsi="Times New Roman"/>
                <w:sz w:val="14"/>
              </w:rPr>
            </w:pPr>
            <w:r>
              <w:rPr>
                <w:rFonts w:ascii="Arial;sans-serif" w:hAnsi="Arial;sans-serif"/>
                <w:b/>
                <w:sz w:val="14"/>
              </w:rPr>
              <w:t>Dawn Maroney</w:t>
              <w:br/>
            </w:r>
            <w:r>
              <w:rPr>
                <w:rFonts w:ascii="Arial;sans-serif" w:hAnsi="Arial;sans-serif"/>
                <w:b w:val="false"/>
                <w:sz w:val="14"/>
              </w:rPr>
              <w:t>President, Markets</w:t>
            </w:r>
          </w:p>
        </w:tc>
        <w:tc>
          <w:tcPr>
            <w:tcW w:w="40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2022</w:t>
            </w:r>
          </w:p>
        </w:tc>
        <w:tc>
          <w:tcPr>
            <w:tcW w:w="60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557,308</w:t>
            </w:r>
          </w:p>
        </w:tc>
        <w:tc>
          <w:tcPr>
            <w:tcW w:w="706" w:type="dxa"/>
            <w:tcBorders/>
            <w:shd w:fill="auto" w:val="clear"/>
            <w:tcMar>
              <w:top w:w="0" w:type="dxa"/>
              <w:left w:w="0" w:type="dxa"/>
              <w:bottom w:w="0" w:type="dxa"/>
              <w:right w:w="0" w:type="dxa"/>
            </w:tcMar>
            <w:vAlign w:val="center"/>
          </w:tcPr>
          <w:p>
            <w:pPr>
              <w:pStyle w:val="TableContents"/>
              <w:spacing w:before="120" w:after="0"/>
              <w:ind w:left="0" w:right="0" w:hanging="0"/>
              <w:jc w:val="right"/>
              <w:rPr/>
            </w:pPr>
            <w:r>
              <w:rPr/>
              <w:t>—</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8,832,243</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624,999</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553,589</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12,620</w:t>
            </w:r>
          </w:p>
        </w:tc>
        <w:tc>
          <w:tcPr>
            <w:tcW w:w="84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10,580,760</w:t>
            </w:r>
          </w:p>
        </w:tc>
      </w:tr>
      <w:tr>
        <w:trPr/>
        <w:tc>
          <w:tcPr>
            <w:tcW w:w="28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2021</w:t>
            </w:r>
          </w:p>
        </w:tc>
        <w:tc>
          <w:tcPr>
            <w:tcW w:w="60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536,731</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4"/>
              </w:rPr>
            </w:pPr>
            <w:r>
              <w:rPr>
                <w:rFonts w:ascii="Arial;sans-serif" w:hAnsi="Arial;sans-serif"/>
                <w:b w:val="false"/>
                <w:sz w:val="14"/>
              </w:rPr>
              <w:t>20,000</w:t>
            </w:r>
            <w:r>
              <w:rPr>
                <w:rFonts w:ascii="Arial;sans-serif" w:hAnsi="Arial;sans-serif"/>
                <w:b w:val="false"/>
                <w:sz w:val="9"/>
              </w:rPr>
              <w:t>(5)</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5,146,254</w:t>
            </w:r>
          </w:p>
        </w:tc>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7,781,800</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468,128</w:t>
            </w:r>
          </w:p>
        </w:tc>
        <w:tc>
          <w:tcPr>
            <w:tcW w:w="108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12,020</w:t>
            </w:r>
          </w:p>
        </w:tc>
        <w:tc>
          <w:tcPr>
            <w:tcW w:w="8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13,964,932</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2020</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486,538</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812,000</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337,710</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12,352</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4"/>
              </w:rPr>
            </w:pPr>
            <w:r>
              <w:rPr>
                <w:rFonts w:ascii="Arial;sans-serif" w:hAnsi="Arial;sans-serif"/>
                <w:b w:val="false"/>
                <w:sz w:val="14"/>
              </w:rPr>
              <w:t>1,648,600</w:t>
            </w:r>
          </w:p>
        </w:tc>
      </w:tr>
      <w:tr>
        <w:trPr/>
        <w:tc>
          <w:tcPr>
            <w:tcW w:w="2806" w:type="dxa"/>
            <w:tcBorders/>
            <w:shd w:fill="auto" w:val="clear"/>
            <w:tcMar>
              <w:top w:w="0" w:type="dxa"/>
              <w:left w:w="0" w:type="dxa"/>
              <w:bottom w:w="0" w:type="dxa"/>
              <w:right w:w="0" w:type="dxa"/>
            </w:tcMar>
            <w:vAlign w:val="center"/>
          </w:tcPr>
          <w:p>
            <w:pPr>
              <w:pStyle w:val="TableContents"/>
              <w:spacing w:before="120" w:after="120"/>
              <w:ind w:left="0" w:right="0" w:hanging="0"/>
              <w:jc w:val="left"/>
              <w:rPr>
                <w:rFonts w:ascii="Times New Roman" w:hAnsi="Times New Roman"/>
                <w:sz w:val="14"/>
              </w:rPr>
            </w:pPr>
            <w:r>
              <w:rPr>
                <w:rFonts w:ascii="Arial;sans-serif" w:hAnsi="Arial;sans-serif"/>
                <w:b/>
                <w:sz w:val="14"/>
              </w:rPr>
              <w:t>Dinesh Kumar</w:t>
              <w:br/>
            </w:r>
            <w:r>
              <w:rPr>
                <w:rFonts w:ascii="Arial;sans-serif" w:hAnsi="Arial;sans-serif"/>
                <w:b w:val="false"/>
                <w:sz w:val="14"/>
              </w:rPr>
              <w:t>Chief Medical and Operating Officer</w:t>
            </w:r>
            <w:r>
              <w:rPr>
                <w:rFonts w:ascii="Arial;sans-serif" w:hAnsi="Arial;sans-serif"/>
                <w:b w:val="false"/>
                <w:sz w:val="9"/>
              </w:rPr>
              <w:t>(6)</w:t>
            </w:r>
          </w:p>
        </w:tc>
        <w:tc>
          <w:tcPr>
            <w:tcW w:w="40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2022</w:t>
            </w:r>
          </w:p>
        </w:tc>
        <w:tc>
          <w:tcPr>
            <w:tcW w:w="60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543,846</w:t>
            </w:r>
          </w:p>
        </w:tc>
        <w:tc>
          <w:tcPr>
            <w:tcW w:w="706" w:type="dxa"/>
            <w:tcBorders/>
            <w:shd w:fill="auto" w:val="clear"/>
            <w:tcMar>
              <w:top w:w="0" w:type="dxa"/>
              <w:left w:w="0" w:type="dxa"/>
              <w:bottom w:w="0" w:type="dxa"/>
              <w:right w:w="0" w:type="dxa"/>
            </w:tcMar>
            <w:vAlign w:val="center"/>
          </w:tcPr>
          <w:p>
            <w:pPr>
              <w:pStyle w:val="TableContents"/>
              <w:spacing w:before="120" w:after="0"/>
              <w:ind w:left="0" w:right="0" w:hanging="0"/>
              <w:jc w:val="right"/>
              <w:rPr/>
            </w:pPr>
            <w:r>
              <w:rPr/>
              <w:t>—</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6,397,210</w:t>
            </w:r>
          </w:p>
        </w:tc>
        <w:tc>
          <w:tcPr>
            <w:tcW w:w="796"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624,999</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520,867</w:t>
            </w:r>
          </w:p>
        </w:tc>
        <w:tc>
          <w:tcPr>
            <w:tcW w:w="108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12,620</w:t>
            </w:r>
          </w:p>
        </w:tc>
        <w:tc>
          <w:tcPr>
            <w:tcW w:w="841" w:type="dxa"/>
            <w:tcBorders/>
            <w:shd w:fill="auto" w:val="clear"/>
            <w:tcMar>
              <w:top w:w="0" w:type="dxa"/>
              <w:left w:w="0" w:type="dxa"/>
              <w:bottom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8,099,543</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120" w:after="12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2021</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469,231</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3,831,642</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5,058,168</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388,329</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Times New Roman" w:hAnsi="Times New Roman"/>
                <w:sz w:val="14"/>
              </w:rPr>
            </w:pPr>
            <w:r>
              <w:rPr>
                <w:rFonts w:ascii="Arial;sans-serif" w:hAnsi="Arial;sans-serif"/>
                <w:b w:val="false"/>
                <w:sz w:val="14"/>
              </w:rPr>
              <w:t>12,020</w:t>
            </w:r>
            <w:r>
              <w:rPr>
                <w:rFonts w:ascii="Times New Roman" w:hAnsi="Times New Roman"/>
                <w:sz w:val="14"/>
              </w:rPr>
              <w:t xml:space="preserve">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9,759,389</w:t>
            </w:r>
          </w:p>
        </w:tc>
      </w:tr>
      <w:tr>
        <w:trPr/>
        <w:tc>
          <w:tcPr>
            <w:tcW w:w="2806" w:type="dxa"/>
            <w:tcBorders>
              <w:bottom w:val="single" w:sz="4" w:space="0" w:color="000000"/>
            </w:tcBorders>
            <w:shd w:fill="auto" w:val="clear"/>
            <w:tcMar>
              <w:top w:w="0" w:type="dxa"/>
              <w:left w:w="0" w:type="dxa"/>
              <w:right w:w="0" w:type="dxa"/>
            </w:tcMar>
            <w:vAlign w:val="center"/>
          </w:tcPr>
          <w:p>
            <w:pPr>
              <w:pStyle w:val="TableContents"/>
              <w:spacing w:before="120" w:after="120"/>
              <w:ind w:left="0" w:right="0" w:hanging="0"/>
              <w:jc w:val="left"/>
              <w:rPr>
                <w:rFonts w:ascii="Times New Roman" w:hAnsi="Times New Roman"/>
                <w:sz w:val="14"/>
              </w:rPr>
            </w:pPr>
            <w:r>
              <w:rPr>
                <w:rFonts w:ascii="Arial;sans-serif" w:hAnsi="Arial;sans-serif"/>
                <w:b/>
                <w:sz w:val="14"/>
              </w:rPr>
              <w:t>Richard Cross</w:t>
              <w:br/>
            </w:r>
            <w:r>
              <w:rPr>
                <w:rFonts w:ascii="Arial;sans-serif" w:hAnsi="Arial;sans-serif"/>
                <w:b w:val="false"/>
                <w:sz w:val="14"/>
              </w:rPr>
              <w:t>General Counsel and Corporate Secretary</w:t>
            </w:r>
            <w:r>
              <w:rPr>
                <w:rFonts w:ascii="Arial;sans-serif" w:hAnsi="Arial;sans-serif"/>
                <w:b w:val="false"/>
                <w:sz w:val="9"/>
              </w:rPr>
              <w:t>(6)</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2022</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386,539</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2,107,504</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149,999</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225,821</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12,620</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120" w:after="0"/>
              <w:ind w:left="0" w:right="0" w:hanging="0"/>
              <w:jc w:val="right"/>
              <w:rPr>
                <w:rFonts w:ascii="Arial;sans-serif" w:hAnsi="Arial;sans-serif"/>
                <w:b w:val="false"/>
                <w:sz w:val="14"/>
              </w:rPr>
            </w:pPr>
            <w:r>
              <w:rPr>
                <w:rFonts w:ascii="Arial;sans-serif" w:hAnsi="Arial;sans-serif"/>
                <w:b w:val="false"/>
                <w:sz w:val="14"/>
              </w:rPr>
              <w:t>2,882,483</w:t>
            </w:r>
          </w:p>
        </w:tc>
      </w:tr>
    </w:tbl>
    <w:p>
      <w:pPr>
        <w:pStyle w:val="TextBody"/>
        <w:spacing w:before="240" w:after="120"/>
        <w:jc w:val="left"/>
        <w:rPr>
          <w:rFonts w:ascii="Times New Roman" w:hAnsi="Times New Roman"/>
          <w:b w:val="false"/>
          <w:sz w:val="16"/>
        </w:rPr>
      </w:pPr>
      <w:r>
        <w:rPr>
          <w:rFonts w:ascii="Times New Roman" w:hAnsi="Times New Roman"/>
          <w:b w:val="false"/>
          <w:sz w:val="16"/>
        </w:rPr>
        <w:t>(1)</w:t>
      </w:r>
    </w:p>
    <w:p>
      <w:pPr>
        <w:pStyle w:val="TextBody"/>
        <w:spacing w:before="240" w:after="120"/>
        <w:jc w:val="left"/>
        <w:rPr>
          <w:rFonts w:ascii="Arial;sans-serif" w:hAnsi="Arial;sans-serif"/>
          <w:b w:val="false"/>
          <w:sz w:val="16"/>
        </w:rPr>
      </w:pPr>
      <w:r>
        <w:rPr>
          <w:rFonts w:ascii="Arial;sans-serif" w:hAnsi="Arial;sans-serif"/>
          <w:b w:val="false"/>
          <w:sz w:val="16"/>
        </w:rPr>
        <w:t>For 2022, represents the grant date fair values associated with the grant of restricted stock units (“RSUs”) of Alignment to each of the NEOs, computed in accordance with the Financial Accounting Standards Board Accounting Standards Codification Topic 718, “Stock Compensation” (“FASB ASC Topic 718”).</w:t>
      </w:r>
    </w:p>
    <w:p>
      <w:pPr>
        <w:pStyle w:val="TextBody"/>
        <w:spacing w:before="240" w:after="120"/>
        <w:jc w:val="left"/>
        <w:rPr>
          <w:rFonts w:ascii="Times New Roman" w:hAnsi="Times New Roman"/>
          <w:sz w:val="20"/>
        </w:rPr>
      </w:pPr>
      <w:r>
        <w:rPr>
          <w:rFonts w:ascii="Arial;sans-serif" w:hAnsi="Arial;sans-serif"/>
          <w:b w:val="false"/>
          <w:sz w:val="16"/>
        </w:rPr>
        <w:t>For 2021, the amounts reported include the accounting costs associated with the March 25, 2021 modification in connection with the conversion of performance-based incentive units (for Mr. Kao, Mr. Freeman, Ms. Maroney and Dr.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53</w:t>
      </w:r>
    </w:p>
    <w:p>
      <w:pPr>
        <w:pStyle w:val="HorizontalLine"/>
        <w:rPr/>
      </w:pPr>
      <w:r>
        <w:rPr/>
      </w:r>
    </w:p>
    <w:p>
      <w:pPr>
        <w:pStyle w:val="TextBody"/>
        <w:spacing w:before="0" w:after="0"/>
        <w:jc w:val="left"/>
        <w:rPr/>
      </w:pPr>
      <w:r>
        <w:rPr/>
        <w:t> </w:t>
      </w:r>
    </w:p>
    <w:p>
      <w:pPr>
        <w:pStyle w:val="TextBody"/>
        <w:spacing w:before="240" w:after="120"/>
        <w:jc w:val="left"/>
        <w:rPr>
          <w:rFonts w:ascii="Times New Roman" w:hAnsi="Times New Roman"/>
          <w:sz w:val="20"/>
        </w:rPr>
      </w:pPr>
      <w:r>
        <w:rPr>
          <w:rFonts w:ascii="Arial;sans-serif" w:hAnsi="Arial;sans-serif"/>
          <w:b w:val="false"/>
          <w:sz w:val="16"/>
        </w:rPr>
        <w:t>Kumar) and SARs (for Mr. Freeman) as a part of the pre-IPO equity conversion discussed in further detail in “</w:t>
      </w:r>
      <w:r>
        <w:rPr>
          <w:rFonts w:ascii="Arial;sans-serif" w:hAnsi="Arial;sans-serif"/>
          <w:b w:val="false"/>
          <w:i/>
          <w:sz w:val="16"/>
        </w:rPr>
        <w:t>Compensation Discussion and Analysis—2022 Executive Compensation Program in Detail—Long-Term Equity Incentives—Pre-Initial Public Offering Awards</w:t>
      </w:r>
      <w:r>
        <w:rPr>
          <w:rFonts w:ascii="Times New Roman" w:hAnsi="Times New Roman"/>
          <w:sz w:val="20"/>
        </w:rPr>
        <w:t xml:space="preserve">” </w:t>
      </w:r>
      <w:r>
        <w:rPr>
          <w:rFonts w:ascii="Arial;sans-serif" w:hAnsi="Arial;sans-serif"/>
          <w:b w:val="false"/>
          <w:sz w:val="16"/>
        </w:rPr>
        <w:t>as follows: John Kao – $9,237,366; Thomas Freeman – $3,185,730; Dawn Maroney – $3,672,954; and Dinesh Kumar – $2,874,006. Such accounting costs do not correspond to the actual economic value that may be ultimately realized by the Named Executive Officers for such awards. The remainder of the amounts reported for 2021 include the grant date fair values associated with the grant of RSUs of Alignment to each of the NEOs, computed in accordance with FASB ASC Topic 718 as follows: John Kao – $5,598,540; Thomas Freeman – $1,090,242; Dawn Maroney – $1,473,300; and Dinesh Kumar – $957,636.</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Arial;sans-serif" w:hAnsi="Arial;sans-serif"/>
          <w:b w:val="false"/>
          <w:sz w:val="16"/>
        </w:rPr>
        <w:t>For 2020, represents the grant date fair value of incentive units in Alignment Partners calculated in accordance with FASB ASC Topic 718.</w:t>
      </w:r>
      <w:r>
        <w:rPr>
          <w:rFonts w:ascii="Times New Roman" w:hAnsi="Times New Roman"/>
          <w:sz w:val="20"/>
        </w:rPr>
        <w:t xml:space="preserve"> </w:t>
      </w:r>
    </w:p>
    <w:p>
      <w:pPr>
        <w:pStyle w:val="TextBody"/>
        <w:spacing w:before="120" w:after="120"/>
        <w:jc w:val="left"/>
        <w:rPr>
          <w:rFonts w:ascii="Arial;sans-serif" w:hAnsi="Arial;sans-serif"/>
          <w:b w:val="false"/>
          <w:sz w:val="16"/>
        </w:rPr>
      </w:pPr>
      <w:r>
        <w:rPr>
          <w:rFonts w:ascii="Arial;sans-serif" w:hAnsi="Arial;sans-serif"/>
          <w:b w:val="false"/>
          <w:sz w:val="16"/>
        </w:rPr>
        <w:t>Assumptions used in computing the amounts reported herein are set forth in Note 10 to the Consolidated Financial Statements included in the Company's Annual Report on Form 10-K for the year ended December 31, 2022.</w:t>
      </w:r>
    </w:p>
    <w:p>
      <w:pPr>
        <w:pStyle w:val="TextBody"/>
        <w:spacing w:before="120" w:after="120"/>
        <w:jc w:val="left"/>
        <w:rPr>
          <w:rFonts w:ascii="Times New Roman" w:hAnsi="Times New Roman"/>
          <w:b w:val="false"/>
          <w:sz w:val="16"/>
        </w:rPr>
      </w:pPr>
      <w:r>
        <w:rPr>
          <w:rFonts w:ascii="Times New Roman" w:hAnsi="Times New Roman"/>
          <w:b w:val="false"/>
          <w:sz w:val="16"/>
        </w:rPr>
        <w:t>(2)</w:t>
      </w:r>
    </w:p>
    <w:p>
      <w:pPr>
        <w:pStyle w:val="TextBody"/>
        <w:spacing w:before="120" w:after="120"/>
        <w:jc w:val="left"/>
        <w:rPr>
          <w:rFonts w:ascii="Arial;sans-serif" w:hAnsi="Arial;sans-serif"/>
          <w:b w:val="false"/>
          <w:sz w:val="16"/>
        </w:rPr>
      </w:pPr>
      <w:r>
        <w:rPr>
          <w:rFonts w:ascii="Arial;sans-serif" w:hAnsi="Arial;sans-serif"/>
          <w:b w:val="false"/>
          <w:sz w:val="16"/>
        </w:rPr>
        <w:t>Represents the grant date fair value of non-qualified stock options granted to the individuals on (i) March 8, 2022 and (ii) March 25, 2021 in connection with the closing of our IPO, in each case calculated in accordance with FASB ASC Topic 718. Assumptions used in computing the amounts reported herein are set forth in Note 10 to the Consolidated Financial Statements included in the Company's Annual Report on Form 10-K for the year ended December 31, 2022.</w:t>
      </w:r>
    </w:p>
    <w:p>
      <w:pPr>
        <w:pStyle w:val="TextBody"/>
        <w:spacing w:before="120" w:after="120"/>
        <w:jc w:val="left"/>
        <w:rPr>
          <w:rFonts w:ascii="Times New Roman" w:hAnsi="Times New Roman"/>
          <w:b w:val="false"/>
          <w:sz w:val="16"/>
        </w:rPr>
      </w:pPr>
      <w:r>
        <w:rPr>
          <w:rFonts w:ascii="Times New Roman" w:hAnsi="Times New Roman"/>
          <w:b w:val="false"/>
          <w:sz w:val="16"/>
        </w:rPr>
        <w:t>(3)</w:t>
      </w:r>
    </w:p>
    <w:p>
      <w:pPr>
        <w:pStyle w:val="TextBody"/>
        <w:spacing w:before="120" w:after="120"/>
        <w:jc w:val="left"/>
        <w:rPr>
          <w:rFonts w:ascii="Arial;sans-serif" w:hAnsi="Arial;sans-serif"/>
          <w:b w:val="false"/>
          <w:sz w:val="16"/>
        </w:rPr>
      </w:pPr>
      <w:r>
        <w:rPr>
          <w:rFonts w:ascii="Arial;sans-serif" w:hAnsi="Arial;sans-serif"/>
          <w:b w:val="false"/>
          <w:sz w:val="16"/>
        </w:rPr>
        <w:t>For 2022, represents 80% of the NEO’s 2022 bonus payment under the Company’s annual incentive plan, which was paid in March 2023, and the following 20% 2021 bonus payments that were paid to each NEO in October 2022: John Kao - $174,305; Thomas Freeman - $61,962; Dawn Maroney - $120,300; Dinesh Kumar - $98,044; and Richard Cross - $47,266. The remaining 20% of the 2022 bonus payment is not included and will be paid, if at all, in September or October of 2023, based on certain performance criteria (an additional payment may also be made at such time, based on performance).</w:t>
      </w:r>
    </w:p>
    <w:p>
      <w:pPr>
        <w:pStyle w:val="TextBody"/>
        <w:spacing w:before="120" w:after="120"/>
        <w:jc w:val="left"/>
        <w:rPr>
          <w:rFonts w:ascii="Times New Roman" w:hAnsi="Times New Roman"/>
          <w:sz w:val="20"/>
        </w:rPr>
      </w:pPr>
      <w:r>
        <w:rPr>
          <w:rFonts w:ascii="Arial;sans-serif" w:hAnsi="Arial;sans-serif"/>
          <w:b w:val="false"/>
          <w:sz w:val="16"/>
        </w:rPr>
        <w:t>For 2021, represents 80% of the NEO’s 2021 bonus payment under the Company’s annual incentive plan, which was paid in March 2022, and the following 20% 2020 bonus payments that were paid to each NEO on November 5, 2021: John Kao - $154,406; Thomas Freeman - $64,050; Dawn Maroney - $80,063; and Dinesh Kumar - $72,056.</w:t>
      </w:r>
      <w:r>
        <w:rPr>
          <w:rFonts w:ascii="Times New Roman" w:hAnsi="Times New Roman"/>
          <w:sz w:val="20"/>
        </w:rPr>
        <w:t xml:space="preserve"> </w:t>
      </w:r>
    </w:p>
    <w:p>
      <w:pPr>
        <w:pStyle w:val="TextBody"/>
        <w:spacing w:before="120" w:after="120"/>
        <w:jc w:val="left"/>
        <w:rPr>
          <w:rFonts w:ascii="Arial;sans-serif" w:hAnsi="Arial;sans-serif"/>
          <w:b w:val="false"/>
          <w:sz w:val="16"/>
        </w:rPr>
      </w:pPr>
      <w:r>
        <w:rPr>
          <w:rFonts w:ascii="Arial;sans-serif" w:hAnsi="Arial;sans-serif"/>
          <w:b w:val="false"/>
          <w:sz w:val="16"/>
        </w:rPr>
        <w:t>For 2020, represents 80% of the NEO’s 2020 bonus payment under the Company’s annual incentive plan, which was paid in March 2021, as well as the following 20% 2019 bonus payments that were paid to each NEO on October 23, 2020: John Kao – $165,038; Thomas Freeman – $68,460; and Dawn Maroney – $81,510.</w:t>
      </w:r>
    </w:p>
    <w:p>
      <w:pPr>
        <w:pStyle w:val="TextBody"/>
        <w:spacing w:before="120" w:after="120"/>
        <w:jc w:val="left"/>
        <w:rPr>
          <w:rFonts w:ascii="Times New Roman" w:hAnsi="Times New Roman"/>
          <w:sz w:val="20"/>
        </w:rPr>
      </w:pPr>
      <w:r>
        <w:rPr>
          <w:rFonts w:ascii="Arial;sans-serif" w:hAnsi="Arial;sans-serif"/>
          <w:b w:val="false"/>
          <w:sz w:val="16"/>
        </w:rPr>
        <w:t>Certain NEOs received increases to base salaries and target and maximum bonus opportunities during 2021 and 2022. Target bonus opportunities for the full year reflect the weighted average of the target bonus opportunity percentages applicable to each NEO for each applicable period throughout the year. See “</w:t>
      </w:r>
      <w:r>
        <w:rPr>
          <w:rFonts w:ascii="Arial;sans-serif" w:hAnsi="Arial;sans-serif"/>
          <w:b w:val="false"/>
          <w:i/>
          <w:sz w:val="16"/>
        </w:rPr>
        <w:t>Compensation Discussion and Analysis—2022 Executive Compensation Program in Detail—Annual Incentives</w:t>
      </w:r>
      <w:r>
        <w:rPr>
          <w:rFonts w:ascii="Times New Roman" w:hAnsi="Times New Roman"/>
          <w:sz w:val="20"/>
        </w:rPr>
        <w:t xml:space="preserve">” </w:t>
      </w:r>
      <w:r>
        <w:rPr>
          <w:rFonts w:ascii="Arial;sans-serif" w:hAnsi="Arial;sans-serif"/>
          <w:b w:val="false"/>
          <w:sz w:val="16"/>
        </w:rPr>
        <w:t>above for further discussion of our Annual Incentive Plan.</w:t>
      </w:r>
      <w:r>
        <w:rPr>
          <w:rFonts w:ascii="Times New Roman" w:hAnsi="Times New Roman"/>
          <w:sz w:val="20"/>
        </w:rPr>
        <w:t xml:space="preserve"> </w:t>
      </w:r>
    </w:p>
    <w:p>
      <w:pPr>
        <w:pStyle w:val="TextBody"/>
        <w:spacing w:before="120" w:after="120"/>
        <w:jc w:val="left"/>
        <w:rPr>
          <w:rFonts w:ascii="Times New Roman" w:hAnsi="Times New Roman"/>
          <w:b w:val="false"/>
          <w:sz w:val="16"/>
        </w:rPr>
      </w:pPr>
      <w:r>
        <w:rPr>
          <w:rFonts w:ascii="Times New Roman" w:hAnsi="Times New Roman"/>
          <w:b w:val="false"/>
          <w:sz w:val="16"/>
        </w:rPr>
        <w:t>(4)</w:t>
      </w:r>
    </w:p>
    <w:p>
      <w:pPr>
        <w:pStyle w:val="TextBody"/>
        <w:spacing w:before="120" w:after="120"/>
        <w:jc w:val="left"/>
        <w:rPr>
          <w:rFonts w:ascii="Arial;sans-serif" w:hAnsi="Arial;sans-serif"/>
          <w:b w:val="false"/>
          <w:sz w:val="16"/>
        </w:rPr>
      </w:pPr>
      <w:r>
        <w:rPr>
          <w:rFonts w:ascii="Arial;sans-serif" w:hAnsi="Arial;sans-serif"/>
          <w:b w:val="false"/>
          <w:sz w:val="16"/>
        </w:rPr>
        <w:t>For 2022, represents: for Mr. Kao – $420 internet stipend; for Mr. Freeman – $420 internet stipend, imputed income for domestic partnership insurance of $1,083 and Company 401(k) matching contributions of $12,200; for Ms. Maroney – $420 internet stipend and Company 401(k) matching contributions of $12,200; for Dr. Kumar – $420 internet stipend and Company 401(k) matching contributions of $12,200; and for Mr. Cross – $420 internet stipend and Company 401(k) matching contributions of $12,200.</w:t>
      </w:r>
    </w:p>
    <w:p>
      <w:pPr>
        <w:pStyle w:val="TextBody"/>
        <w:spacing w:before="120" w:after="120"/>
        <w:jc w:val="left"/>
        <w:rPr>
          <w:rFonts w:ascii="Times New Roman" w:hAnsi="Times New Roman"/>
          <w:sz w:val="20"/>
        </w:rPr>
      </w:pPr>
      <w:r>
        <w:rPr>
          <w:rFonts w:ascii="Arial;sans-serif" w:hAnsi="Arial;sans-serif"/>
          <w:b w:val="false"/>
          <w:sz w:val="16"/>
        </w:rPr>
        <w:t>For 2021, represents: for Mr. Kao – $420 internet stipend; for Mr. Freeman – $420 internet stipend, imputed income for domestic partnership insurance of $3,247 and Company 401(k) matching contributions of $11,600; for Ms. Maroney – $420 internet stipend and Company 401(k) matching contributions of $11,600; and for Dr. Kumar – $420 internet stipend and Company 401(k) matching contributions of $11,600.</w:t>
      </w:r>
      <w:r>
        <w:rPr>
          <w:rFonts w:ascii="Times New Roman" w:hAnsi="Times New Roman"/>
          <w:sz w:val="20"/>
        </w:rPr>
        <w:t xml:space="preserve"> </w:t>
      </w:r>
    </w:p>
    <w:p>
      <w:pPr>
        <w:pStyle w:val="TextBody"/>
        <w:spacing w:before="120" w:after="120"/>
        <w:jc w:val="left"/>
        <w:rPr>
          <w:rFonts w:ascii="Arial;sans-serif" w:hAnsi="Arial;sans-serif"/>
          <w:b w:val="false"/>
          <w:sz w:val="16"/>
        </w:rPr>
      </w:pPr>
      <w:r>
        <w:rPr>
          <w:rFonts w:ascii="Arial;sans-serif" w:hAnsi="Arial;sans-serif"/>
          <w:b w:val="false"/>
          <w:sz w:val="16"/>
        </w:rPr>
        <w:t>For 2020, represents the amount of Company 401(k) matching contributions.</w:t>
      </w:r>
    </w:p>
    <w:p>
      <w:pPr>
        <w:pStyle w:val="TextBody"/>
        <w:spacing w:before="120" w:after="120"/>
        <w:jc w:val="left"/>
        <w:rPr>
          <w:rFonts w:ascii="Times New Roman" w:hAnsi="Times New Roman"/>
          <w:b w:val="false"/>
          <w:sz w:val="16"/>
        </w:rPr>
      </w:pPr>
      <w:r>
        <w:rPr>
          <w:rFonts w:ascii="Times New Roman" w:hAnsi="Times New Roman"/>
          <w:b w:val="false"/>
          <w:sz w:val="16"/>
        </w:rPr>
        <w:t>(5)</w:t>
      </w:r>
    </w:p>
    <w:p>
      <w:pPr>
        <w:pStyle w:val="TextBody"/>
        <w:spacing w:before="120" w:after="120"/>
        <w:jc w:val="left"/>
        <w:rPr>
          <w:rFonts w:ascii="Arial;sans-serif" w:hAnsi="Arial;sans-serif"/>
          <w:b w:val="false"/>
          <w:sz w:val="16"/>
        </w:rPr>
      </w:pPr>
      <w:r>
        <w:rPr>
          <w:rFonts w:ascii="Arial;sans-serif" w:hAnsi="Arial;sans-serif"/>
          <w:b w:val="false"/>
          <w:sz w:val="16"/>
        </w:rPr>
        <w:t>Represents a one-time bonus granted in connection with our IPO.</w:t>
      </w:r>
    </w:p>
    <w:p>
      <w:pPr>
        <w:pStyle w:val="TextBody"/>
        <w:spacing w:before="120" w:after="120"/>
        <w:jc w:val="left"/>
        <w:rPr>
          <w:rFonts w:ascii="Times New Roman" w:hAnsi="Times New Roman"/>
          <w:b w:val="false"/>
          <w:sz w:val="16"/>
        </w:rPr>
      </w:pPr>
      <w:r>
        <w:rPr>
          <w:rFonts w:ascii="Times New Roman" w:hAnsi="Times New Roman"/>
          <w:b w:val="false"/>
          <w:sz w:val="16"/>
        </w:rPr>
        <w:t>(6)</w:t>
      </w:r>
    </w:p>
    <w:p>
      <w:pPr>
        <w:pStyle w:val="TextBody"/>
        <w:spacing w:before="120" w:after="120"/>
        <w:jc w:val="left"/>
        <w:rPr>
          <w:rFonts w:ascii="Arial;sans-serif" w:hAnsi="Arial;sans-serif"/>
          <w:b w:val="false"/>
          <w:sz w:val="16"/>
        </w:rPr>
      </w:pPr>
      <w:r>
        <w:rPr>
          <w:rFonts w:ascii="Arial;sans-serif" w:hAnsi="Arial;sans-serif"/>
          <w:b w:val="false"/>
          <w:sz w:val="16"/>
        </w:rPr>
        <w:t>Dr. Kumar was not a Named Executive Officer for 2020 and Mr. Cross was not a Named Executive Officer for 2020 or 2021.</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54</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0"/>
        </w:rPr>
      </w:pPr>
      <w:r>
        <w:rPr>
          <w:rFonts w:ascii="Arial;sans-serif" w:hAnsi="Arial;sans-serif"/>
          <w:b/>
          <w:sz w:val="20"/>
        </w:rPr>
        <w:t>Grants of Plan-Based Awards for Fiscal Year 2022</w:t>
      </w:r>
    </w:p>
    <w:p>
      <w:pPr>
        <w:pStyle w:val="TextBody"/>
        <w:spacing w:before="120" w:after="240"/>
        <w:jc w:val="left"/>
        <w:rPr>
          <w:rFonts w:ascii="Arial;sans-serif" w:hAnsi="Arial;sans-serif"/>
          <w:b w:val="false"/>
          <w:sz w:val="20"/>
        </w:rPr>
      </w:pPr>
      <w:r>
        <w:rPr>
          <w:rFonts w:ascii="Arial;sans-serif" w:hAnsi="Arial;sans-serif"/>
          <w:b w:val="false"/>
          <w:sz w:val="20"/>
        </w:rPr>
        <w:t>The following table presents the plan-based awards granted to the Named Executive Officers in 2022.</w:t>
      </w:r>
    </w:p>
    <w:tbl>
      <w:tblPr>
        <w:tblW w:w="10205" w:type="dxa"/>
        <w:jc w:val="left"/>
        <w:tblInd w:w="0" w:type="dxa"/>
        <w:tblCellMar>
          <w:top w:w="28" w:type="dxa"/>
          <w:left w:w="28" w:type="dxa"/>
          <w:bottom w:w="28" w:type="dxa"/>
          <w:right w:w="28" w:type="dxa"/>
        </w:tblCellMar>
      </w:tblPr>
      <w:tblGrid>
        <w:gridCol w:w="746"/>
        <w:gridCol w:w="466"/>
        <w:gridCol w:w="690"/>
        <w:gridCol w:w="506"/>
        <w:gridCol w:w="669"/>
        <w:gridCol w:w="692"/>
        <w:gridCol w:w="477"/>
        <w:gridCol w:w="662"/>
        <w:gridCol w:w="670"/>
        <w:gridCol w:w="1595"/>
        <w:gridCol w:w="1047"/>
        <w:gridCol w:w="1349"/>
        <w:gridCol w:w="146"/>
        <w:gridCol w:w="146"/>
        <w:gridCol w:w="146"/>
        <w:gridCol w:w="198"/>
      </w:tblGrid>
      <w:tr>
        <w:trPr/>
        <w:tc>
          <w:tcPr>
            <w:tcW w:w="7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8" w:type="dxa"/>
            <w:tcBorders/>
            <w:shd w:fill="auto" w:val="clear"/>
          </w:tcPr>
          <w:p>
            <w:pPr>
              <w:pStyle w:val="TableContents"/>
              <w:spacing w:before="0" w:after="283"/>
              <w:rPr>
                <w:sz w:val="4"/>
                <w:szCs w:val="4"/>
              </w:rPr>
            </w:pPr>
            <w:r>
              <w:rPr>
                <w:sz w:val="4"/>
                <w:szCs w:val="4"/>
              </w:rPr>
            </w:r>
          </w:p>
        </w:tc>
      </w:tr>
      <w:tr>
        <w:trPr/>
        <w:tc>
          <w:tcPr>
            <w:tcW w:w="746" w:type="dxa"/>
            <w:tcBorders>
              <w:bottom w:val="single" w:sz="2" w:space="0" w:color="000000"/>
            </w:tcBorders>
            <w:shd w:fill="auto" w:val="clear"/>
            <w:tcMar>
              <w:top w:w="0" w:type="dxa"/>
              <w:left w:w="0" w:type="dxa"/>
              <w:right w:w="0" w:type="dxa"/>
            </w:tcMar>
            <w:vAlign w:val="center"/>
          </w:tcPr>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Name</w:t>
            </w:r>
          </w:p>
        </w:tc>
        <w:tc>
          <w:tcPr>
            <w:tcW w:w="4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Grant</w:t>
            </w:r>
          </w:p>
          <w:p>
            <w:pPr>
              <w:pStyle w:val="TableContents"/>
              <w:pBdr>
                <w:bottom w:val="single" w:sz="4" w:space="1" w:color="000000"/>
              </w:pBdr>
              <w:spacing w:before="0" w:after="40"/>
              <w:ind w:left="0" w:right="0" w:hanging="0"/>
              <w:jc w:val="center"/>
              <w:rPr/>
            </w:pPr>
            <w:r>
              <w:rPr/>
              <w:t> </w:t>
            </w:r>
            <w:r>
              <w:rPr>
                <w:rFonts w:ascii="Arial;sans-serif" w:hAnsi="Arial;sans-serif"/>
                <w:b/>
                <w:sz w:val="12"/>
              </w:rPr>
              <w:t>Date</w:t>
            </w:r>
          </w:p>
        </w:tc>
        <w:tc>
          <w:tcPr>
            <w:tcW w:w="1865" w:type="dxa"/>
            <w:gridSpan w:val="3"/>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Estimated Future Payouts Under</w:t>
            </w:r>
            <w:r>
              <w:rPr>
                <w:rFonts w:ascii="Times New Roman" w:hAnsi="Times New Roman"/>
                <w:sz w:val="12"/>
              </w:rPr>
              <w:t xml:space="preserve"> </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Non-Equity Incentive Plan Awards</w:t>
            </w:r>
          </w:p>
        </w:tc>
        <w:tc>
          <w:tcPr>
            <w:tcW w:w="1831" w:type="dxa"/>
            <w:gridSpan w:val="3"/>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Estimated Future Payouts Under</w:t>
            </w:r>
            <w:r>
              <w:rPr>
                <w:rFonts w:ascii="Times New Roman" w:hAnsi="Times New Roman"/>
                <w:sz w:val="12"/>
              </w:rPr>
              <w:t xml:space="preserve"> </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Equity Incentive Plan Awards</w:t>
            </w:r>
          </w:p>
        </w:tc>
        <w:tc>
          <w:tcPr>
            <w:tcW w:w="670" w:type="dxa"/>
            <w:vMerge w:val="restart"/>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All Other</w:t>
            </w:r>
            <w:r>
              <w:rPr>
                <w:rFonts w:ascii="Times New Roman" w:hAnsi="Times New Roman"/>
                <w:sz w:val="12"/>
              </w:rPr>
              <w:t xml:space="preserve"> </w:t>
            </w:r>
          </w:p>
          <w:p>
            <w:pPr>
              <w:pStyle w:val="TableContents"/>
              <w:spacing w:before="0" w:after="0"/>
              <w:ind w:left="0" w:right="0" w:hanging="0"/>
              <w:jc w:val="center"/>
              <w:rPr>
                <w:rFonts w:ascii="Arial;sans-serif" w:hAnsi="Arial;sans-serif"/>
                <w:b/>
                <w:sz w:val="12"/>
              </w:rPr>
            </w:pPr>
            <w:r>
              <w:rPr>
                <w:rFonts w:ascii="Arial;sans-serif" w:hAnsi="Arial;sans-serif"/>
                <w:b/>
                <w:sz w:val="12"/>
              </w:rPr>
              <w:t>Stock</w:t>
            </w:r>
          </w:p>
          <w:p>
            <w:pPr>
              <w:pStyle w:val="TableContents"/>
              <w:spacing w:before="0" w:after="0"/>
              <w:ind w:left="0" w:right="0" w:hanging="0"/>
              <w:jc w:val="center"/>
              <w:rPr>
                <w:rFonts w:ascii="Arial;sans-serif" w:hAnsi="Arial;sans-serif"/>
                <w:b/>
                <w:sz w:val="12"/>
              </w:rPr>
            </w:pPr>
            <w:r>
              <w:rPr>
                <w:rFonts w:ascii="Arial;sans-serif" w:hAnsi="Arial;sans-serif"/>
                <w:b/>
                <w:sz w:val="12"/>
              </w:rPr>
              <w:t>Awards:</w:t>
            </w:r>
          </w:p>
          <w:p>
            <w:pPr>
              <w:pStyle w:val="TableContents"/>
              <w:spacing w:before="0" w:after="0"/>
              <w:ind w:left="0" w:right="0" w:hanging="0"/>
              <w:jc w:val="center"/>
              <w:rPr/>
            </w:pPr>
            <w:r>
              <w:rPr/>
              <w:t> </w:t>
            </w:r>
            <w:r>
              <w:rPr>
                <w:rFonts w:ascii="Arial;sans-serif" w:hAnsi="Arial;sans-serif"/>
                <w:b/>
                <w:sz w:val="12"/>
              </w:rPr>
              <w:t>Number</w:t>
            </w:r>
          </w:p>
          <w:p>
            <w:pPr>
              <w:pStyle w:val="TableContents"/>
              <w:spacing w:before="0" w:after="0"/>
              <w:ind w:left="0" w:right="0" w:hanging="0"/>
              <w:jc w:val="center"/>
              <w:rPr>
                <w:rFonts w:ascii="Arial;sans-serif" w:hAnsi="Arial;sans-serif"/>
                <w:b/>
                <w:sz w:val="12"/>
              </w:rPr>
            </w:pPr>
            <w:r>
              <w:rPr>
                <w:rFonts w:ascii="Arial;sans-serif" w:hAnsi="Arial;sans-serif"/>
                <w:b/>
                <w:sz w:val="12"/>
              </w:rPr>
              <w:t>of Shares</w:t>
            </w:r>
          </w:p>
          <w:p>
            <w:pPr>
              <w:pStyle w:val="TableContents"/>
              <w:spacing w:before="0" w:after="0"/>
              <w:ind w:left="0" w:right="0" w:hanging="0"/>
              <w:jc w:val="center"/>
              <w:rPr/>
            </w:pPr>
            <w:r>
              <w:rPr/>
              <w:t> </w:t>
            </w:r>
            <w:r>
              <w:rPr>
                <w:rFonts w:ascii="Arial;sans-serif" w:hAnsi="Arial;sans-serif"/>
                <w:b/>
                <w:sz w:val="12"/>
              </w:rPr>
              <w:t>of Stock or</w:t>
            </w:r>
            <w:r>
              <w:rPr>
                <w:rFonts w:ascii="Times New Roman" w:hAnsi="Times New Roman"/>
                <w:sz w:val="12"/>
              </w:rPr>
              <w:t xml:space="preserve"> </w:t>
            </w:r>
          </w:p>
          <w:p>
            <w:pPr>
              <w:pStyle w:val="TableContents"/>
              <w:spacing w:before="0" w:after="0"/>
              <w:ind w:left="0" w:right="0" w:hanging="0"/>
              <w:jc w:val="center"/>
              <w:rPr>
                <w:rFonts w:ascii="Arial;sans-serif" w:hAnsi="Arial;sans-serif"/>
                <w:b/>
                <w:sz w:val="12"/>
              </w:rPr>
            </w:pPr>
            <w:r>
              <w:rPr>
                <w:rFonts w:ascii="Arial;sans-serif" w:hAnsi="Arial;sans-serif"/>
                <w:b/>
                <w:sz w:val="12"/>
              </w:rPr>
              <w:t>Units</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(i)</w:t>
            </w:r>
          </w:p>
        </w:tc>
        <w:tc>
          <w:tcPr>
            <w:tcW w:w="1595" w:type="dxa"/>
            <w:vMerge w:val="restart"/>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All Other Option Awards: Number of Securities Underlying Options</w:t>
            </w:r>
            <w:r>
              <w:rPr>
                <w:rFonts w:ascii="Times New Roman" w:hAnsi="Times New Roman"/>
                <w:sz w:val="12"/>
              </w:rPr>
              <w:t xml:space="preserve"> </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(j)</w:t>
            </w:r>
          </w:p>
        </w:tc>
        <w:tc>
          <w:tcPr>
            <w:tcW w:w="1047" w:type="dxa"/>
            <w:vMerge w:val="restart"/>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Exercise or Base Price of Option Awards</w:t>
              <w:br/>
              <w:t>($/Sh)</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(k)</w:t>
            </w:r>
          </w:p>
        </w:tc>
        <w:tc>
          <w:tcPr>
            <w:tcW w:w="1349" w:type="dxa"/>
            <w:vMerge w:val="restart"/>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Grant Date Fair Value of Stock and Option Awards</w:t>
            </w:r>
            <w:r>
              <w:rPr>
                <w:rFonts w:ascii="Arial;sans-serif" w:hAnsi="Arial;sans-serif"/>
                <w:b/>
                <w:sz w:val="8"/>
              </w:rPr>
              <w:t>(1)</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(l)</w:t>
            </w:r>
          </w:p>
        </w:tc>
        <w:tc>
          <w:tcPr>
            <w:tcW w:w="146"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8" w:type="dxa"/>
            <w:tcBorders/>
            <w:shd w:fill="auto" w:val="clear"/>
          </w:tcPr>
          <w:p>
            <w:pPr>
              <w:pStyle w:val="TableContents"/>
              <w:spacing w:before="0" w:after="283"/>
              <w:rPr>
                <w:sz w:val="4"/>
                <w:szCs w:val="4"/>
              </w:rPr>
            </w:pPr>
            <w:r>
              <w:rPr>
                <w:sz w:val="4"/>
                <w:szCs w:val="4"/>
              </w:rPr>
            </w:r>
          </w:p>
        </w:tc>
      </w:tr>
      <w:tr>
        <w:trPr/>
        <w:tc>
          <w:tcPr>
            <w:tcW w:w="746" w:type="dxa"/>
            <w:tcBorders>
              <w:right w:val="single" w:sz="2" w:space="0" w:color="000000"/>
            </w:tcBorders>
            <w:shd w:fill="auto" w:val="clear"/>
            <w:tcMar>
              <w:top w:w="0" w:type="dxa"/>
              <w:left w:w="0" w:type="dxa"/>
              <w:bottom w:w="0" w:type="dxa"/>
              <w:right w:w="43" w:type="dxa"/>
            </w:tcMar>
            <w:vAlign w:val="center"/>
          </w:tcPr>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(a)</w:t>
            </w:r>
          </w:p>
        </w:tc>
        <w:tc>
          <w:tcPr>
            <w:tcW w:w="466" w:type="dxa"/>
            <w:tcBorders>
              <w:right w:val="single" w:sz="2" w:space="0" w:color="000000"/>
            </w:tcBorders>
            <w:shd w:fill="auto" w:val="clear"/>
            <w:tcMar>
              <w:top w:w="0" w:type="dxa"/>
              <w:left w:w="0" w:type="dxa"/>
              <w:bottom w:w="0" w:type="dxa"/>
              <w:right w:w="43" w:type="dxa"/>
            </w:tcMar>
            <w:vAlign w:val="center"/>
          </w:tcPr>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(b)</w:t>
            </w:r>
          </w:p>
        </w:tc>
        <w:tc>
          <w:tcPr>
            <w:tcW w:w="690"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Threshold</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(c)</w:t>
            </w:r>
          </w:p>
        </w:tc>
        <w:tc>
          <w:tcPr>
            <w:tcW w:w="506"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Target</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(d)</w:t>
            </w:r>
          </w:p>
        </w:tc>
        <w:tc>
          <w:tcPr>
            <w:tcW w:w="669"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Times New Roman" w:hAnsi="Times New Roman"/>
                <w:sz w:val="12"/>
              </w:rPr>
            </w:pPr>
            <w:r>
              <w:rPr>
                <w:rFonts w:ascii="Arial;sans-serif" w:hAnsi="Arial;sans-serif"/>
                <w:b/>
                <w:sz w:val="12"/>
              </w:rPr>
              <w:t>Maximum</w:t>
            </w:r>
            <w:r>
              <w:rPr>
                <w:rFonts w:ascii="Times New Roman" w:hAnsi="Times New Roman"/>
                <w:sz w:val="12"/>
              </w:rPr>
              <w:t xml:space="preserve"> </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(e)</w:t>
            </w:r>
          </w:p>
        </w:tc>
        <w:tc>
          <w:tcPr>
            <w:tcW w:w="692"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Threshold</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(f)</w:t>
            </w:r>
          </w:p>
        </w:tc>
        <w:tc>
          <w:tcPr>
            <w:tcW w:w="477"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Target</w:t>
            </w:r>
          </w:p>
          <w:p>
            <w:pPr>
              <w:pStyle w:val="TableContents"/>
              <w:spacing w:before="0" w:after="0"/>
              <w:ind w:left="0" w:right="0" w:hanging="0"/>
              <w:jc w:val="center"/>
              <w:rPr/>
            </w:pPr>
            <w:r>
              <w:rPr/>
              <w:t> </w:t>
            </w: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(g)</w:t>
            </w:r>
          </w:p>
        </w:tc>
        <w:tc>
          <w:tcPr>
            <w:tcW w:w="662" w:type="dxa"/>
            <w:tcBorders>
              <w:right w:val="single" w:sz="2" w:space="0" w:color="000000"/>
            </w:tcBorders>
            <w:shd w:fill="auto" w:val="clear"/>
            <w:tcMar>
              <w:top w:w="0" w:type="dxa"/>
              <w:left w:w="0" w:type="dxa"/>
              <w:bottom w:w="0" w:type="dxa"/>
              <w:right w:w="43" w:type="dxa"/>
            </w:tcMar>
            <w:vAlign w:val="center"/>
          </w:tcPr>
          <w:p>
            <w:pPr>
              <w:pStyle w:val="TableContents"/>
              <w:spacing w:before="0" w:after="0"/>
              <w:ind w:left="0" w:right="0" w:hanging="0"/>
              <w:jc w:val="center"/>
              <w:rPr>
                <w:rFonts w:ascii="Arial;sans-serif" w:hAnsi="Arial;sans-serif"/>
                <w:b/>
                <w:sz w:val="12"/>
              </w:rPr>
            </w:pPr>
            <w:r>
              <w:rPr>
                <w:rFonts w:ascii="Arial;sans-serif" w:hAnsi="Arial;sans-serif"/>
                <w:b/>
                <w:sz w:val="12"/>
              </w:rPr>
              <w:t>Maximum</w:t>
            </w:r>
          </w:p>
          <w:p>
            <w:pPr>
              <w:pStyle w:val="TableContents"/>
              <w:spacing w:before="0" w:after="0"/>
              <w:ind w:left="0" w:right="0" w:hanging="0"/>
              <w:jc w:val="center"/>
              <w:rPr>
                <w:rFonts w:ascii="Arial;sans-serif" w:hAnsi="Arial;sans-serif"/>
                <w:b/>
                <w:sz w:val="12"/>
              </w:rPr>
            </w:pPr>
            <w:r>
              <w:rPr>
                <w:rFonts w:ascii="Arial;sans-serif" w:hAnsi="Arial;sans-serif"/>
                <w:b/>
                <w:sz w:val="12"/>
              </w:rPr>
              <w:t>(#)</w:t>
            </w:r>
          </w:p>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(h)</w:t>
            </w:r>
          </w:p>
        </w:tc>
        <w:tc>
          <w:tcPr>
            <w:tcW w:w="670" w:type="dxa"/>
            <w:vMerge w:val="continue"/>
            <w:tcBorders>
              <w:bottom w:val="single" w:sz="2" w:space="0" w:color="000000"/>
            </w:tcBorders>
            <w:shd w:fill="auto" w:val="clear"/>
            <w:tcMar>
              <w:top w:w="0" w:type="dxa"/>
              <w:left w:w="0" w:type="dxa"/>
              <w:right w:w="0" w:type="dxa"/>
            </w:tcMar>
            <w:vAlign w:val="center"/>
          </w:tcPr>
          <w:p>
            <w:pPr>
              <w:pStyle w:val="Normal"/>
              <w:rPr/>
            </w:pPr>
            <w:r>
              <w:rPr/>
            </w:r>
          </w:p>
        </w:tc>
        <w:tc>
          <w:tcPr>
            <w:tcW w:w="1595" w:type="dxa"/>
            <w:vMerge w:val="continue"/>
            <w:tcBorders>
              <w:bottom w:val="single" w:sz="2" w:space="0" w:color="000000"/>
            </w:tcBorders>
            <w:shd w:fill="auto" w:val="clear"/>
            <w:tcMar>
              <w:top w:w="0" w:type="dxa"/>
              <w:left w:w="0" w:type="dxa"/>
              <w:right w:w="0" w:type="dxa"/>
            </w:tcMar>
            <w:vAlign w:val="center"/>
          </w:tcPr>
          <w:p>
            <w:pPr>
              <w:pStyle w:val="Normal"/>
              <w:rPr/>
            </w:pPr>
            <w:r>
              <w:rPr/>
            </w:r>
          </w:p>
        </w:tc>
        <w:tc>
          <w:tcPr>
            <w:tcW w:w="1047" w:type="dxa"/>
            <w:vMerge w:val="continue"/>
            <w:tcBorders>
              <w:bottom w:val="single" w:sz="2" w:space="0" w:color="000000"/>
            </w:tcBorders>
            <w:shd w:fill="auto" w:val="clear"/>
            <w:tcMar>
              <w:top w:w="0" w:type="dxa"/>
              <w:left w:w="0" w:type="dxa"/>
              <w:right w:w="0" w:type="dxa"/>
            </w:tcMar>
            <w:vAlign w:val="center"/>
          </w:tcPr>
          <w:p>
            <w:pPr>
              <w:pStyle w:val="Normal"/>
              <w:rPr/>
            </w:pPr>
            <w:r>
              <w:rPr/>
            </w:r>
          </w:p>
        </w:tc>
        <w:tc>
          <w:tcPr>
            <w:tcW w:w="1349" w:type="dxa"/>
            <w:vMerge w:val="continue"/>
            <w:tcBorders>
              <w:bottom w:val="single" w:sz="2" w:space="0" w:color="000000"/>
            </w:tcBorders>
            <w:shd w:fill="auto" w:val="clear"/>
            <w:tcMar>
              <w:top w:w="0" w:type="dxa"/>
              <w:left w:w="0" w:type="dxa"/>
              <w:right w:w="0" w:type="dxa"/>
            </w:tcMar>
            <w:vAlign w:val="center"/>
          </w:tcPr>
          <w:p>
            <w:pPr>
              <w:pStyle w:val="Normal"/>
              <w:rPr/>
            </w:pPr>
            <w:r>
              <w:rPr/>
            </w:r>
          </w:p>
        </w:tc>
        <w:tc>
          <w:tcPr>
            <w:tcW w:w="146"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John Kao</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 </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 </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Times New Roman" w:hAnsi="Times New Roman"/>
                <w:sz w:val="12"/>
              </w:rPr>
            </w:pPr>
            <w:r>
              <w:rPr>
                <w:rFonts w:ascii="Arial;sans-serif" w:hAnsi="Arial;sans-serif"/>
                <w:b w:val="false"/>
                <w:sz w:val="12"/>
              </w:rPr>
              <w:t>AIP</w:t>
            </w:r>
            <w:r>
              <w:rPr>
                <w:rFonts w:ascii="Arial;sans-serif" w:hAnsi="Arial;sans-serif"/>
                <w:b w:val="false"/>
                <w:sz w:val="8"/>
              </w:rPr>
              <w:t>(2)</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364,914</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729,827</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1,459,654</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496,689</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4,500,002</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Stock Option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364,964</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1,500,002</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bottom w:val="single" w:sz="4" w:space="0" w:color="000000"/>
            </w:tcBorders>
            <w:shd w:fill="auto" w:val="clear"/>
            <w:tcMar>
              <w:top w:w="0" w:type="dxa"/>
              <w:left w:w="43"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9/12/22</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1,639,027</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26,437,506</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Thomas Freeman</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 </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 </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Times New Roman" w:hAnsi="Times New Roman"/>
                <w:sz w:val="12"/>
              </w:rPr>
            </w:pPr>
            <w:r>
              <w:rPr>
                <w:rFonts w:ascii="Arial;sans-serif" w:hAnsi="Arial;sans-serif"/>
                <w:b w:val="false"/>
                <w:sz w:val="12"/>
              </w:rPr>
              <w:t>AIP</w:t>
            </w:r>
            <w:r>
              <w:rPr>
                <w:rFonts w:ascii="Arial;sans-serif" w:hAnsi="Arial;sans-serif"/>
                <w:b w:val="false"/>
                <w:sz w:val="8"/>
              </w:rPr>
              <w:t>(2)</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206,779</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413,558</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827,116</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136,589</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1,237,496</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Stock Option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100,365</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412,500</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bottom w:val="single" w:sz="4" w:space="0" w:color="000000"/>
            </w:tcBorders>
            <w:shd w:fill="auto" w:val="clear"/>
            <w:tcMar>
              <w:top w:w="0" w:type="dxa"/>
              <w:left w:w="43"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9/12/22</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319,179</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5,148,357</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Dawn Maroney</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 </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 </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Times New Roman" w:hAnsi="Times New Roman"/>
                <w:sz w:val="12"/>
              </w:rPr>
            </w:pPr>
            <w:r>
              <w:rPr>
                <w:rFonts w:ascii="Arial;sans-serif" w:hAnsi="Arial;sans-serif"/>
                <w:b w:val="false"/>
                <w:sz w:val="12"/>
              </w:rPr>
              <w:t>AIP</w:t>
            </w:r>
            <w:r>
              <w:rPr>
                <w:rFonts w:ascii="Arial;sans-serif" w:hAnsi="Arial;sans-serif"/>
                <w:b w:val="false"/>
                <w:sz w:val="8"/>
              </w:rPr>
              <w:t>(2)</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236,856</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473,712</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947,424</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206,954</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$1,875,003</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Stock Option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152,068</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624,999</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bottom w:val="single" w:sz="4" w:space="0" w:color="000000"/>
            </w:tcBorders>
            <w:shd w:fill="auto" w:val="clear"/>
            <w:tcMar>
              <w:top w:w="0" w:type="dxa"/>
              <w:left w:w="43"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9/12/2022</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431,323</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6,957,240</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Dinesh Kumar</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 </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 </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Times New Roman" w:hAnsi="Times New Roman"/>
                <w:sz w:val="12"/>
              </w:rPr>
            </w:pPr>
            <w:r>
              <w:rPr>
                <w:rFonts w:ascii="Arial;sans-serif" w:hAnsi="Arial;sans-serif"/>
                <w:b w:val="false"/>
                <w:sz w:val="12"/>
              </w:rPr>
              <w:t>AIP</w:t>
            </w:r>
            <w:r>
              <w:rPr>
                <w:rFonts w:ascii="Arial;sans-serif" w:hAnsi="Arial;sans-serif"/>
                <w:b w:val="false"/>
                <w:sz w:val="8"/>
              </w:rPr>
              <w:t>(2)</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231,135</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462,269</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924,538</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206,954</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1,875,003</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Stock Option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152,068</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2"/>
              <w:jc w:val="right"/>
              <w:rPr>
                <w:rFonts w:ascii="Arial;sans-serif" w:hAnsi="Arial;sans-serif"/>
                <w:b w:val="false"/>
                <w:sz w:val="12"/>
              </w:rPr>
            </w:pPr>
            <w:r>
              <w:rPr>
                <w:rFonts w:ascii="Arial;sans-serif" w:hAnsi="Arial;sans-serif"/>
                <w:b w:val="false"/>
                <w:sz w:val="12"/>
              </w:rPr>
              <w:t>624,999</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72"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bottom w:val="single" w:sz="4" w:space="0" w:color="000000"/>
            </w:tcBorders>
            <w:shd w:fill="auto" w:val="clear"/>
            <w:tcMar>
              <w:top w:w="0" w:type="dxa"/>
              <w:left w:w="43"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9/12/2022</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280,360</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4,522,207</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Richard Cross</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 </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 </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Times New Roman" w:hAnsi="Times New Roman"/>
                <w:sz w:val="12"/>
              </w:rPr>
            </w:pPr>
            <w:r>
              <w:rPr>
                <w:rFonts w:ascii="Arial;sans-serif" w:hAnsi="Arial;sans-serif"/>
                <w:b w:val="false"/>
                <w:sz w:val="12"/>
              </w:rPr>
              <w:t>AIP</w:t>
            </w:r>
            <w:r>
              <w:rPr>
                <w:rFonts w:ascii="Arial;sans-serif" w:hAnsi="Arial;sans-serif"/>
                <w:b w:val="false"/>
                <w:sz w:val="8"/>
              </w:rPr>
              <w:t>(2)</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pPr>
            <w:r>
              <w:rPr/>
              <w:t>—</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96,635</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193,269</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386,538</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pPr>
            <w:r>
              <w:rPr/>
              <w:t>—</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49,669</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450,001</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shd w:fill="auto" w:val="clear"/>
            <w:tcMar>
              <w:top w:w="0" w:type="dxa"/>
              <w:left w:w="0" w:type="dxa"/>
              <w:bottom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Stock Option Award</w:t>
            </w:r>
          </w:p>
        </w:tc>
        <w:tc>
          <w:tcPr>
            <w:tcW w:w="466" w:type="dxa"/>
            <w:tcBorders>
              <w:left w:val="single" w:sz="2" w:space="0" w:color="000000"/>
            </w:tcBorders>
            <w:shd w:fill="auto" w:val="clear"/>
            <w:tcMar>
              <w:top w:w="0" w:type="dxa"/>
              <w:left w:w="43" w:type="dxa"/>
              <w:bottom w:w="0"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3/8/2022</w:t>
            </w:r>
          </w:p>
        </w:tc>
        <w:tc>
          <w:tcPr>
            <w:tcW w:w="69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50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9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47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67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59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36,496</w:t>
            </w:r>
          </w:p>
        </w:tc>
        <w:tc>
          <w:tcPr>
            <w:tcW w:w="104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1349" w:type="dxa"/>
            <w:tcBorders/>
            <w:shd w:fill="auto" w:val="clear"/>
            <w:tcMar>
              <w:top w:w="0" w:type="dxa"/>
              <w:left w:w="0" w:type="dxa"/>
              <w:bottom w:w="0" w:type="dxa"/>
              <w:right w:w="0" w:type="dxa"/>
            </w:tcMar>
            <w:vAlign w:val="center"/>
          </w:tcPr>
          <w:p>
            <w:pPr>
              <w:pStyle w:val="TableContents"/>
              <w:spacing w:before="0" w:after="0"/>
              <w:ind w:left="0" w:right="0" w:firstLine="74"/>
              <w:jc w:val="right"/>
              <w:rPr>
                <w:rFonts w:ascii="Arial;sans-serif" w:hAnsi="Arial;sans-serif"/>
                <w:b w:val="false"/>
                <w:sz w:val="12"/>
              </w:rPr>
            </w:pPr>
            <w:r>
              <w:rPr>
                <w:rFonts w:ascii="Arial;sans-serif" w:hAnsi="Arial;sans-serif"/>
                <w:b w:val="false"/>
                <w:sz w:val="12"/>
              </w:rPr>
              <w:t>149,999</w:t>
            </w:r>
          </w:p>
        </w:tc>
        <w:tc>
          <w:tcPr>
            <w:tcW w:w="636" w:type="dxa"/>
            <w:gridSpan w:val="4"/>
            <w:tcBorders/>
            <w:shd w:fill="auto" w:val="clear"/>
          </w:tcPr>
          <w:p>
            <w:pPr>
              <w:pStyle w:val="TableContents"/>
              <w:spacing w:before="0" w:after="283"/>
              <w:rPr>
                <w:sz w:val="4"/>
                <w:szCs w:val="4"/>
              </w:rPr>
            </w:pPr>
            <w:r>
              <w:rPr>
                <w:sz w:val="4"/>
                <w:szCs w:val="4"/>
              </w:rPr>
            </w:r>
          </w:p>
        </w:tc>
      </w:tr>
      <w:tr>
        <w:trPr/>
        <w:tc>
          <w:tcPr>
            <w:tcW w:w="746" w:type="dxa"/>
            <w:tcBorders>
              <w:bottom w:val="single" w:sz="4" w:space="0" w:color="000000"/>
            </w:tcBorders>
            <w:shd w:fill="auto" w:val="clear"/>
            <w:tcMar>
              <w:top w:w="0" w:type="dxa"/>
              <w:left w:w="0" w:type="dxa"/>
              <w:right w:w="0" w:type="dxa"/>
            </w:tcMar>
            <w:vAlign w:val="center"/>
          </w:tcPr>
          <w:p>
            <w:pPr>
              <w:pStyle w:val="TableContents"/>
              <w:spacing w:before="0" w:after="0"/>
              <w:ind w:left="74" w:right="0" w:hanging="0"/>
              <w:jc w:val="left"/>
              <w:rPr>
                <w:rFonts w:ascii="Arial;sans-serif" w:hAnsi="Arial;sans-serif"/>
                <w:b w:val="false"/>
                <w:sz w:val="12"/>
              </w:rPr>
            </w:pPr>
            <w:r>
              <w:rPr>
                <w:rFonts w:ascii="Arial;sans-serif" w:hAnsi="Arial;sans-serif"/>
                <w:b w:val="false"/>
                <w:sz w:val="12"/>
              </w:rPr>
              <w:t>RSU Award</w:t>
            </w:r>
          </w:p>
        </w:tc>
        <w:tc>
          <w:tcPr>
            <w:tcW w:w="466" w:type="dxa"/>
            <w:tcBorders>
              <w:left w:val="single" w:sz="2" w:space="0" w:color="000000"/>
              <w:bottom w:val="single" w:sz="4" w:space="0" w:color="000000"/>
            </w:tcBorders>
            <w:shd w:fill="auto" w:val="clear"/>
            <w:tcMar>
              <w:top w:w="0" w:type="dxa"/>
              <w:left w:w="43" w:type="dxa"/>
              <w:right w:w="0" w:type="dxa"/>
            </w:tcMar>
            <w:vAlign w:val="center"/>
          </w:tcPr>
          <w:p>
            <w:pPr>
              <w:pStyle w:val="TableContents"/>
              <w:spacing w:before="0" w:after="0"/>
              <w:ind w:left="0" w:right="0" w:hanging="0"/>
              <w:jc w:val="center"/>
              <w:rPr>
                <w:rFonts w:ascii="Arial;sans-serif" w:hAnsi="Arial;sans-serif"/>
                <w:b w:val="false"/>
                <w:sz w:val="12"/>
              </w:rPr>
            </w:pPr>
            <w:r>
              <w:rPr>
                <w:rFonts w:ascii="Arial;sans-serif" w:hAnsi="Arial;sans-serif"/>
                <w:b w:val="false"/>
                <w:sz w:val="12"/>
              </w:rPr>
              <w:t>9/12/2022</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102,759</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1,657,503</w:t>
            </w:r>
          </w:p>
        </w:tc>
        <w:tc>
          <w:tcPr>
            <w:tcW w:w="636" w:type="dxa"/>
            <w:gridSpan w:val="4"/>
            <w:tcBorders/>
            <w:shd w:fill="auto" w:val="clear"/>
          </w:tcPr>
          <w:p>
            <w:pPr>
              <w:pStyle w:val="TableContents"/>
              <w:spacing w:before="0" w:after="283"/>
              <w:rPr>
                <w:sz w:val="4"/>
                <w:szCs w:val="4"/>
              </w:rPr>
            </w:pPr>
            <w:r>
              <w:rPr>
                <w:sz w:val="4"/>
                <w:szCs w:val="4"/>
              </w:rPr>
            </w:r>
          </w:p>
        </w:tc>
      </w:tr>
    </w:tbl>
    <w:p>
      <w:pPr>
        <w:pStyle w:val="TextBody"/>
        <w:spacing w:before="240" w:after="200"/>
        <w:jc w:val="left"/>
        <w:rPr>
          <w:rFonts w:ascii="Times New Roman" w:hAnsi="Times New Roman"/>
          <w:b w:val="false"/>
          <w:sz w:val="16"/>
        </w:rPr>
      </w:pPr>
      <w:r>
        <w:rPr>
          <w:rFonts w:ascii="Times New Roman" w:hAnsi="Times New Roman"/>
          <w:b w:val="false"/>
          <w:sz w:val="16"/>
        </w:rPr>
        <w:t>(1)</w:t>
      </w:r>
    </w:p>
    <w:p>
      <w:pPr>
        <w:pStyle w:val="TextBody"/>
        <w:spacing w:before="240" w:after="200"/>
        <w:jc w:val="left"/>
        <w:rPr>
          <w:rFonts w:ascii="Arial;sans-serif" w:hAnsi="Arial;sans-serif"/>
          <w:b w:val="false"/>
          <w:sz w:val="16"/>
        </w:rPr>
      </w:pPr>
      <w:r>
        <w:rPr>
          <w:rFonts w:ascii="Arial;sans-serif" w:hAnsi="Arial;sans-serif"/>
          <w:b w:val="false"/>
          <w:sz w:val="16"/>
        </w:rPr>
        <w:t>The actual value to be realized by a named executive officer depends upon the appreciation in value of the Company's stock and the length of time the award is held. No value will be realized with respect to any stock option award if the Company's stock price does not increase following the grant date. For a description of the assumptions used in computing grant date fair value for stock option awards pursuant to FASB ASC Topic 718, see Note 10 to the Consolidated Financial Statements included in the Company's Annual Report on Form 10-K for the year ended December 31, 2022. The grant date fair value of each RSU award was computed in accordance with FASB ASC Topic 718 based on the closing stock price on the grant date. Equity-based compensation awards to employees are generally subject to four-year vesting provisions. RSUs granted on September 12, 2022 vest in two equal installments on or around the third and fourth anniversaries of the grant date.</w:t>
      </w:r>
    </w:p>
    <w:p>
      <w:pPr>
        <w:pStyle w:val="TextBody"/>
        <w:spacing w:before="240" w:after="200"/>
        <w:jc w:val="left"/>
        <w:rPr>
          <w:rFonts w:ascii="Times New Roman" w:hAnsi="Times New Roman"/>
          <w:b w:val="false"/>
          <w:sz w:val="16"/>
        </w:rPr>
      </w:pPr>
      <w:r>
        <w:rPr>
          <w:rFonts w:ascii="Times New Roman" w:hAnsi="Times New Roman"/>
          <w:b w:val="false"/>
          <w:sz w:val="16"/>
        </w:rPr>
        <w:t>(2)</w:t>
      </w:r>
    </w:p>
    <w:p>
      <w:pPr>
        <w:pStyle w:val="TextBody"/>
        <w:spacing w:before="240" w:after="200"/>
        <w:jc w:val="left"/>
        <w:rPr/>
      </w:pPr>
      <w:r>
        <w:rPr>
          <w:rFonts w:ascii="Arial;sans-serif" w:hAnsi="Arial;sans-serif"/>
          <w:b w:val="false"/>
          <w:sz w:val="16"/>
        </w:rPr>
        <w:t>Awards designated “AIP” represent the threshold, target and maximum amounts of performance-based awards that our NEOs might have earned during 2022 under our Annual Incentive Plan, dependent upon our 2022 performance. Maximum payouts assume that the Annual Incentive Plan was funded at maximum levels based on applicable Company and/or business unit performance and individual performance was also achieved at maximum levels. Awards actually earned are shown above in the “Non-Equity Incentive Plan Compensation” column of the 2022 Summary Compensation Table. Payouts depend on the achievement of pre-determined, strategic and/or financial corporate performance objectives (75% of the award), as well as individual performance (25% of the award). Based on results, base payouts can range from 0% to 250% of target award amounts. In addition, a modifier (-20% to +50%) is applied to the total bonus payout based on the Company’s CMS Star Ratings. During 2022, the base salaries and target and maximum bonus opportunities were increased for certain CEOs. Target bonus opportunities for the full 2022 year reflect the weighted average of the target bonus opportunity percentages applicable to each NEO for each applicable period throughout the year. See “</w:t>
      </w:r>
      <w:r>
        <w:rPr>
          <w:rFonts w:ascii="Arial;sans-serif" w:hAnsi="Arial;sans-serif"/>
          <w:b w:val="false"/>
          <w:i/>
          <w:sz w:val="16"/>
        </w:rPr>
        <w:t>Compensation Discussion and Analysis—2022 Executive Compensation Program in Detail—Annual Incentives</w:t>
      </w:r>
      <w:r>
        <w:rPr/>
        <w:t xml:space="preserve">” </w:t>
      </w:r>
      <w:r>
        <w:rPr>
          <w:rFonts w:ascii="Arial;sans-serif" w:hAnsi="Arial;sans-serif"/>
          <w:b w:val="false"/>
          <w:sz w:val="16"/>
        </w:rPr>
        <w:t xml:space="preserve">above for further discussion of our Annual Incentive Plan. </w:t>
      </w:r>
    </w:p>
    <w:p>
      <w:pPr>
        <w:pStyle w:val="TextBody"/>
        <w:spacing w:before="240" w:after="0"/>
        <w:jc w:val="center"/>
        <w:rPr>
          <w:rFonts w:ascii="Arial;sans-serif" w:hAnsi="Arial;sans-serif"/>
          <w:b w:val="false"/>
          <w:sz w:val="20"/>
        </w:rPr>
      </w:pPr>
      <w:r>
        <w:rPr>
          <w:rFonts w:ascii="Arial;sans-serif" w:hAnsi="Arial;sans-serif"/>
          <w:b w:val="false"/>
          <w:sz w:val="20"/>
        </w:rPr>
        <w:t>55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sz w:val="20"/>
        </w:rPr>
        <w:t>Narrative Disclosure to Summary Compensation Table and Grant of Plan-Based Awards Table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i/>
          <w:sz w:val="20"/>
        </w:rPr>
        <w:t>Employment Agreements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Prior to our IPO, we were party to employment agreements with Mr. Kao, Mr. Freeman, Ms. Maroney, Dr. Kumar and Mr. Cross, which provided for an initial base salary of $350,000, $250,000 $300,000, $450,000 and $325,000, respectively (later increased for each NEO). In addition, each employment agreement provided for an annual cash incentive bonus with an initial target and maximum bonus opportunity equal to 25% and 50% of base salary for Mr. Kao, Mr. Freeman and Ms. Maroney, 35% and 70% of base salary for Dr. Kumar and 25% and 50% of base salary for Mr. Cross (also later increased for each NEO). Ms. Maroney’s employment agreement also initially provided for a commission payment program, which did not apply in 2021 or thereafter.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connection with our IPO, we entered into amended and restated employment agreements with each of our Named Executive Officers, effective as of March 26, 2021 (the “NEO Employment Agreements”), each of which superseded the prior employment agreements. Each NEO Employment Agreement provides for an initial term of one year, which automatically renews for additional one-year periods until either the Company or the Named Executive Officer provides written notice within 90 days in advance of the next scheduled renewal date of an intent not to renew. The NEO Employment Agreements provided for an initial base salary as follows: $675,000 for Mr. Kao; $450,000 for Mr. Freeman; $550,000 for Ms. Maroney; $450,000 for Dr. Kumar; and $350,000 for Mr. Cross (later increased for each NEO). In addition, each employment agreement provided for an annual cash incentive bonus with an initial target and maximum bonus opportunity equal to 100% and 200% of base salary for Mr. Kao; 50% and 100% of base salary for Mr. Freeman; 85% and 170% of base salary for Ms. Maroney; 50% and 100% of base salary for Dr. Kumar; and 50% and 100% of base salary for Mr. Cross (later increased for each NEO). Certain NEO Employment Agreements also provided for an increase in base salary and/or bonus opportunities for the applicable NEOs in 2021. Dr. Kumar received additional adjustments to base salary and bonus opportunity in August 2021.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Target bonus opportunities and payouts for each of the full years shown in the tables above reflect the weighted average of the target bonus opportunity percentages for each applicable period throughout the year. In general, annual cash incentive bonuses are determined based on the achievement of performance goals established by the Board (or the Compensation Committee) within the first 90 days of the calendar year following the applicable performance year (or, with respect to the first calendar year of employment, within the first 30 days of the commencement of employment),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2022 Annual Incentive Plan, see “</w:t>
      </w:r>
      <w:r>
        <w:rPr>
          <w:rFonts w:ascii="Arial;sans-serif" w:hAnsi="Arial;sans-serif"/>
          <w:b w:val="false"/>
          <w:i/>
          <w:sz w:val="20"/>
        </w:rPr>
        <w:t>Compensation Discussion &amp; Analysis—2022 Executive Compensation Program in Detail—Annual Incentives</w:t>
      </w:r>
      <w:r>
        <w:rPr>
          <w:rFonts w:ascii="Times New Roman" w:hAnsi="Times New Roman"/>
          <w:sz w:val="20"/>
        </w:rPr>
        <w:t xml:space="preserve">” </w:t>
      </w:r>
      <w:r>
        <w:rPr>
          <w:rFonts w:ascii="Arial;sans-serif" w:hAnsi="Arial;sans-serif"/>
          <w:b w:val="false"/>
          <w:sz w:val="20"/>
        </w:rPr>
        <w:t>above.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addition to the foregoing amounts, for Dr. Kumar, the Company must procure and maintain at all times during Dr. Kumar’s employment a professionally liability insurance policy with initial coverage limits of at least $1 million for each occurrence and $3 million in the aggregate, which, upon the expiration of the employment agreement or Dr. Kumar’s termination of employment, must be extended through the Company’s purchase of a “tail” or extended reporting coverage for at least four years after termination.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Each of our Named Executive Officers are entitled to severance payments and benefits upon a qualifying termination of employment as described below in “</w:t>
      </w:r>
      <w:r>
        <w:rPr>
          <w:rFonts w:ascii="Times New Roman" w:hAnsi="Times New Roman"/>
          <w:sz w:val="20"/>
        </w:rPr>
        <w:t>—</w:t>
      </w:r>
      <w:r>
        <w:rPr>
          <w:rFonts w:ascii="Arial;sans-serif" w:hAnsi="Arial;sans-serif"/>
          <w:b w:val="false"/>
          <w:i/>
          <w:sz w:val="20"/>
        </w:rPr>
        <w:t>Potential Payments Upon Termination or Change in Control</w:t>
      </w:r>
      <w:r>
        <w:rPr>
          <w:rFonts w:ascii="Arial;sans-serif" w:hAnsi="Arial;sans-serif"/>
          <w:b w:val="false"/>
          <w:sz w:val="20"/>
        </w:rPr>
        <w: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sz w:val="20"/>
        </w:rPr>
        <w:t>Outstanding Equity Awards at 2022 Fiscal Year End</w:t>
      </w:r>
      <w:r>
        <w:rPr>
          <w:rFonts w:ascii="Times New Roman" w:hAnsi="Times New Roman"/>
          <w:sz w:val="20"/>
        </w:rPr>
        <w:t xml:space="preserve"> </w:t>
      </w:r>
    </w:p>
    <w:p>
      <w:pPr>
        <w:pStyle w:val="TextBody"/>
        <w:spacing w:before="120" w:after="120"/>
        <w:jc w:val="left"/>
        <w:rPr>
          <w:rFonts w:ascii="Arial;sans-serif" w:hAnsi="Arial;sans-serif"/>
          <w:b w:val="false"/>
          <w:sz w:val="20"/>
        </w:rPr>
      </w:pPr>
      <w:r>
        <w:rPr>
          <w:rFonts w:ascii="Arial;sans-serif" w:hAnsi="Arial;sans-serif"/>
          <w:b w:val="false"/>
          <w:sz w:val="20"/>
        </w:rPr>
        <w:t>The following table summarizes, for each of the Named Executive Officers, the number of shares of our common stock underlying outstanding equity awards held as of December 31, 2022.</w:t>
      </w:r>
    </w:p>
    <w:tbl>
      <w:tblPr>
        <w:tblW w:w="10205" w:type="dxa"/>
        <w:jc w:val="left"/>
        <w:tblInd w:w="0" w:type="dxa"/>
        <w:tblCellMar>
          <w:top w:w="28" w:type="dxa"/>
          <w:left w:w="28" w:type="dxa"/>
          <w:bottom w:w="28" w:type="dxa"/>
          <w:right w:w="28" w:type="dxa"/>
        </w:tblCellMar>
      </w:tblPr>
      <w:tblGrid>
        <w:gridCol w:w="914"/>
        <w:gridCol w:w="492"/>
        <w:gridCol w:w="1462"/>
        <w:gridCol w:w="1600"/>
        <w:gridCol w:w="1372"/>
        <w:gridCol w:w="744"/>
        <w:gridCol w:w="853"/>
        <w:gridCol w:w="1305"/>
        <w:gridCol w:w="1463"/>
      </w:tblGrid>
      <w:tr>
        <w:trPr/>
        <w:tc>
          <w:tcPr>
            <w:tcW w:w="914"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r>
      <w:tr>
        <w:trPr/>
        <w:tc>
          <w:tcPr>
            <w:tcW w:w="914" w:type="dxa"/>
            <w:tcBorders/>
            <w:shd w:fill="auto" w:val="clear"/>
            <w:tcMar>
              <w:top w:w="0" w:type="dxa"/>
              <w:left w:w="0" w:type="dxa"/>
              <w:bottom w:w="0" w:type="dxa"/>
              <w:right w:w="0" w:type="dxa"/>
            </w:tcMar>
            <w:vAlign w:val="center"/>
          </w:tcPr>
          <w:p>
            <w:pPr>
              <w:pStyle w:val="TableContents"/>
              <w:pBdr>
                <w:bottom w:val="single" w:sz="4" w:space="1" w:color="000000"/>
              </w:pBdr>
              <w:spacing w:before="0" w:after="40"/>
              <w:ind w:left="0" w:right="0" w:hanging="0"/>
              <w:jc w:val="left"/>
              <w:rPr/>
            </w:pPr>
            <w:r>
              <w:rPr/>
              <w:t> </w:t>
            </w:r>
          </w:p>
        </w:tc>
        <w:tc>
          <w:tcPr>
            <w:tcW w:w="492" w:type="dxa"/>
            <w:tcBorders/>
            <w:shd w:fill="auto" w:val="clear"/>
            <w:tcMar>
              <w:top w:w="0" w:type="dxa"/>
              <w:left w:w="0" w:type="dxa"/>
              <w:bottom w:w="0" w:type="dxa"/>
              <w:right w:w="0" w:type="dxa"/>
            </w:tcMar>
            <w:vAlign w:val="center"/>
          </w:tcPr>
          <w:p>
            <w:pPr>
              <w:pStyle w:val="TableContents"/>
              <w:pBdr>
                <w:bottom w:val="single" w:sz="4" w:space="1" w:color="000000"/>
              </w:pBdr>
              <w:spacing w:before="0" w:after="40"/>
              <w:ind w:left="0" w:right="0" w:hanging="0"/>
              <w:jc w:val="left"/>
              <w:rPr/>
            </w:pPr>
            <w:r>
              <w:rPr/>
              <w:t> </w:t>
            </w:r>
          </w:p>
        </w:tc>
        <w:tc>
          <w:tcPr>
            <w:tcW w:w="6031" w:type="dxa"/>
            <w:gridSpan w:val="5"/>
            <w:tcBorders/>
            <w:shd w:fill="auto" w:val="clear"/>
            <w:tcMar>
              <w:top w:w="0" w:type="dxa"/>
              <w:left w:w="0" w:type="dxa"/>
              <w:bottom w:w="0" w:type="dxa"/>
              <w:right w:w="0" w:type="dxa"/>
            </w:tcMar>
            <w:vAlign w:val="center"/>
          </w:tcPr>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Option Awards</w:t>
            </w:r>
          </w:p>
        </w:tc>
        <w:tc>
          <w:tcPr>
            <w:tcW w:w="2768" w:type="dxa"/>
            <w:gridSpan w:val="2"/>
            <w:tcBorders/>
            <w:shd w:fill="auto" w:val="clear"/>
            <w:tcMar>
              <w:top w:w="0" w:type="dxa"/>
              <w:left w:w="0" w:type="dxa"/>
              <w:bottom w:w="0" w:type="dxa"/>
              <w:right w:w="0" w:type="dxa"/>
            </w:tcMar>
            <w:vAlign w:val="center"/>
          </w:tcPr>
          <w:p>
            <w:pPr>
              <w:pStyle w:val="TableContents"/>
              <w:pBdr>
                <w:bottom w:val="single" w:sz="4" w:space="1" w:color="000000"/>
              </w:pBdr>
              <w:spacing w:before="0" w:after="40"/>
              <w:ind w:left="0" w:right="0" w:hanging="0"/>
              <w:jc w:val="center"/>
              <w:rPr>
                <w:rFonts w:ascii="Arial;sans-serif" w:hAnsi="Arial;sans-serif"/>
                <w:b/>
                <w:sz w:val="12"/>
              </w:rPr>
            </w:pPr>
            <w:r>
              <w:rPr>
                <w:rFonts w:ascii="Arial;sans-serif" w:hAnsi="Arial;sans-serif"/>
                <w:b/>
                <w:sz w:val="12"/>
              </w:rPr>
              <w:t>Stock Awards</w:t>
            </w:r>
          </w:p>
        </w:tc>
      </w:tr>
      <w:tr>
        <w:trPr/>
        <w:tc>
          <w:tcPr>
            <w:tcW w:w="914"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pPr>
            <w:r>
              <w:rPr/>
              <w:t> </w:t>
            </w:r>
          </w:p>
        </w:tc>
        <w:tc>
          <w:tcPr>
            <w:tcW w:w="492"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pPr>
            <w:r>
              <w:rPr/>
              <w:t> </w:t>
            </w:r>
          </w:p>
        </w:tc>
        <w:tc>
          <w:tcPr>
            <w:tcW w:w="1462"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Number of Securities Underlying Unexercised Options</w:t>
            </w:r>
            <w:r>
              <w:rPr>
                <w:rFonts w:ascii="Times New Roman" w:hAnsi="Times New Roman"/>
                <w:sz w:val="12"/>
              </w:rPr>
              <w:t xml:space="preserve"> </w:t>
            </w:r>
          </w:p>
        </w:tc>
        <w:tc>
          <w:tcPr>
            <w:tcW w:w="1600"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Number of Securities Underlying Unexercised Options</w:t>
            </w:r>
            <w:r>
              <w:rPr>
                <w:rFonts w:ascii="Arial;sans-serif" w:hAnsi="Arial;sans-serif"/>
                <w:b/>
                <w:sz w:val="8"/>
              </w:rPr>
              <w:t>(1)</w:t>
            </w:r>
            <w:r>
              <w:rPr>
                <w:rFonts w:ascii="Times New Roman" w:hAnsi="Times New Roman"/>
                <w:sz w:val="12"/>
              </w:rPr>
              <w:t xml:space="preserve"> </w:t>
            </w:r>
          </w:p>
        </w:tc>
        <w:tc>
          <w:tcPr>
            <w:tcW w:w="1372"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Equity Incentive Plan Awards:</w:t>
              <w:br/>
              <w:t>Number of Securities Underlying Unexercised Options</w:t>
            </w:r>
            <w:r>
              <w:rPr>
                <w:rFonts w:ascii="Times New Roman" w:hAnsi="Times New Roman"/>
                <w:sz w:val="12"/>
              </w:rPr>
              <w:t xml:space="preserve"> </w:t>
            </w:r>
          </w:p>
        </w:tc>
        <w:tc>
          <w:tcPr>
            <w:tcW w:w="744"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Option Exercise Price</w:t>
            </w:r>
            <w:r>
              <w:rPr>
                <w:rFonts w:ascii="Times New Roman" w:hAnsi="Times New Roman"/>
                <w:sz w:val="12"/>
              </w:rPr>
              <w:t xml:space="preserve"> </w:t>
            </w:r>
          </w:p>
        </w:tc>
        <w:tc>
          <w:tcPr>
            <w:tcW w:w="853"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Option Expiration Date</w:t>
            </w:r>
          </w:p>
        </w:tc>
        <w:tc>
          <w:tcPr>
            <w:tcW w:w="1305" w:type="dxa"/>
            <w:tcBorders>
              <w:top w:val="single" w:sz="4" w:space="0" w:color="000000"/>
              <w:right w:val="single" w:sz="2" w:space="0" w:color="000000"/>
            </w:tcBorders>
            <w:shd w:fill="auto" w:val="clear"/>
            <w:tcMar>
              <w:left w:w="0" w:type="dxa"/>
              <w:bottom w:w="0" w:type="dxa"/>
              <w:right w:w="108"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 xml:space="preserve">Number of Shares or Units of Stock That Have Not Vested </w:t>
            </w:r>
            <w:r>
              <w:rPr>
                <w:rFonts w:ascii="Arial;sans-serif" w:hAnsi="Arial;sans-serif"/>
                <w:b/>
                <w:sz w:val="8"/>
              </w:rPr>
              <w:t>(1)</w:t>
            </w:r>
          </w:p>
        </w:tc>
        <w:tc>
          <w:tcPr>
            <w:tcW w:w="1463" w:type="dxa"/>
            <w:tcBorders>
              <w:top w:val="single" w:sz="4" w:space="0" w:color="000000"/>
            </w:tcBorders>
            <w:shd w:fill="auto" w:val="clear"/>
            <w:tcMar>
              <w:left w:w="0" w:type="dxa"/>
              <w:bottom w:w="0" w:type="dxa"/>
              <w:right w:w="0" w:type="dxa"/>
            </w:tcMar>
            <w:vAlign w:val="center"/>
          </w:tcPr>
          <w:p>
            <w:pPr>
              <w:pStyle w:val="TableContents"/>
              <w:pBdr>
                <w:bottom w:val="single" w:sz="4" w:space="1" w:color="000000"/>
              </w:pBdr>
              <w:spacing w:before="0" w:after="40"/>
              <w:ind w:left="0" w:right="0" w:hanging="0"/>
              <w:jc w:val="left"/>
              <w:rPr>
                <w:rFonts w:ascii="Times New Roman" w:hAnsi="Times New Roman"/>
                <w:sz w:val="12"/>
              </w:rPr>
            </w:pPr>
            <w:r>
              <w:rPr>
                <w:rFonts w:ascii="Arial;sans-serif" w:hAnsi="Arial;sans-serif"/>
                <w:b/>
                <w:sz w:val="12"/>
              </w:rPr>
              <w:t>Market Value of Shares or Units of Stock That Have Not Vested</w:t>
            </w:r>
            <w:r>
              <w:rPr>
                <w:rFonts w:ascii="Arial;sans-serif" w:hAnsi="Arial;sans-serif"/>
                <w:b/>
                <w:sz w:val="8"/>
              </w:rPr>
              <w:t>(2)</w:t>
            </w:r>
            <w:r>
              <w:rPr>
                <w:rFonts w:ascii="Times New Roman" w:hAnsi="Times New Roman"/>
                <w:sz w:val="12"/>
              </w:rPr>
              <w:t xml:space="preserve"> </w:t>
            </w:r>
          </w:p>
        </w:tc>
      </w:tr>
      <w:tr>
        <w:trPr/>
        <w:tc>
          <w:tcPr>
            <w:tcW w:w="914"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Name</w:t>
            </w:r>
          </w:p>
        </w:tc>
        <w:tc>
          <w:tcPr>
            <w:tcW w:w="492"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Grant Date</w:t>
            </w:r>
          </w:p>
        </w:tc>
        <w:tc>
          <w:tcPr>
            <w:tcW w:w="1462"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 Exercisable</w:t>
            </w:r>
          </w:p>
        </w:tc>
        <w:tc>
          <w:tcPr>
            <w:tcW w:w="1600"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 Unexercisable</w:t>
            </w:r>
          </w:p>
        </w:tc>
        <w:tc>
          <w:tcPr>
            <w:tcW w:w="1372"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w:t>
            </w:r>
          </w:p>
        </w:tc>
        <w:tc>
          <w:tcPr>
            <w:tcW w:w="744"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w:t>
            </w:r>
          </w:p>
        </w:tc>
        <w:tc>
          <w:tcPr>
            <w:tcW w:w="853"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pPr>
            <w:r>
              <w:rPr/>
              <w:t> </w:t>
            </w:r>
          </w:p>
        </w:tc>
        <w:tc>
          <w:tcPr>
            <w:tcW w:w="1305" w:type="dxa"/>
            <w:tcBorders>
              <w:bottom w:val="single" w:sz="4" w:space="0" w:color="000000"/>
              <w:right w:val="single" w:sz="2" w:space="0" w:color="000000"/>
            </w:tcBorders>
            <w:shd w:fill="auto" w:val="clear"/>
            <w:tcMar>
              <w:top w:w="0" w:type="dxa"/>
              <w:left w:w="0" w:type="dxa"/>
              <w:right w:w="108"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w:t>
            </w:r>
          </w:p>
        </w:tc>
        <w:tc>
          <w:tcPr>
            <w:tcW w:w="1463" w:type="dxa"/>
            <w:tcBorders>
              <w:bottom w:val="single" w:sz="4" w:space="0" w:color="000000"/>
            </w:tcBorders>
            <w:shd w:fill="auto" w:val="clear"/>
            <w:tcMar>
              <w:top w:w="0" w:type="dxa"/>
              <w:left w:w="0" w:type="dxa"/>
              <w:right w:w="0" w:type="dxa"/>
            </w:tcMar>
            <w:vAlign w:val="center"/>
          </w:tcPr>
          <w:p>
            <w:pPr>
              <w:pStyle w:val="TableContents"/>
              <w:pBdr>
                <w:bottom w:val="single" w:sz="4" w:space="1" w:color="000000"/>
              </w:pBdr>
              <w:spacing w:before="0" w:after="40"/>
              <w:ind w:left="0" w:right="0" w:hanging="0"/>
              <w:jc w:val="left"/>
              <w:rPr>
                <w:rFonts w:ascii="Arial;sans-serif" w:hAnsi="Arial;sans-serif"/>
                <w:b/>
                <w:sz w:val="12"/>
              </w:rPr>
            </w:pPr>
            <w:r>
              <w:rPr>
                <w:rFonts w:ascii="Arial;sans-serif" w:hAnsi="Arial;sans-serif"/>
                <w:b/>
                <w:sz w:val="12"/>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rFonts w:ascii="Arial;sans-serif" w:hAnsi="Arial;sans-serif"/>
                <w:b w:val="false"/>
                <w:sz w:val="12"/>
              </w:rPr>
            </w:pPr>
            <w:r>
              <w:rPr>
                <w:rFonts w:ascii="Arial;sans-serif" w:hAnsi="Arial;sans-serif"/>
                <w:b w:val="false"/>
                <w:sz w:val="12"/>
              </w:rPr>
              <w:t>John Kao</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9/12/2022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1,639,027</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19,274,958</w:t>
            </w:r>
            <w:r>
              <w:rPr>
                <w:rFonts w:ascii="Times New Roman" w:hAnsi="Times New Roman"/>
                <w:sz w:val="12"/>
              </w:rPr>
              <w:t xml:space="preserve"> </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364,964</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3/8/2032</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496,689</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5,841,063</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979,167</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2,937,501</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18.00</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3/25/2031</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233,272</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2,743,279</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9/25/2020</w:t>
            </w:r>
            <w:r>
              <w:rPr>
                <w:rFonts w:ascii="Arial;sans-serif" w:hAnsi="Arial;sans-serif"/>
                <w:b w:val="false"/>
                <w:sz w:val="8"/>
              </w:rPr>
              <w:t>(3)</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454,284</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5,342,380</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9/30/2019</w:t>
            </w:r>
            <w:r>
              <w:rPr>
                <w:rFonts w:ascii="Arial;sans-serif" w:hAnsi="Arial;sans-serif"/>
                <w:b w:val="false"/>
                <w:sz w:val="8"/>
              </w:rPr>
              <w:t>(3)</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43,539</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512,019</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3/6/2017</w:t>
            </w:r>
            <w:r>
              <w:rPr>
                <w:rFonts w:ascii="Arial;sans-serif" w:hAnsi="Arial;sans-serif"/>
                <w:b w:val="false"/>
                <w:sz w:val="8"/>
              </w:rPr>
              <w:t>(3)</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136,227</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1,602,030</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5/9/2014</w:t>
            </w:r>
            <w:r>
              <w:rPr>
                <w:rFonts w:ascii="Arial;sans-serif" w:hAnsi="Arial;sans-serif"/>
                <w:b w:val="false"/>
                <w:sz w:val="8"/>
              </w:rPr>
              <w:t>(3)</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109,426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1,286,850</w:t>
            </w:r>
          </w:p>
        </w:tc>
      </w:tr>
      <w:tr>
        <w:trPr/>
        <w:tc>
          <w:tcPr>
            <w:tcW w:w="914" w:type="dxa"/>
            <w:tcBorders>
              <w:top w:val="single" w:sz="4" w:space="0" w:color="000000"/>
            </w:tcBorders>
            <w:shd w:fill="auto" w:val="clear"/>
            <w:tcMar>
              <w:left w:w="0" w:type="dxa"/>
              <w:bottom w:w="0" w:type="dxa"/>
              <w:right w:w="0" w:type="dxa"/>
            </w:tcMar>
            <w:vAlign w:val="center"/>
          </w:tcPr>
          <w:p>
            <w:pPr>
              <w:pStyle w:val="TableContents"/>
              <w:spacing w:before="0" w:after="0"/>
              <w:ind w:left="0" w:right="216" w:hanging="0"/>
              <w:jc w:val="left"/>
              <w:rPr>
                <w:rFonts w:ascii="Arial;sans-serif" w:hAnsi="Arial;sans-serif"/>
                <w:b w:val="false"/>
                <w:sz w:val="12"/>
              </w:rPr>
            </w:pPr>
            <w:r>
              <w:rPr>
                <w:rFonts w:ascii="Arial;sans-serif" w:hAnsi="Arial;sans-serif"/>
                <w:b w:val="false"/>
                <w:sz w:val="12"/>
              </w:rPr>
              <w:t>Thomas Freeman</w:t>
            </w:r>
          </w:p>
        </w:tc>
        <w:tc>
          <w:tcPr>
            <w:tcW w:w="49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9/12/2022</w:t>
            </w:r>
          </w:p>
        </w:tc>
        <w:tc>
          <w:tcPr>
            <w:tcW w:w="146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160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137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74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85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130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319,179</w:t>
            </w:r>
          </w:p>
        </w:tc>
        <w:tc>
          <w:tcPr>
            <w:tcW w:w="146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3,753,545</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100,365</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3/8/2032</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136,589</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1,606,287</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190,680</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572,040</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18.00</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3/25/2031</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45,426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534,210</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9/25/2020</w:t>
            </w:r>
            <w:r>
              <w:rPr>
                <w:rFonts w:ascii="Arial;sans-serif" w:hAnsi="Arial;sans-serif"/>
                <w:b w:val="false"/>
                <w:sz w:val="8"/>
              </w:rPr>
              <w:t>(4)</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122,254</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1,437,707</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9/30/2019</w:t>
            </w:r>
            <w:r>
              <w:rPr>
                <w:rFonts w:ascii="Arial;sans-serif" w:hAnsi="Arial;sans-serif"/>
                <w:b w:val="false"/>
                <w:sz w:val="8"/>
              </w:rPr>
              <w:t>(4)</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101,296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1,191,241</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8/6/2018</w:t>
            </w:r>
            <w:r>
              <w:rPr>
                <w:rFonts w:ascii="Arial;sans-serif" w:hAnsi="Arial;sans-serif"/>
                <w:b w:val="false"/>
                <w:sz w:val="8"/>
              </w:rPr>
              <w:t>(4)</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4,752</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55,884</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8/8/2017</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5,612</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65,997</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3/6/2017</w:t>
            </w:r>
            <w:r>
              <w:rPr>
                <w:rFonts w:ascii="Arial;sans-serif" w:hAnsi="Arial;sans-serif"/>
                <w:b w:val="false"/>
                <w:sz w:val="8"/>
              </w:rPr>
              <w:t>(4)</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35,926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422,490</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10/6/2015</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9,515</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111,896</w:t>
            </w:r>
          </w:p>
        </w:tc>
      </w:tr>
      <w:tr>
        <w:trPr/>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216"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 w:hAnsi="Times New Roman"/>
                <w:sz w:val="12"/>
              </w:rPr>
            </w:pPr>
            <w:r>
              <w:rPr>
                <w:rFonts w:ascii="Arial;sans-serif" w:hAnsi="Arial;sans-serif"/>
                <w:b w:val="false"/>
                <w:sz w:val="12"/>
              </w:rPr>
              <w:t>8/17/2015</w:t>
            </w:r>
            <w:r>
              <w:rPr>
                <w:rFonts w:ascii="Arial;sans-serif" w:hAnsi="Arial;sans-serif"/>
                <w:b w:val="false"/>
                <w:sz w:val="8"/>
              </w:rPr>
              <w:t>(4)</w:t>
            </w:r>
          </w:p>
        </w:tc>
        <w:tc>
          <w:tcPr>
            <w:tcW w:w="1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7,230</w:t>
            </w:r>
          </w:p>
        </w:tc>
        <w:tc>
          <w:tcPr>
            <w:tcW w:w="1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85,025</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rFonts w:ascii="Arial;sans-serif" w:hAnsi="Arial;sans-serif"/>
                <w:b w:val="false"/>
                <w:sz w:val="12"/>
              </w:rPr>
            </w:pPr>
            <w:r>
              <w:rPr>
                <w:rFonts w:ascii="Arial;sans-serif" w:hAnsi="Arial;sans-serif"/>
                <w:b w:val="false"/>
                <w:sz w:val="12"/>
              </w:rPr>
              <w:t>Dawn Maroney</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9/12/2022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431,323</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5,072,358</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152,068</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3/8/2032</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206,954</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2,433,779</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257,676</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773,026</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18.00</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3/25/2031</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61,387</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721,911</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9/25/2020</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163,006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1,916,951</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9/30/2019</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142,433</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1,675,012</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3/6/2017</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49,696</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584,425</w:t>
            </w:r>
          </w:p>
        </w:tc>
      </w:tr>
      <w:tr>
        <w:trPr/>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216"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5/9/2014</w:t>
            </w:r>
          </w:p>
        </w:tc>
        <w:tc>
          <w:tcPr>
            <w:tcW w:w="1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16,542</w:t>
            </w:r>
          </w:p>
        </w:tc>
        <w:tc>
          <w:tcPr>
            <w:tcW w:w="1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194,534</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rFonts w:ascii="Arial;sans-serif" w:hAnsi="Arial;sans-serif"/>
                <w:b w:val="false"/>
                <w:sz w:val="12"/>
              </w:rPr>
            </w:pPr>
            <w:r>
              <w:rPr>
                <w:rFonts w:ascii="Arial;sans-serif" w:hAnsi="Arial;sans-serif"/>
                <w:b w:val="false"/>
                <w:sz w:val="12"/>
              </w:rPr>
              <w:t>Dinesh Kumar</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9/12/2022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280,360</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3,297,034</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152,068</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3/8/2032</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206,954</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2,433,779</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167,489</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502,467</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18.00</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3/25/2031</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39,901</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469,236</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9/25/2020</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61,127</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718,854</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9/30/2019</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82,268</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967,472</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5/2/2019</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118,325</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1,391,502</w:t>
            </w:r>
          </w:p>
        </w:tc>
      </w:tr>
      <w:tr>
        <w:trPr/>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216"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1/21/2019</w:t>
            </w:r>
          </w:p>
        </w:tc>
        <w:tc>
          <w:tcPr>
            <w:tcW w:w="1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59,162</w:t>
            </w:r>
          </w:p>
        </w:tc>
        <w:tc>
          <w:tcPr>
            <w:tcW w:w="1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695,745</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rFonts w:ascii="Arial;sans-serif" w:hAnsi="Arial;sans-serif"/>
                <w:b w:val="false"/>
                <w:sz w:val="12"/>
              </w:rPr>
            </w:pPr>
            <w:r>
              <w:rPr>
                <w:rFonts w:ascii="Arial;sans-serif" w:hAnsi="Arial;sans-serif"/>
                <w:b w:val="false"/>
                <w:sz w:val="12"/>
              </w:rPr>
              <w:t>Richard Cross</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9/12/2022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102,759</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1,208,446</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36,496</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9.06</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3/8/2032</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3/8/2022</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49,669</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584,107</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61,389</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184,167</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18.00</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3/25/2031</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3/25/2021</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14,625</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171,990</w:t>
            </w:r>
          </w:p>
        </w:tc>
      </w:tr>
      <w:tr>
        <w:trPr/>
        <w:tc>
          <w:tcPr>
            <w:tcW w:w="914" w:type="dxa"/>
            <w:tcBorders/>
            <w:shd w:fill="auto" w:val="clear"/>
            <w:tcMar>
              <w:top w:w="0" w:type="dxa"/>
              <w:left w:w="0" w:type="dxa"/>
              <w:bottom w:w="0" w:type="dxa"/>
              <w:right w:w="0" w:type="dxa"/>
            </w:tcMar>
            <w:vAlign w:val="center"/>
          </w:tcPr>
          <w:p>
            <w:pPr>
              <w:pStyle w:val="TableContents"/>
              <w:spacing w:before="0" w:after="0"/>
              <w:ind w:left="0" w:right="216" w:hanging="0"/>
              <w:jc w:val="left"/>
              <w:rPr/>
            </w:pPr>
            <w:r>
              <w:rPr/>
              <w:t> </w:t>
            </w:r>
          </w:p>
        </w:tc>
        <w:tc>
          <w:tcPr>
            <w:tcW w:w="49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5/2/2019</w:t>
            </w:r>
          </w:p>
        </w:tc>
        <w:tc>
          <w:tcPr>
            <w:tcW w:w="14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600"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7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8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30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44,460</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522,850</w:t>
            </w:r>
          </w:p>
        </w:tc>
      </w:tr>
      <w:tr>
        <w:trPr/>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216"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4/1/2019</w:t>
            </w:r>
          </w:p>
        </w:tc>
        <w:tc>
          <w:tcPr>
            <w:tcW w:w="1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44,910</w:t>
            </w:r>
          </w:p>
        </w:tc>
        <w:tc>
          <w:tcPr>
            <w:tcW w:w="1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2"/>
              </w:rPr>
            </w:pPr>
            <w:r>
              <w:rPr>
                <w:rFonts w:ascii="Arial;sans-serif" w:hAnsi="Arial;sans-serif"/>
                <w:b w:val="false"/>
                <w:sz w:val="12"/>
              </w:rPr>
              <w:t>528,142</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rFonts w:ascii="Arial;sans-serif" w:hAnsi="Arial;sans-serif"/>
          <w:b w:val="false"/>
          <w:sz w:val="16"/>
        </w:rPr>
      </w:pPr>
      <w:r>
        <w:rPr>
          <w:rFonts w:ascii="Arial;sans-serif" w:hAnsi="Arial;sans-serif"/>
          <w:b w:val="false"/>
          <w:sz w:val="16"/>
        </w:rPr>
        <w:t xml:space="preserve">Represents unvested options, RSUs, restricted shares converted from service-based incentive units and SARs (which remain subject to the same vesting schedules as in effect prior to our IPO) and restricted shares converted from performance-based incentive units and SARs (which vest (i) 50% on the later of (x) the fourth anniversary of the initial vesting date and (y) the first anniversary of our IPO and (ii) 50% on the later of (x) the fourth anniversary of the initial vesting date and (y) the second anniversary of our IPO, in each case, subject to continued employment or service on each such vesting date). The vesting schedules of the options, RSUs and restricted shares are as follows (subject to the named executive officer’s continued employment through each applicable vesting date): </w:t>
      </w:r>
    </w:p>
    <w:p>
      <w:pPr>
        <w:pStyle w:val="TextBody"/>
        <w:spacing w:before="0" w:after="0"/>
        <w:jc w:val="left"/>
        <w:rPr/>
      </w:pPr>
      <w:r>
        <w:rPr/>
        <w:t> </w:t>
      </w:r>
    </w:p>
    <w:tbl>
      <w:tblPr>
        <w:tblW w:w="8524" w:type="dxa"/>
        <w:jc w:val="left"/>
        <w:tblInd w:w="0" w:type="dxa"/>
        <w:tblCellMar>
          <w:top w:w="28" w:type="dxa"/>
          <w:left w:w="28" w:type="dxa"/>
          <w:bottom w:w="28" w:type="dxa"/>
          <w:right w:w="28" w:type="dxa"/>
        </w:tblCellMar>
      </w:tblPr>
      <w:tblGrid>
        <w:gridCol w:w="586"/>
        <w:gridCol w:w="706"/>
        <w:gridCol w:w="1021"/>
        <w:gridCol w:w="6211"/>
      </w:tblGrid>
      <w:tr>
        <w:trPr/>
        <w:tc>
          <w:tcPr>
            <w:tcW w:w="586"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021" w:type="dxa"/>
            <w:tcBorders/>
            <w:shd w:fill="FFFFFF" w:val="clear"/>
            <w:vAlign w:val="center"/>
          </w:tcPr>
          <w:p>
            <w:pPr>
              <w:pStyle w:val="TableContents"/>
              <w:spacing w:before="0" w:after="283"/>
              <w:rPr>
                <w:sz w:val="4"/>
                <w:szCs w:val="4"/>
              </w:rPr>
            </w:pPr>
            <w:r>
              <w:rPr>
                <w:sz w:val="4"/>
                <w:szCs w:val="4"/>
              </w:rPr>
            </w:r>
          </w:p>
        </w:tc>
        <w:tc>
          <w:tcPr>
            <w:tcW w:w="6211" w:type="dxa"/>
            <w:tcBorders/>
            <w:shd w:fill="FFFFFF" w:val="clear"/>
            <w:vAlign w:val="center"/>
          </w:tcPr>
          <w:p>
            <w:pPr>
              <w:pStyle w:val="TableContents"/>
              <w:spacing w:before="0" w:after="283"/>
              <w:rPr>
                <w:sz w:val="4"/>
                <w:szCs w:val="4"/>
              </w:rPr>
            </w:pPr>
            <w:r>
              <w:rPr>
                <w:sz w:val="4"/>
                <w:szCs w:val="4"/>
              </w:rPr>
            </w:r>
          </w:p>
        </w:tc>
      </w:tr>
      <w:tr>
        <w:trPr/>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Name</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Grant Date</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Grant Type</w:t>
            </w:r>
          </w:p>
        </w:tc>
        <w:tc>
          <w:tcPr>
            <w:tcW w:w="6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Service-based Vesting Schedule</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John Kao</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9/12/2022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819,514 shares on 9/7/2025 and 819,513 shares on 9/7/2026</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124,172 vesting on each of 3/8/2023, 3/8/2024, 3/8/2025 and 3/8/2026</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91,241 vesting on each of 3/8/2023, 3/8/2024, 3/8/2025 and 3/8/2026</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979,167 vesting on each of 3/25/2022, 2023, 2024, and 2025</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77,758 vesting on each of 3/25/2022, 2023, 2024, and 2025</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9/25/2020</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3 years with approximately 227,143 vesting on each of 8/1/2022, 2023, and 2024</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9/30/2019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21,661 vesting on 7/15/2022 and 43,539 vesting on 7/15/2023</w:t>
            </w:r>
          </w:p>
        </w:tc>
      </w:tr>
    </w:tbl>
    <w:p>
      <w:pPr>
        <w:pStyle w:val="TextBody"/>
        <w:spacing w:before="240" w:after="0"/>
        <w:jc w:val="center"/>
        <w:rPr>
          <w:rFonts w:ascii="Arial;sans-serif" w:hAnsi="Arial;sans-serif"/>
          <w:b w:val="false"/>
          <w:sz w:val="20"/>
        </w:rPr>
      </w:pPr>
      <w:r>
        <w:rPr>
          <w:rFonts w:ascii="Arial;sans-serif" w:hAnsi="Arial;sans-serif"/>
          <w:b w:val="false"/>
          <w:sz w:val="20"/>
        </w:rPr>
        <w:t>57</w:t>
      </w:r>
    </w:p>
    <w:p>
      <w:pPr>
        <w:pStyle w:val="HorizontalLine"/>
        <w:rPr/>
      </w:pPr>
      <w:r>
        <w:rPr/>
      </w:r>
    </w:p>
    <w:p>
      <w:pPr>
        <w:pStyle w:val="TextBody"/>
        <w:spacing w:before="0" w:after="0"/>
        <w:jc w:val="left"/>
        <w:rPr/>
      </w:pPr>
      <w:r>
        <w:rPr/>
        <w:t> </w:t>
      </w:r>
    </w:p>
    <w:tbl>
      <w:tblPr>
        <w:tblW w:w="9094" w:type="dxa"/>
        <w:jc w:val="left"/>
        <w:tblInd w:w="0" w:type="dxa"/>
        <w:tblCellMar>
          <w:top w:w="28" w:type="dxa"/>
          <w:left w:w="28" w:type="dxa"/>
          <w:bottom w:w="28" w:type="dxa"/>
          <w:right w:w="28" w:type="dxa"/>
        </w:tblCellMar>
      </w:tblPr>
      <w:tblGrid>
        <w:gridCol w:w="1036"/>
        <w:gridCol w:w="706"/>
        <w:gridCol w:w="1021"/>
        <w:gridCol w:w="6331"/>
      </w:tblGrid>
      <w:tr>
        <w:trPr/>
        <w:tc>
          <w:tcPr>
            <w:tcW w:w="1036" w:type="dxa"/>
            <w:tcBorders/>
            <w:shd w:fill="FFFFFF" w:val="clear"/>
            <w:vAlign w:val="center"/>
          </w:tcPr>
          <w:p>
            <w:pPr>
              <w:pStyle w:val="TableContents"/>
              <w:spacing w:before="0" w:after="283"/>
              <w:rPr>
                <w:sz w:val="4"/>
                <w:szCs w:val="4"/>
              </w:rPr>
            </w:pPr>
            <w:r>
              <w:rPr>
                <w:sz w:val="4"/>
                <w:szCs w:val="4"/>
              </w:rPr>
            </w:r>
          </w:p>
        </w:tc>
        <w:tc>
          <w:tcPr>
            <w:tcW w:w="706" w:type="dxa"/>
            <w:tcBorders/>
            <w:shd w:fill="FFFFFF" w:val="clear"/>
            <w:vAlign w:val="center"/>
          </w:tcPr>
          <w:p>
            <w:pPr>
              <w:pStyle w:val="TableContents"/>
              <w:spacing w:before="0" w:after="283"/>
              <w:rPr>
                <w:sz w:val="4"/>
                <w:szCs w:val="4"/>
              </w:rPr>
            </w:pPr>
            <w:r>
              <w:rPr>
                <w:sz w:val="4"/>
                <w:szCs w:val="4"/>
              </w:rPr>
            </w:r>
          </w:p>
        </w:tc>
        <w:tc>
          <w:tcPr>
            <w:tcW w:w="1021" w:type="dxa"/>
            <w:tcBorders/>
            <w:shd w:fill="FFFFFF" w:val="clear"/>
            <w:vAlign w:val="center"/>
          </w:tcPr>
          <w:p>
            <w:pPr>
              <w:pStyle w:val="TableContents"/>
              <w:spacing w:before="0" w:after="283"/>
              <w:rPr>
                <w:sz w:val="4"/>
                <w:szCs w:val="4"/>
              </w:rPr>
            </w:pPr>
            <w:r>
              <w:rPr>
                <w:sz w:val="4"/>
                <w:szCs w:val="4"/>
              </w:rPr>
            </w:r>
          </w:p>
        </w:tc>
        <w:tc>
          <w:tcPr>
            <w:tcW w:w="6331" w:type="dxa"/>
            <w:tcBorders/>
            <w:shd w:fill="FFFFFF" w:val="clear"/>
            <w:vAlign w:val="center"/>
          </w:tcPr>
          <w:p>
            <w:pPr>
              <w:pStyle w:val="TableContents"/>
              <w:spacing w:before="0" w:after="283"/>
              <w:rPr>
                <w:sz w:val="4"/>
                <w:szCs w:val="4"/>
              </w:rPr>
            </w:pPr>
            <w:r>
              <w:rPr>
                <w:sz w:val="4"/>
                <w:szCs w:val="4"/>
              </w:rPr>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Name</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Grant Date</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Grant Type</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2"/>
              </w:rPr>
            </w:pPr>
            <w:r>
              <w:rPr>
                <w:rFonts w:ascii="Arial;sans-serif" w:hAnsi="Arial;sans-serif"/>
                <w:b/>
                <w:sz w:val="12"/>
              </w:rPr>
              <w:t>Service-based Vesting Schedule</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John Kao, cont.</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3/6/2017</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136,228 vesting on 3/30/2022 and 136,227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5/9/2014</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109,427 vesting on 3/30/2022 and 109,426 vesting on 3/30/2023</w:t>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Thomas Freeman</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9/12/2022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159,590 shares on 9/7/2025 and 159,589 shares on 9/7/2026.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34,147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25,091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190,680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15,143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9/25/2020</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3 years with 61,127 vesting on each of 8/1/2022, 2023, and 2024</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9/30/2019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50,394 vesting on 7/15/2022 and 101,296 vesting on 7/15/2023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8/6/2018</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4,755 vesting on 3/30/2022 and 4,752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8/8/2017</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5,612 vesting on 3/30/2022 and 5,612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3/6/2017</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35,929 vesting on 3/30/2022 and 35,926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10/6/2015</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9,515 vesting on 3/30/2022 and 9,515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8/17/2015</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7,231 vesting on 3/30/2022 and 7,230 vesting on 3/30/2023</w:t>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Dawn Maroney</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9/12/2022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215,662 shares on 9/7/2025 and 215,661 shares on 9/7/2026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51,739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38,017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257,676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20,463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9/25/2020</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3 years with 81,503 vesting on each of 8/1/2022, 2023, and 2024</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9/30/2019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70,858 vesting on 7/15/2022 and 142,433 vesting on 7/15/2023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3/6/2017</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49,697 vesting on 3/30/2022 and 49,696 vesting on 3/30/2023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5/9/2014</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16,543 vesting on 3/30/2022 and 16,542 vesting on 3/30/2023</w:t>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Dinesh Kumar</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9/12/2022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140,180 shares on each of 9/7/2025 and 9/7/2026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51,739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38,017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167,489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13,301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9/25/2020</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3 years with 30,564 vesting on each of 8/1/2022, 2023, and 2024</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9/30/2019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40,928 vesting on 7/15/2022 and 82,268 vesting on 7/15/2023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5/2/2019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118,326 vesting on 1/21/2022 and 118,325 vesting on 1/21/2023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1/21/2019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over 2 years with 59,164 vesting on 3/30/2022 and 59,162 vesting on 3/30/2023</w:t>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Richard Cross</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9/12/2022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51,380 shares on 9/7/2025 and 51,379 shares on 9/7/2026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approximately 12,417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3/8/2022</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9,124 vesting on each of 3/8/2023, 3/8/2024, 3/8/2025 and 3/8/2026</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Options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61,389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3/25/2021</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RSUs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25% per year over 4 years with 4,875 vesting on each of 3/25/2022, 2023, 2024, and 2025</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5/2/2019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approximately 33% per year over 3 years with approximately 44,910 vesting on each of 4/1/2021, 4/1/22 and 4/1/2023.</w:t>
            </w:r>
          </w:p>
        </w:tc>
      </w:tr>
      <w:tr>
        <w:trPr/>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4/1/2019</w:t>
            </w:r>
          </w:p>
        </w:tc>
        <w:tc>
          <w:tcPr>
            <w:tcW w:w="1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Restricted Shares</w:t>
            </w:r>
          </w:p>
        </w:tc>
        <w:tc>
          <w:tcPr>
            <w:tcW w:w="6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Vests in full on 4/1/2023.</w:t>
            </w:r>
          </w:p>
        </w:tc>
      </w:tr>
      <w:tr>
        <w:trPr/>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120"/>
        <w:jc w:val="left"/>
        <w:rPr>
          <w:rFonts w:ascii="Times New Roman" w:hAnsi="Times New Roman"/>
          <w:b w:val="false"/>
          <w:sz w:val="16"/>
        </w:rPr>
      </w:pPr>
      <w:r>
        <w:rPr>
          <w:rFonts w:ascii="Times New Roman" w:hAnsi="Times New Roman"/>
          <w:b w:val="false"/>
          <w:sz w:val="16"/>
        </w:rPr>
        <w:t>(2)</w:t>
      </w:r>
    </w:p>
    <w:p>
      <w:pPr>
        <w:pStyle w:val="TextBody"/>
        <w:spacing w:before="0" w:after="120"/>
        <w:jc w:val="left"/>
        <w:rPr>
          <w:rFonts w:ascii="Arial;sans-serif" w:hAnsi="Arial;sans-serif"/>
          <w:b w:val="false"/>
          <w:sz w:val="16"/>
        </w:rPr>
      </w:pPr>
      <w:r>
        <w:rPr>
          <w:rFonts w:ascii="Arial;sans-serif" w:hAnsi="Arial;sans-serif"/>
          <w:b w:val="false"/>
          <w:sz w:val="16"/>
        </w:rPr>
        <w:t>The dollar amounts shown in this column are determined by multiplying the number of shares or units reported in the “Number of Shares or Units of Stock That Have Not Vested” column by $11.76, the closing price of our common stock on the last trading day of 2022.</w:t>
      </w:r>
    </w:p>
    <w:p>
      <w:pPr>
        <w:pStyle w:val="TextBody"/>
        <w:spacing w:before="0" w:after="120"/>
        <w:jc w:val="left"/>
        <w:rPr>
          <w:rFonts w:ascii="Times New Roman" w:hAnsi="Times New Roman"/>
          <w:b w:val="false"/>
          <w:sz w:val="16"/>
        </w:rPr>
      </w:pPr>
      <w:r>
        <w:rPr>
          <w:rFonts w:ascii="Times New Roman" w:hAnsi="Times New Roman"/>
          <w:b w:val="false"/>
          <w:sz w:val="16"/>
        </w:rPr>
        <w:t>(3)</w:t>
      </w:r>
    </w:p>
    <w:p>
      <w:pPr>
        <w:pStyle w:val="TextBody"/>
        <w:spacing w:before="0" w:after="120"/>
        <w:jc w:val="left"/>
        <w:rPr>
          <w:rFonts w:ascii="Arial;sans-serif" w:hAnsi="Arial;sans-serif"/>
          <w:b w:val="false"/>
          <w:sz w:val="16"/>
        </w:rPr>
      </w:pPr>
      <w:r>
        <w:rPr>
          <w:rFonts w:ascii="Arial;sans-serif" w:hAnsi="Arial;sans-serif"/>
          <w:b w:val="false"/>
          <w:sz w:val="16"/>
        </w:rPr>
        <w:t>Held by JEK Trust, dated February 8, 2021, of which Mr. Kao is the trustee.</w:t>
      </w:r>
    </w:p>
    <w:p>
      <w:pPr>
        <w:pStyle w:val="TextBody"/>
        <w:spacing w:before="0" w:after="0"/>
        <w:jc w:val="left"/>
        <w:rPr>
          <w:rFonts w:ascii="Times New Roman" w:hAnsi="Times New Roman"/>
          <w:b w:val="false"/>
          <w:sz w:val="16"/>
        </w:rPr>
      </w:pPr>
      <w:r>
        <w:rPr>
          <w:rFonts w:ascii="Times New Roman" w:hAnsi="Times New Roman"/>
          <w:b w:val="false"/>
          <w:sz w:val="16"/>
        </w:rPr>
        <w:t>(4)</w:t>
      </w:r>
    </w:p>
    <w:p>
      <w:pPr>
        <w:pStyle w:val="TextBody"/>
        <w:jc w:val="left"/>
        <w:rPr>
          <w:rFonts w:ascii="Arial;sans-serif" w:hAnsi="Arial;sans-serif"/>
          <w:b w:val="false"/>
          <w:sz w:val="16"/>
        </w:rPr>
      </w:pPr>
      <w:r>
        <w:rPr>
          <w:rFonts w:ascii="Arial;sans-serif" w:hAnsi="Arial;sans-serif"/>
          <w:b w:val="false"/>
          <w:sz w:val="16"/>
        </w:rPr>
        <w:t>15% of each grant is held by Mr. Freeman directly and 85% of each grant is held by FCO Holdings LLC, a limited liability company owned by FCO Holdings Trust One, an irrevocable trust.</w:t>
      </w:r>
    </w:p>
    <w:p>
      <w:pPr>
        <w:pStyle w:val="TextBody"/>
        <w:spacing w:before="240" w:after="0"/>
        <w:jc w:val="center"/>
        <w:rPr>
          <w:rFonts w:ascii="Arial;sans-serif" w:hAnsi="Arial;sans-serif"/>
          <w:b w:val="false"/>
          <w:sz w:val="20"/>
        </w:rPr>
      </w:pPr>
      <w:r>
        <w:rPr>
          <w:rFonts w:ascii="Arial;sans-serif" w:hAnsi="Arial;sans-serif"/>
          <w:b w:val="false"/>
          <w:sz w:val="20"/>
        </w:rPr>
        <w:t>58</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Exercises and Stock Vested During Fiscal Year 2022</w:t>
      </w:r>
    </w:p>
    <w:p>
      <w:pPr>
        <w:pStyle w:val="TextBody"/>
        <w:spacing w:before="120" w:after="0"/>
        <w:jc w:val="left"/>
        <w:rPr>
          <w:rFonts w:ascii="Arial;sans-serif" w:hAnsi="Arial;sans-serif"/>
          <w:b w:val="false"/>
          <w:sz w:val="20"/>
        </w:rPr>
      </w:pPr>
      <w:r>
        <w:rPr>
          <w:rFonts w:ascii="Arial;sans-serif" w:hAnsi="Arial;sans-serif"/>
          <w:b w:val="false"/>
          <w:sz w:val="20"/>
        </w:rPr>
        <w:t>The following table shows information about exercises and vesting of RSU awards and stock options during fiscal year 2022.</w:t>
      </w:r>
    </w:p>
    <w:tbl>
      <w:tblPr>
        <w:tblW w:w="10205" w:type="dxa"/>
        <w:jc w:val="left"/>
        <w:tblInd w:w="0" w:type="dxa"/>
        <w:tblCellMar>
          <w:top w:w="28" w:type="dxa"/>
          <w:left w:w="28" w:type="dxa"/>
          <w:bottom w:w="28" w:type="dxa"/>
          <w:right w:w="28" w:type="dxa"/>
        </w:tblCellMar>
      </w:tblPr>
      <w:tblGrid>
        <w:gridCol w:w="1251"/>
        <w:gridCol w:w="2785"/>
        <w:gridCol w:w="2018"/>
        <w:gridCol w:w="2741"/>
        <w:gridCol w:w="1410"/>
      </w:tblGrid>
      <w:tr>
        <w:trPr/>
        <w:tc>
          <w:tcPr>
            <w:tcW w:w="1251"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r>
      <w:tr>
        <w:trPr/>
        <w:tc>
          <w:tcPr>
            <w:tcW w:w="1251" w:type="dxa"/>
            <w:tcBorders>
              <w:bottom w:val="single" w:sz="2" w:space="0" w:color="000000"/>
            </w:tcBorders>
            <w:shd w:fill="auto" w:val="clear"/>
            <w:tcMar>
              <w:top w:w="0" w:type="dxa"/>
              <w:left w:w="0" w:type="dxa"/>
              <w:right w:w="0" w:type="dxa"/>
            </w:tcMar>
            <w:vAlign w:val="center"/>
          </w:tcPr>
          <w:p>
            <w:pPr>
              <w:pStyle w:val="TableContents"/>
              <w:spacing w:before="120" w:after="0"/>
              <w:ind w:left="0" w:right="0" w:hanging="0"/>
              <w:jc w:val="left"/>
              <w:rPr/>
            </w:pPr>
            <w:r>
              <w:rPr/>
              <w:t> </w:t>
            </w:r>
          </w:p>
        </w:tc>
        <w:tc>
          <w:tcPr>
            <w:tcW w:w="4803" w:type="dxa"/>
            <w:gridSpan w:val="2"/>
            <w:tcBorders>
              <w:bottom w:val="single" w:sz="2" w:space="0" w:color="000000"/>
            </w:tcBorders>
            <w:shd w:fill="auto" w:val="clear"/>
            <w:tcMar>
              <w:top w:w="0" w:type="dxa"/>
              <w:left w:w="0" w:type="dxa"/>
              <w:right w:w="0" w:type="dxa"/>
            </w:tcMar>
            <w:vAlign w:val="center"/>
          </w:tcPr>
          <w:p>
            <w:pPr>
              <w:pStyle w:val="TableContents"/>
              <w:spacing w:before="120" w:after="0"/>
              <w:ind w:left="0" w:right="0" w:hanging="0"/>
              <w:jc w:val="center"/>
              <w:rPr>
                <w:rFonts w:ascii="Arial;sans-serif" w:hAnsi="Arial;sans-serif"/>
                <w:b/>
                <w:sz w:val="16"/>
              </w:rPr>
            </w:pPr>
            <w:r>
              <w:rPr>
                <w:rFonts w:ascii="Arial;sans-serif" w:hAnsi="Arial;sans-serif"/>
                <w:b/>
                <w:sz w:val="16"/>
              </w:rPr>
              <w:t>Option Awards</w:t>
            </w:r>
          </w:p>
        </w:tc>
        <w:tc>
          <w:tcPr>
            <w:tcW w:w="4151" w:type="dxa"/>
            <w:gridSpan w:val="2"/>
            <w:tcBorders>
              <w:bottom w:val="single" w:sz="2" w:space="0" w:color="000000"/>
            </w:tcBorders>
            <w:shd w:fill="auto" w:val="clear"/>
            <w:tcMar>
              <w:top w:w="0" w:type="dxa"/>
              <w:left w:w="0" w:type="dxa"/>
              <w:right w:w="0" w:type="dxa"/>
            </w:tcMar>
            <w:vAlign w:val="center"/>
          </w:tcPr>
          <w:p>
            <w:pPr>
              <w:pStyle w:val="TableContents"/>
              <w:spacing w:before="120" w:after="0"/>
              <w:ind w:left="0" w:right="0" w:hanging="0"/>
              <w:jc w:val="center"/>
              <w:rPr>
                <w:rFonts w:ascii="Arial;sans-serif" w:hAnsi="Arial;sans-serif"/>
                <w:b/>
                <w:sz w:val="16"/>
              </w:rPr>
            </w:pPr>
            <w:r>
              <w:rPr>
                <w:rFonts w:ascii="Arial;sans-serif" w:hAnsi="Arial;sans-serif"/>
                <w:b/>
                <w:sz w:val="16"/>
              </w:rPr>
              <w:t>Stock Awards</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Shares Acquired on Exercise (#)</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Value Realized on Exercise ($)</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Shares Acquired on Vesting (#)</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 xml:space="preserve">Value Realized on </w:t>
              <w:br/>
              <w:t>Vesting</w:t>
            </w:r>
            <w:r>
              <w:rPr>
                <w:rFonts w:ascii="Arial;sans-serif" w:hAnsi="Arial;sans-serif"/>
                <w:b/>
                <w:sz w:val="11"/>
              </w:rPr>
              <w:t>(1)</w:t>
            </w:r>
            <w:r>
              <w:rPr>
                <w:rFonts w:ascii="Arial;sans-serif" w:hAnsi="Arial;sans-serif"/>
                <w:b/>
                <w:sz w:val="16"/>
              </w:rPr>
              <w:br/>
              <w:t>($)</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John Kao</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572,217</w:t>
            </w:r>
            <w:r>
              <w:rPr>
                <w:rFonts w:ascii="Arial;sans-serif" w:hAnsi="Arial;sans-serif"/>
                <w:b w:val="false"/>
                <w:sz w:val="11"/>
              </w:rPr>
              <w:t>(2)</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7,272,626</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Thomas Freeman</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189,699</w:t>
            </w:r>
            <w:r>
              <w:rPr>
                <w:rFonts w:ascii="Arial;sans-serif" w:hAnsi="Arial;sans-serif"/>
                <w:b w:val="false"/>
                <w:sz w:val="11"/>
              </w:rPr>
              <w:t>(3)</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2,557,705</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Dawn Maroney</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239,064</w:t>
            </w:r>
            <w:r>
              <w:rPr>
                <w:rFonts w:ascii="Arial;sans-serif" w:hAnsi="Arial;sans-serif"/>
                <w:b w:val="false"/>
                <w:sz w:val="11"/>
              </w:rPr>
              <w:t>(4)</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3,179,915</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Dinesh Kumar</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262,282</w:t>
            </w:r>
            <w:r>
              <w:rPr>
                <w:rFonts w:ascii="Arial;sans-serif" w:hAnsi="Arial;sans-serif"/>
                <w:b w:val="false"/>
                <w:sz w:val="11"/>
              </w:rPr>
              <w:t>(5)</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2,667,225</w:t>
            </w:r>
          </w:p>
        </w:tc>
      </w:tr>
      <w:tr>
        <w:trPr/>
        <w:tc>
          <w:tcPr>
            <w:tcW w:w="125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Richard Cross</w:t>
            </w:r>
          </w:p>
        </w:tc>
        <w:tc>
          <w:tcPr>
            <w:tcW w:w="2785"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018"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pPr>
            <w:r>
              <w:rPr/>
              <w:t>—</w:t>
            </w:r>
          </w:p>
        </w:tc>
        <w:tc>
          <w:tcPr>
            <w:tcW w:w="2741"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49,336</w:t>
            </w:r>
            <w:r>
              <w:rPr>
                <w:rFonts w:ascii="Arial;sans-serif" w:hAnsi="Arial;sans-serif"/>
                <w:b w:val="false"/>
                <w:sz w:val="11"/>
              </w:rPr>
              <w:t>(6)</w:t>
            </w:r>
          </w:p>
        </w:tc>
        <w:tc>
          <w:tcPr>
            <w:tcW w:w="1410" w:type="dxa"/>
            <w:tcBorders>
              <w:right w:val="single" w:sz="4" w:space="0" w:color="000000"/>
            </w:tcBorders>
            <w:shd w:fill="auto" w:val="clear"/>
            <w:tcMar>
              <w:top w:w="0" w:type="dxa"/>
              <w:left w:w="0" w:type="dxa"/>
              <w:bottom w:w="0" w:type="dxa"/>
              <w:right w:w="115"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572,514</w:t>
            </w:r>
          </w:p>
        </w:tc>
      </w:tr>
    </w:tbl>
    <w:p>
      <w:pPr>
        <w:pStyle w:val="TextBody"/>
        <w:spacing w:before="200" w:after="0"/>
        <w:jc w:val="left"/>
        <w:rPr>
          <w:rFonts w:ascii="Times New Roman" w:hAnsi="Times New Roman"/>
          <w:b w:val="false"/>
          <w:sz w:val="16"/>
        </w:rPr>
      </w:pPr>
      <w:r>
        <w:rPr>
          <w:rFonts w:ascii="Times New Roman" w:hAnsi="Times New Roman"/>
          <w:b w:val="false"/>
          <w:sz w:val="16"/>
        </w:rPr>
        <w:t>(1)</w:t>
      </w:r>
    </w:p>
    <w:p>
      <w:pPr>
        <w:pStyle w:val="TextBody"/>
        <w:spacing w:before="200" w:after="0"/>
        <w:jc w:val="left"/>
        <w:rPr>
          <w:rFonts w:ascii="Arial;sans-serif" w:hAnsi="Arial;sans-serif"/>
          <w:b w:val="false"/>
          <w:sz w:val="16"/>
        </w:rPr>
      </w:pPr>
      <w:r>
        <w:rPr>
          <w:rFonts w:ascii="Arial;sans-serif" w:hAnsi="Arial;sans-serif"/>
          <w:b w:val="false"/>
          <w:sz w:val="16"/>
        </w:rPr>
        <w:t>The dollar amounts shown in the “Value Realized on Vesting” column are determined by multiplying (i) the number of shares that vested, by (ii) the per-share closing market price of our common stock on the vesting date.</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Arial;sans-serif" w:hAnsi="Arial;sans-serif"/>
          <w:b w:val="false"/>
          <w:sz w:val="16"/>
        </w:rPr>
      </w:pPr>
      <w:r>
        <w:rPr>
          <w:rFonts w:ascii="Arial;sans-serif" w:hAnsi="Arial;sans-serif"/>
          <w:b w:val="false"/>
          <w:sz w:val="16"/>
        </w:rPr>
        <w:t>Represents (a) 77,758 shares issued upon vesting of RSUs with a value realized on vesting based on a per-share closing market price of $10.55; (b) 245,655 restricted shares with a value realized on vesting based on a per-share closing market price of $11.39; (c) 21,661 restricted shares with a value realized on vesting based on a per-share closing market price of $14.24; and (d) 227,143 restricted shares with a value realized on vesting based on a per-share closing market price of $14.73. Restricted shares which vested are held by JEK Trust, dated February 8, 2021, of which Mr. Kao is the trustee.</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Arial;sans-serif" w:hAnsi="Arial;sans-serif"/>
          <w:b w:val="false"/>
          <w:sz w:val="16"/>
        </w:rPr>
      </w:pPr>
      <w:r>
        <w:rPr>
          <w:rFonts w:ascii="Arial;sans-serif" w:hAnsi="Arial;sans-serif"/>
          <w:b w:val="false"/>
          <w:sz w:val="16"/>
        </w:rPr>
        <w:t>Represents (a) 15,143 shares issued upon vesting of RSUs with a value realized on vesting based on a per-share closing market price of $10.55; (b) 53,531 restricted shares with a value realized on vesting based on a per-share closing market price of $11.39; (c) 50,394 restricted shares with a value realized on vesting based on a per-share closing market price of $14.24; (d) 61,127 restricted shares with a value realized on vesting based on a per-share closing market price of $14.73; and (e) 9,504 restricted shares with a value realized on vesting based on a per-share closing market price of $17.91. 148,371 restricted shares which vested are held by FCO Holdings LLC, a limited liability company owned by FCO Holdings Trust One, an irrevocable trust.</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Arial;sans-serif" w:hAnsi="Arial;sans-serif"/>
          <w:b w:val="false"/>
          <w:sz w:val="16"/>
        </w:rPr>
      </w:pPr>
      <w:r>
        <w:rPr>
          <w:rFonts w:ascii="Arial;sans-serif" w:hAnsi="Arial;sans-serif"/>
          <w:b w:val="false"/>
          <w:sz w:val="16"/>
        </w:rPr>
        <w:t>Represents (a) 20,463 shares issued upon vesting of RSUs with a value realized on vesting based on a per-share closing market price of $10.55; (b) 66,240 restricted shares with a value realized on vesting based on a per-share closing market price of $11.39; (c) 70,858 restricted shares with a value realized on vesting based on a per-share closing market price of $14.24; and (d) 81,503 restricted shares with a value realized on vesting based on a per-share closing market price of $14.73.</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Arial;sans-serif" w:hAnsi="Arial;sans-serif"/>
          <w:b w:val="false"/>
          <w:sz w:val="16"/>
        </w:rPr>
      </w:pPr>
      <w:r>
        <w:rPr>
          <w:rFonts w:ascii="Arial;sans-serif" w:hAnsi="Arial;sans-serif"/>
          <w:b w:val="false"/>
          <w:sz w:val="16"/>
        </w:rPr>
        <w:t>Represents (a) 118,326 restricted shares with a value realized on vesting based on a per-share closing market price of $6.93; (b) 13,301 shares issued upon vesting of RSUs with a value realized on vesting based on a per-share closing market price of $10.55; (c) 59,163 restricted shares with a value realized on vesting based on a per-share closing market price of $11.39; (c) 40,928 restricted shares with a value realized on vesting based on a per-share closing market price of $14.24; and (d) 30,564 restricted shares with a value realized on vesting based on a per-share closing market price of $14.73.</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283"/>
        <w:jc w:val="left"/>
        <w:rPr>
          <w:rFonts w:ascii="Arial;sans-serif" w:hAnsi="Arial;sans-serif"/>
          <w:b w:val="false"/>
          <w:sz w:val="16"/>
        </w:rPr>
      </w:pPr>
      <w:r>
        <w:rPr>
          <w:rFonts w:ascii="Arial;sans-serif" w:hAnsi="Arial;sans-serif"/>
          <w:b w:val="false"/>
          <w:sz w:val="16"/>
        </w:rPr>
        <w:t>Represents (a) 4,875 shares issued upon vesting of RSUs with a value realized on vesting based on a per-share closing market price of $10.55; and (b) 44,461 restricted shares with a value realized on vesting based on a per-share closing market price of $11.72.</w:t>
      </w:r>
    </w:p>
    <w:p>
      <w:pPr>
        <w:pStyle w:val="TextBody"/>
        <w:spacing w:before="240" w:after="0"/>
        <w:jc w:val="left"/>
        <w:rPr>
          <w:rFonts w:ascii="Arial;sans-serif" w:hAnsi="Arial;sans-serif"/>
          <w:b/>
          <w:sz w:val="20"/>
        </w:rPr>
      </w:pPr>
      <w:r>
        <w:rPr>
          <w:rFonts w:ascii="Arial;sans-serif" w:hAnsi="Arial;sans-serif"/>
          <w:b/>
          <w:sz w:val="20"/>
        </w:rPr>
        <w:t>Potential Payments Upon Termination or Change in Control</w:t>
      </w:r>
    </w:p>
    <w:p>
      <w:pPr>
        <w:pStyle w:val="TextBody"/>
        <w:spacing w:before="240" w:after="0"/>
        <w:jc w:val="left"/>
        <w:rPr>
          <w:rFonts w:ascii="Arial;sans-serif" w:hAnsi="Arial;sans-serif"/>
          <w:b/>
          <w:i/>
          <w:sz w:val="20"/>
        </w:rPr>
      </w:pPr>
      <w:r>
        <w:rPr>
          <w:rFonts w:ascii="Arial;sans-serif" w:hAnsi="Arial;sans-serif"/>
          <w:b/>
          <w:i/>
          <w:sz w:val="20"/>
        </w:rPr>
        <w:t>Severance Payments and Benefits</w:t>
      </w:r>
    </w:p>
    <w:p>
      <w:pPr>
        <w:pStyle w:val="TextBody"/>
        <w:spacing w:before="240" w:after="0"/>
        <w:jc w:val="left"/>
        <w:rPr>
          <w:rFonts w:ascii="Times New Roman" w:hAnsi="Times New Roman"/>
          <w:sz w:val="20"/>
        </w:rPr>
      </w:pPr>
      <w:r>
        <w:rPr>
          <w:rFonts w:ascii="Arial;sans-serif" w:hAnsi="Arial;sans-serif"/>
          <w:b w:val="false"/>
          <w:sz w:val="20"/>
        </w:rPr>
        <w:t>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the sum of the Named Executive Officer’s (A) base salary and (B) target annual cash incentive bonus, paid in substantially equal installments over the 12-month (24-month for Mr. Kao) period following 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Each Named Executive Officer is subject to the following restrictive covenants: (i) non-competition during employment, (ii) non-solicitation of employees or customers during employment and for one year following termination, (iii) perpetual non-disparagement and (iv) perpetual confidentiality.</w:t>
      </w:r>
      <w:r>
        <w:rPr>
          <w:rFonts w:ascii="Times New Roman" w:hAnsi="Times New Roman"/>
          <w:sz w:val="20"/>
        </w:rPr>
        <w:t xml:space="preserve"> </w:t>
      </w:r>
    </w:p>
    <w:p>
      <w:pPr>
        <w:pStyle w:val="TextBody"/>
        <w:spacing w:before="240" w:after="0"/>
        <w:jc w:val="left"/>
        <w:rPr/>
      </w:pPr>
      <w:r>
        <w:rPr/>
        <w:t>“</w:t>
      </w:r>
      <w:r>
        <w:rPr>
          <w:rFonts w:ascii="Arial;sans-serif" w:hAnsi="Arial;sans-serif"/>
          <w:b w:val="false"/>
          <w:sz w:val="20"/>
        </w:rPr>
        <w:t>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 notice of such conduct in order for the employee to cure such alleged conduct during such period of time; (iii) violation or breach of certain provisions, representations or covenants provided in the NEO Employment Agreements; (iv) gross negligence or willful misconduct in the performance of the employee’s duties; (v) commission of any act of fraud, theft or 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w:t>
      </w:r>
      <w:r>
        <w:rPr>
          <w:rFonts w:ascii="Times New Roman" w:hAnsi="Times New Roman"/>
          <w:sz w:val="20"/>
        </w:rPr>
        <w:t xml:space="preserve"> </w:t>
      </w:r>
    </w:p>
    <w:p>
      <w:pPr>
        <w:pStyle w:val="TextBody"/>
        <w:spacing w:before="240" w:after="0"/>
        <w:jc w:val="left"/>
        <w:rPr/>
      </w:pPr>
      <w:r>
        <w:rPr/>
        <w:t>“</w:t>
      </w:r>
      <w:r>
        <w:rPr>
          <w:rFonts w:ascii="Arial;sans-serif" w:hAnsi="Arial;sans-serif"/>
          <w:b w:val="false"/>
          <w:sz w:val="20"/>
        </w:rPr>
        <w:t>Good reason” for purposes of the NEO Employment Agreements generally means: (i) a material reduction during any 24 consecutive month period in base salary or in the employee’s annual total cash compensation opportunity (</w:t>
      </w:r>
      <w:r>
        <w:rPr>
          <w:rFonts w:ascii="Arial;sans-serif" w:hAnsi="Arial;sans-serif"/>
          <w:b w:val="false"/>
          <w:i/>
          <w:sz w:val="20"/>
        </w:rPr>
        <w:t>i.e.</w:t>
      </w:r>
      <w:r>
        <w:rPr>
          <w:rFonts w:ascii="Arial;sans-serif" w:hAnsi="Arial;sans-serif"/>
          <w:b w:val="false"/>
          <w:sz w:val="20"/>
        </w:rPr>
        <w:t>, base salary and target bonus), but excluding any reduction applicable to management employees generally; (ii) a material breach of the NEO Employment Agreement by the employer; or (iii) for all NEOs except Mr. Kao, a change in the employee’s principal work location to a location more than 50 miles from the employee’s prior work location and more than 50 miles from the employee’s principal residence as of the date of such change in work location. 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 (III) the employee terminates his or her employment within 60 days of such 30-day period.</w:t>
      </w:r>
      <w:r>
        <w:rPr>
          <w:rFonts w:ascii="Times New Roman" w:hAnsi="Times New Roman"/>
          <w:sz w:val="20"/>
        </w:rPr>
        <w:t xml:space="preserve"> </w:t>
      </w:r>
    </w:p>
    <w:p>
      <w:pPr>
        <w:pStyle w:val="TextBody"/>
        <w:spacing w:before="240" w:after="0"/>
        <w:jc w:val="left"/>
        <w:rPr>
          <w:rFonts w:ascii="Arial;sans-serif" w:hAnsi="Arial;sans-serif"/>
          <w:b w:val="false"/>
          <w:i/>
          <w:sz w:val="20"/>
        </w:rPr>
      </w:pPr>
      <w:r>
        <w:rPr>
          <w:rFonts w:ascii="Arial;sans-serif" w:hAnsi="Arial;sans-serif"/>
          <w:b w:val="false"/>
          <w:i/>
          <w:sz w:val="20"/>
        </w:rPr>
        <w:t>Treatment of Equity Incentive Awards</w:t>
      </w:r>
    </w:p>
    <w:p>
      <w:pPr>
        <w:pStyle w:val="TextBody"/>
        <w:spacing w:before="240" w:after="0"/>
        <w:jc w:val="left"/>
        <w:rPr>
          <w:rFonts w:ascii="Arial;sans-serif" w:hAnsi="Arial;sans-serif"/>
          <w:b w:val="false"/>
          <w:sz w:val="20"/>
        </w:rPr>
      </w:pPr>
      <w:r>
        <w:rPr>
          <w:rFonts w:ascii="Arial;sans-serif" w:hAnsi="Arial;sans-serif"/>
          <w:b w:val="false"/>
          <w:sz w:val="20"/>
        </w:rPr>
        <w:t>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w:t>
      </w:r>
    </w:p>
    <w:p>
      <w:pPr>
        <w:pStyle w:val="TextBody"/>
        <w:spacing w:before="240" w:after="0"/>
        <w:jc w:val="center"/>
        <w:rPr>
          <w:rFonts w:ascii="Arial;sans-serif" w:hAnsi="Arial;sans-serif"/>
          <w:b w:val="false"/>
          <w:sz w:val="20"/>
        </w:rPr>
      </w:pPr>
      <w:r>
        <w:rPr>
          <w:rFonts w:ascii="Arial;sans-serif" w:hAnsi="Arial;sans-serif"/>
          <w:b w:val="false"/>
          <w:sz w:val="20"/>
        </w:rPr>
        <w:t>60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Under the 2021 Plan, upon a termination by the Company without “cause” (other than as a result of death or disability) on or within 12 months following a “change in control,” any outstanding, unvested awards held by the participant would accelerate and vest on the date of such termination. Notwithstanding the foregoing, the 2021 Plan provides that the Board (or designated committee) may provide for (i) continuation, assumption or substitution for awards with substantially the same terms and value, (ii) acceleration of vesting immediately prior to or as of the date of such “change in control,” or (iii) in the case of an option or SAR, cancellation in consideration of a payment in cash or other consideration equal to the excess of the applicable stock price over the applicable exercise price.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Restricted shares which were converted from incentive units and SARs, as discussed in further detail above in “</w:t>
      </w:r>
      <w:r>
        <w:rPr>
          <w:rFonts w:ascii="Arial;sans-serif" w:hAnsi="Arial;sans-serif"/>
          <w:b w:val="false"/>
          <w:i/>
          <w:sz w:val="20"/>
        </w:rPr>
        <w:t>Compensation Discussion and Analysis—2022 Executive Compensation Program in Detail—Long-Term Equity Incentives</w:t>
      </w:r>
      <w:r>
        <w:rPr>
          <w:rFonts w:ascii="Arial;sans-serif" w:hAnsi="Arial;sans-serif"/>
          <w:b w:val="false"/>
          <w:sz w:val="20"/>
        </w:rPr>
        <w:t>,” will accelerate and fully vest upon a change of control.</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For the Chief Executive Officer, “good reason” for purposes of the option and restricted stock unit award agreements under the 2021 Plan generally means the following, without the executive’s express written consent: (i) a reduction in annual base salary or annual target bonus opportunity; (ii) a diminution in status, authority, title, duties or responsibilities (including a change which results in the Company no longer being a publicly traded entity or the executive no longer being the Chief Executive Officer of a publicly traded entity) or (iii) a failure of the Company’s successor to assume and perform the award agreement; provided that any such termination by the executive will only be deemed “good reason” if: (1) the executive gives the Company written notice within 60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pStyle w:val="TextBody"/>
        <w:spacing w:before="240" w:after="0"/>
        <w:jc w:val="left"/>
        <w:rPr>
          <w:rFonts w:ascii="Arial;sans-serif" w:hAnsi="Arial;sans-serif"/>
          <w:b w:val="false"/>
          <w:sz w:val="20"/>
        </w:rPr>
      </w:pPr>
      <w:r>
        <w:rPr>
          <w:rFonts w:ascii="Arial;sans-serif" w:hAnsi="Arial;sans-serif"/>
          <w:b w:val="false"/>
          <w:sz w:val="20"/>
        </w:rPr>
        <w:t>For other senior executives of the Company, “good reason” for purposes of the option and restricted stock unit award agreements under the 2021 Plan generally means, without the executive’s express written consent, reduction in annual base salary or annual target bonus opportunity; provided that any such termination by the executive will only be deemed “good reason” if: (1) the executive gives the Company written notice within 30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pStyle w:val="TextBody"/>
        <w:spacing w:before="240" w:after="0"/>
        <w:jc w:val="left"/>
        <w:rPr/>
      </w:pPr>
      <w:r>
        <w:rPr/>
        <w:t>“</w:t>
      </w:r>
      <w:r>
        <w:rPr>
          <w:rFonts w:ascii="Arial;sans-serif" w:hAnsi="Arial;sans-serif"/>
          <w:b w:val="false"/>
          <w:sz w:val="20"/>
        </w:rPr>
        <w:t>Cause” for purposes of the 2021 Plan has the same meaning as provided under the NEO Employment Agreements.</w:t>
      </w:r>
      <w:r>
        <w:rPr>
          <w:rFonts w:ascii="Times New Roman" w:hAnsi="Times New Roman"/>
          <w:sz w:val="20"/>
        </w:rPr>
        <w:t xml:space="preserve"> </w:t>
      </w:r>
    </w:p>
    <w:p>
      <w:pPr>
        <w:pStyle w:val="TextBody"/>
        <w:spacing w:before="240" w:after="0"/>
        <w:jc w:val="left"/>
        <w:rPr/>
      </w:pPr>
      <w:r>
        <w:rPr/>
        <w:t>“</w:t>
      </w:r>
      <w:r>
        <w:rPr>
          <w:rFonts w:ascii="Arial;sans-serif" w:hAnsi="Arial;sans-serif"/>
          <w:b w:val="false"/>
          <w:sz w:val="20"/>
        </w:rPr>
        <w:t>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61</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(c) 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w:t>
      </w:r>
    </w:p>
    <w:p>
      <w:pPr>
        <w:pStyle w:val="TextBody"/>
        <w:spacing w:before="240" w:after="0"/>
        <w:jc w:val="left"/>
        <w:rPr/>
      </w:pPr>
      <w:r>
        <w:rPr/>
        <w:t>“</w:t>
      </w:r>
      <w:r>
        <w:rPr>
          <w:rFonts w:ascii="Arial;sans-serif" w:hAnsi="Arial;sans-serif"/>
          <w:b w:val="false"/>
          <w:sz w:val="20"/>
        </w:rPr>
        <w:t>Change of control” for purposes of the restricted shares converted from incentive units and SARs generally means the first to occur of any of the following: (i) the sale, lease, transfer, conveyance or other disposition (other than by way of merger or consolidation), in one or a series of related transactions in which the consideration received by the Company is cash or Marketable Securities (as defined below), of all or substantially all of the assets of the Company to any “person” (as such term is defined in Section 13(d)(3) of the Exchange Act) other than our private equity sponsor and its affiliates; (ii) the adoption of a plan relating to the liquidation or dissolution of the Company; and (iii) the consummation of any transaction (including, without limitation, any merger or consolidation) the result of which is that any person, other than our private equity sponsor and its affiliates, becomes the “beneficial owner” (as such term is defined in Rule 13d-3 and Rule 13d-5 under the Exchange Act, as amended), directly or indirectly, of more than 50% of the voting interests of the Company. “Marketable Securities” means securities that (A) can be immediately sold to the general public without the necessity of any federal, state or local government consent, approval or filing (other than any notice filings such as those required pursuant to Rule 144 under the Securities Act of 1933) and without violation of federal or state securities laws and (B) are listed on a national securities exchange or a recognized foreign securities exchange, carried on an established quotation service for over-the-counter securities or for which market quotations are readily available in either a domestic or recognized foreign over-the-counter market. A security shall not be a Marketable Security if it is subject to material restrictions on transfer as a result of contractual provisions.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62</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i/>
          <w:sz w:val="20"/>
        </w:rPr>
      </w:pPr>
      <w:r>
        <w:rPr>
          <w:rFonts w:ascii="Arial;sans-serif" w:hAnsi="Arial;sans-serif"/>
          <w:b w:val="false"/>
          <w:i/>
          <w:sz w:val="20"/>
        </w:rPr>
        <w:t>Table Showing Estimated Payments and Benefits</w:t>
      </w:r>
    </w:p>
    <w:p>
      <w:pPr>
        <w:pStyle w:val="TextBody"/>
        <w:spacing w:before="240" w:after="0"/>
        <w:jc w:val="left"/>
        <w:rPr>
          <w:rFonts w:ascii="Times New Roman" w:hAnsi="Times New Roman"/>
          <w:sz w:val="20"/>
        </w:rPr>
      </w:pPr>
      <w:r>
        <w:rPr>
          <w:rFonts w:ascii="Arial;sans-serif" w:hAnsi="Arial;sans-serif"/>
          <w:b w:val="false"/>
          <w:sz w:val="20"/>
        </w:rPr>
        <w:t>The following table presents information concerning estimated payments and benefits (other than the Accrued Benefits) that would be provided in certain circumstances for each of the NEOs serving as of the end of the fiscal year ending December 31, 2022. Unless otherwise stated, the payments and benefits set forth below are estimated assuming that the termination of employment or change in control event occurred on the last business day of our fiscal year ending December 31, 2022 using the closing market price of $11.76 per share of our Common Stock on that date. Actual payments and benefits could be different if such events were to occur on any other date or at any other price or if any other assumptions are used to estimate potential payments and benefits.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930"/>
        <w:gridCol w:w="1138"/>
        <w:gridCol w:w="146"/>
        <w:gridCol w:w="1024"/>
        <w:gridCol w:w="146"/>
        <w:gridCol w:w="1012"/>
        <w:gridCol w:w="146"/>
        <w:gridCol w:w="1227"/>
        <w:gridCol w:w="146"/>
        <w:gridCol w:w="146"/>
        <w:gridCol w:w="1144"/>
      </w:tblGrid>
      <w:tr>
        <w:trPr/>
        <w:tc>
          <w:tcPr>
            <w:tcW w:w="3930" w:type="dxa"/>
            <w:tcBorders/>
            <w:shd w:fill="FFFFFF" w:val="clear"/>
            <w:vAlign w:val="center"/>
          </w:tcPr>
          <w:p>
            <w:pPr>
              <w:pStyle w:val="TableContents"/>
              <w:spacing w:before="0" w:after="283"/>
              <w:rPr>
                <w:sz w:val="4"/>
                <w:szCs w:val="4"/>
              </w:rPr>
            </w:pPr>
            <w:r>
              <w:rPr>
                <w:sz w:val="4"/>
                <w:szCs w:val="4"/>
              </w:rPr>
            </w:r>
          </w:p>
        </w:tc>
        <w:tc>
          <w:tcPr>
            <w:tcW w:w="1138"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24"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1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227"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144" w:type="dxa"/>
            <w:tcBorders/>
            <w:shd w:fill="FFFFFF" w:val="clear"/>
            <w:vAlign w:val="center"/>
          </w:tcPr>
          <w:p>
            <w:pPr>
              <w:pStyle w:val="TableContents"/>
              <w:spacing w:before="0" w:after="283"/>
              <w:rPr>
                <w:sz w:val="4"/>
                <w:szCs w:val="4"/>
              </w:rPr>
            </w:pPr>
            <w:r>
              <w:rPr>
                <w:sz w:val="4"/>
                <w:szCs w:val="4"/>
              </w:rPr>
            </w:r>
          </w:p>
        </w:tc>
      </w:tr>
      <w:tr>
        <w:trPr/>
        <w:tc>
          <w:tcPr>
            <w:tcW w:w="393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w:t>
            </w:r>
          </w:p>
        </w:tc>
        <w:tc>
          <w:tcPr>
            <w:tcW w:w="1138"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Cash Severance</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Annual Bonus</w:t>
            </w:r>
            <w:r>
              <w:rPr>
                <w:rFonts w:ascii="Arial;sans-serif" w:hAnsi="Arial;sans-serif"/>
                <w:b/>
                <w:sz w:val="11"/>
              </w:rPr>
              <w:t>(1)</w:t>
            </w:r>
            <w:r>
              <w:rPr>
                <w:rFonts w:ascii="Arial;sans-serif" w:hAnsi="Arial;sans-serif"/>
                <w:b/>
                <w:sz w:val="16"/>
              </w:rPr>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Stock Award</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27"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COBRA Premiums</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br/>
              <w:t>($)</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John Kao</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lef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without Cause / Resignation for Good Reason / Non-Renewal by the Company</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750,000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33,853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3,783,853</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 Cause / Resignation without Good Reason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Change in Control without Termination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8,743,278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8,743,278</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Times New Roman" w:hAnsi="Times New Roman"/>
                <w:sz w:val="16"/>
              </w:rPr>
            </w:pPr>
            <w:r>
              <w:rPr>
                <w:rFonts w:ascii="Arial;sans-serif" w:hAnsi="Arial;sans-serif"/>
                <w:b w:val="false"/>
                <w:sz w:val="16"/>
              </w:rPr>
              <w:t>Change in Control with Qualifying Termination</w:t>
            </w:r>
            <w:r>
              <w:rPr>
                <w:rFonts w:ascii="Times New Roman" w:hAnsi="Times New Roman"/>
                <w:sz w:val="16"/>
              </w:rPr>
              <w:t xml:space="preserve">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750,000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16"/>
              </w:rPr>
            </w:pPr>
            <w:r>
              <w:rPr>
                <w:rFonts w:ascii="Arial;sans-serif" w:hAnsi="Arial;sans-serif"/>
                <w:b w:val="false"/>
                <w:sz w:val="16"/>
              </w:rPr>
              <w:t>37,587,979</w:t>
            </w:r>
            <w:r>
              <w:rPr>
                <w:rFonts w:ascii="Times New Roman" w:hAnsi="Times New Roman"/>
                <w:sz w:val="16"/>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33,853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41,371,832</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Death, Disability or Non-Renewal by the NEO</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3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Thomas Freeman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without Cause / Resignation for Good Reason / Non-Renewal by the Company</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925,000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425,000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18,043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1,368,043</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 Cause / Resignation without Good Reason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Change in Control without Termination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3,370,240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3,370,240</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Times New Roman" w:hAnsi="Times New Roman"/>
                <w:sz w:val="16"/>
              </w:rPr>
            </w:pPr>
            <w:r>
              <w:rPr>
                <w:rFonts w:ascii="Arial;sans-serif" w:hAnsi="Arial;sans-serif"/>
                <w:b w:val="false"/>
                <w:sz w:val="16"/>
              </w:rPr>
              <w:t>Change in Control with Qualifying Termination</w:t>
            </w:r>
            <w:r>
              <w:rPr>
                <w:rFonts w:ascii="Times New Roman" w:hAnsi="Times New Roman"/>
                <w:sz w:val="16"/>
              </w:rPr>
              <w:t xml:space="preserve">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925,000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425,000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9,535,267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18,043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10,903,310</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Death, Disability or Non-Renewal by the NEO</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3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Dawn Maroney</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without Cause / Resignation for Good Reason / Non-Renewal by the Company</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1,036,000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23,462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1,535,462</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 Cause / Resignation without Good Reason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Change in Control without Termination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4,370,922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4,370,922</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Times New Roman" w:hAnsi="Times New Roman"/>
                <w:sz w:val="16"/>
              </w:rPr>
            </w:pPr>
            <w:r>
              <w:rPr>
                <w:rFonts w:ascii="Arial;sans-serif" w:hAnsi="Arial;sans-serif"/>
                <w:b w:val="false"/>
                <w:sz w:val="16"/>
              </w:rPr>
              <w:t>Change in Control with Qualifying Termination</w:t>
            </w:r>
            <w:r>
              <w:rPr>
                <w:rFonts w:ascii="Times New Roman" w:hAnsi="Times New Roman"/>
                <w:sz w:val="16"/>
              </w:rPr>
              <w:t xml:space="preserve">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1,036,000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13,009,554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23,462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14,545,016</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Death, Disability or Non-Renewal by the NEO</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3930" w:type="dxa"/>
            <w:tcBorders>
              <w:bottom w:val="single" w:sz="4" w:space="0" w:color="000000"/>
            </w:tcBorders>
            <w:shd w:fill="auto" w:val="clear"/>
            <w:tcMar>
              <w:top w:w="0" w:type="dxa"/>
              <w:left w:w="0" w:type="dxa"/>
              <w:right w:w="0" w:type="dxa"/>
            </w:tcMar>
            <w:vAlign w:val="center"/>
          </w:tcPr>
          <w:p>
            <w:pPr>
              <w:pStyle w:val="TableContents"/>
              <w:spacing w:before="0" w:after="0"/>
              <w:ind w:left="18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Dinesh Kumar</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 </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without Cause / Resignation for Good Reason / Non-Renewal by the Company</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1,036,000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21,266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1,533,266</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 Cause / Resignation without Good Reason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Change in Control without Termination</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3,773,572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8,012,288</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Times New Roman" w:hAnsi="Times New Roman"/>
                <w:sz w:val="16"/>
              </w:rPr>
            </w:pPr>
            <w:r>
              <w:rPr>
                <w:rFonts w:ascii="Arial;sans-serif" w:hAnsi="Arial;sans-serif"/>
                <w:b w:val="false"/>
                <w:sz w:val="16"/>
              </w:rPr>
              <w:t>Change in Control with Qualifying Termination</w:t>
            </w:r>
            <w:r>
              <w:rPr>
                <w:rFonts w:ascii="Times New Roman" w:hAnsi="Times New Roman"/>
                <w:sz w:val="16"/>
              </w:rPr>
              <w:t xml:space="preserve"> </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1,036,000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476,000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10,384,204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21,266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11,917,470</w:t>
            </w:r>
          </w:p>
        </w:tc>
      </w:tr>
      <w:tr>
        <w:trPr/>
        <w:tc>
          <w:tcPr>
            <w:tcW w:w="3930"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Death, Disability or Non-Renewal by the NEO</w:t>
            </w:r>
          </w:p>
        </w:tc>
        <w:tc>
          <w:tcPr>
            <w:tcW w:w="1138"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2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27"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14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3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240" w:after="0"/>
        <w:jc w:val="center"/>
        <w:rPr>
          <w:rFonts w:ascii="Arial;sans-serif" w:hAnsi="Arial;sans-serif"/>
          <w:b w:val="false"/>
          <w:sz w:val="20"/>
        </w:rPr>
      </w:pPr>
      <w:r>
        <w:rPr>
          <w:rFonts w:ascii="Arial;sans-serif" w:hAnsi="Arial;sans-serif"/>
          <w:b w:val="false"/>
          <w:sz w:val="20"/>
        </w:rPr>
        <w:t>63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29"/>
        <w:gridCol w:w="1146"/>
        <w:gridCol w:w="146"/>
        <w:gridCol w:w="1036"/>
        <w:gridCol w:w="146"/>
        <w:gridCol w:w="972"/>
        <w:gridCol w:w="146"/>
        <w:gridCol w:w="1239"/>
        <w:gridCol w:w="146"/>
        <w:gridCol w:w="146"/>
        <w:gridCol w:w="1053"/>
      </w:tblGrid>
      <w:tr>
        <w:trPr/>
        <w:tc>
          <w:tcPr>
            <w:tcW w:w="4029" w:type="dxa"/>
            <w:tcBorders/>
            <w:shd w:fill="FFFFFF" w:val="clear"/>
            <w:vAlign w:val="center"/>
          </w:tcPr>
          <w:p>
            <w:pPr>
              <w:pStyle w:val="TableContents"/>
              <w:spacing w:before="0" w:after="283"/>
              <w:rPr>
                <w:sz w:val="4"/>
                <w:szCs w:val="4"/>
              </w:rPr>
            </w:pPr>
            <w:r>
              <w:rPr>
                <w:sz w:val="4"/>
                <w:szCs w:val="4"/>
              </w:rPr>
            </w:r>
          </w:p>
        </w:tc>
        <w:tc>
          <w:tcPr>
            <w:tcW w:w="1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7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239"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053" w:type="dxa"/>
            <w:tcBorders/>
            <w:shd w:fill="FFFFFF" w:val="clear"/>
            <w:vAlign w:val="center"/>
          </w:tcPr>
          <w:p>
            <w:pPr>
              <w:pStyle w:val="TableContents"/>
              <w:spacing w:before="0" w:after="283"/>
              <w:rPr>
                <w:sz w:val="4"/>
                <w:szCs w:val="4"/>
              </w:rPr>
            </w:pPr>
            <w:r>
              <w:rPr>
                <w:sz w:val="4"/>
                <w:szCs w:val="4"/>
              </w:rPr>
            </w:r>
          </w:p>
        </w:tc>
      </w:tr>
      <w:tr>
        <w:trPr/>
        <w:tc>
          <w:tcPr>
            <w:tcW w:w="402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w:t>
            </w:r>
          </w:p>
        </w:tc>
        <w:tc>
          <w:tcPr>
            <w:tcW w:w="1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Cash Severance</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Annual Bonus</w:t>
            </w:r>
            <w:r>
              <w:rPr>
                <w:rFonts w:ascii="Arial;sans-serif" w:hAnsi="Arial;sans-serif"/>
                <w:b/>
                <w:sz w:val="11"/>
              </w:rPr>
              <w:t>(1)</w:t>
            </w:r>
            <w:r>
              <w:rPr>
                <w:rFonts w:ascii="Arial;sans-serif" w:hAnsi="Arial;sans-serif"/>
                <w:b/>
                <w:sz w:val="16"/>
              </w:rPr>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Stock Award</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COBRA Premiums</w:t>
              <w:br/>
              <w:t>($)</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br/>
              <w:t>($)</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Richard Cross</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 </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without Cause / Resignation for Good Reason / Non-Renewal by the Company</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14,737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814,737</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Termination with Cause / Resignation without Good Reason</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Change in Control without Termination</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1,050,991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firstLine="180"/>
              <w:jc w:val="right"/>
              <w:rPr/>
            </w:pPr>
            <w:r>
              <w:rPr/>
              <w:t>—</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Times New Roman" w:hAnsi="Times New Roman"/>
                <w:sz w:val="16"/>
              </w:rPr>
            </w:pPr>
            <w:r>
              <w:rPr>
                <w:rFonts w:ascii="Arial;sans-serif" w:hAnsi="Arial;sans-serif"/>
                <w:b w:val="false"/>
                <w:sz w:val="16"/>
              </w:rPr>
              <w:t>Change in Control with Qualifying Termination</w:t>
            </w:r>
            <w:r>
              <w:rPr>
                <w:rFonts w:ascii="Times New Roman" w:hAnsi="Times New Roman"/>
                <w:sz w:val="16"/>
              </w:rPr>
              <w:t xml:space="preserve"> </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200,000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3,114,074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14,737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firstLine="180"/>
              <w:jc w:val="right"/>
              <w:rPr>
                <w:rFonts w:ascii="Arial;sans-serif" w:hAnsi="Arial;sans-serif"/>
                <w:b w:val="false"/>
                <w:sz w:val="16"/>
              </w:rPr>
            </w:pPr>
            <w:r>
              <w:rPr>
                <w:rFonts w:ascii="Arial;sans-serif" w:hAnsi="Arial;sans-serif"/>
                <w:b w:val="false"/>
                <w:sz w:val="16"/>
              </w:rPr>
              <w:t>3,928,811</w:t>
            </w:r>
          </w:p>
        </w:tc>
      </w:tr>
      <w:tr>
        <w:trPr/>
        <w:tc>
          <w:tcPr>
            <w:tcW w:w="4029" w:type="dxa"/>
            <w:tcBorders/>
            <w:shd w:fill="auto" w:val="clear"/>
            <w:tcMar>
              <w:top w:w="0" w:type="dxa"/>
              <w:left w:w="0" w:type="dxa"/>
              <w:bottom w:w="0" w:type="dxa"/>
              <w:right w:w="0" w:type="dxa"/>
            </w:tcMar>
            <w:vAlign w:val="center"/>
          </w:tcPr>
          <w:p>
            <w:pPr>
              <w:pStyle w:val="TableContents"/>
              <w:spacing w:before="0" w:after="0"/>
              <w:ind w:left="180" w:right="0" w:hanging="0"/>
              <w:jc w:val="left"/>
              <w:rPr>
                <w:rFonts w:ascii="Arial;sans-serif" w:hAnsi="Arial;sans-serif"/>
                <w:b w:val="false"/>
                <w:sz w:val="16"/>
              </w:rPr>
            </w:pPr>
            <w:r>
              <w:rPr>
                <w:rFonts w:ascii="Arial;sans-serif" w:hAnsi="Arial;sans-serif"/>
                <w:b w:val="false"/>
                <w:sz w:val="16"/>
              </w:rPr>
              <w:t>Death, Disability or Non-Renewal by the NEO</w:t>
            </w:r>
          </w:p>
        </w:tc>
        <w:tc>
          <w:tcPr>
            <w:tcW w:w="1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3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97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23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053"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r>
      <w:tr>
        <w:trPr/>
        <w:tc>
          <w:tcPr>
            <w:tcW w:w="40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200" w:after="0"/>
        <w:jc w:val="left"/>
        <w:rPr>
          <w:rFonts w:ascii="Times New Roman" w:hAnsi="Times New Roman"/>
          <w:b w:val="false"/>
          <w:sz w:val="16"/>
        </w:rPr>
      </w:pPr>
      <w:r>
        <w:rPr>
          <w:rFonts w:ascii="Times New Roman" w:hAnsi="Times New Roman"/>
          <w:b w:val="false"/>
          <w:sz w:val="16"/>
        </w:rPr>
        <w:t>(1)</w:t>
      </w:r>
    </w:p>
    <w:p>
      <w:pPr>
        <w:pStyle w:val="TextBody"/>
        <w:spacing w:before="200" w:after="283"/>
        <w:jc w:val="left"/>
        <w:rPr>
          <w:rFonts w:ascii="Arial;sans-serif" w:hAnsi="Arial;sans-serif"/>
          <w:b w:val="false"/>
          <w:sz w:val="16"/>
        </w:rPr>
      </w:pPr>
      <w:r>
        <w:rPr>
          <w:rFonts w:ascii="Arial;sans-serif" w:hAnsi="Arial;sans-serif"/>
          <w:b w:val="false"/>
          <w:sz w:val="16"/>
        </w:rPr>
        <w:t>Amounts assume an annual bonus that is earned at 100% achievement, based on target bonus percentages in effect as of December 31, 2022.</w:t>
      </w:r>
    </w:p>
    <w:p>
      <w:pPr>
        <w:pStyle w:val="TextBody"/>
        <w:spacing w:before="240" w:after="0"/>
        <w:jc w:val="left"/>
        <w:rPr>
          <w:rFonts w:ascii="Arial;sans-serif" w:hAnsi="Arial;sans-serif"/>
          <w:b w:val="false"/>
          <w:sz w:val="20"/>
        </w:rPr>
      </w:pPr>
      <w:r>
        <w:rPr>
          <w:rFonts w:ascii="Arial;sans-serif" w:hAnsi="Arial;sans-serif"/>
          <w:b w:val="false"/>
          <w:sz w:val="20"/>
        </w:rPr>
        <w:t>The severance payments and benefits described above are subject to the executive’s execution and non-revocation of a general release of claims in favor of the Company and continued compliance with customary confidentiality and non-solicitation requirements, then, in addition to any accrued amounts.</w:t>
      </w:r>
    </w:p>
    <w:p>
      <w:pPr>
        <w:pStyle w:val="TextBody"/>
        <w:spacing w:before="240" w:after="0"/>
        <w:jc w:val="left"/>
        <w:rPr>
          <w:rFonts w:ascii="Times New Roman" w:hAnsi="Times New Roman"/>
          <w:sz w:val="20"/>
        </w:rPr>
      </w:pPr>
      <w:r>
        <w:rPr>
          <w:rFonts w:ascii="Arial;sans-serif" w:hAnsi="Arial;sans-serif"/>
          <w:b/>
          <w:sz w:val="20"/>
        </w:rPr>
        <w:t>Non-Employee Director Compensation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w:t>
      </w:r>
      <w:r>
        <w:rPr>
          <w:rFonts w:ascii="Arial;sans-serif" w:hAnsi="Arial;sans-serif"/>
          <w:b w:val="false"/>
          <w:i/>
          <w:sz w:val="20"/>
        </w:rPr>
        <w:t>Summary Compensation Table</w:t>
      </w:r>
      <w:r>
        <w:rPr>
          <w:rFonts w:ascii="Arial;sans-serif" w:hAnsi="Arial;sans-serif"/>
          <w:b w:val="false"/>
          <w:sz w:val="20"/>
        </w:rPr>
        <w:t>.” As of October 2022, following Mr. Konowiecki’s appointment to an executive role with the Company, Mr. Konowiecki also does not receive any compensation for his service as a director. See “</w:t>
      </w:r>
      <w:r>
        <w:rPr>
          <w:rFonts w:ascii="Arial;sans-serif" w:hAnsi="Arial;sans-serif"/>
          <w:b w:val="false"/>
          <w:i/>
          <w:sz w:val="20"/>
        </w:rPr>
        <w:t>Certain Relationships and Related Party Transactions—Related-Party Transactions—Konowiecki Employment Agreement</w:t>
      </w:r>
      <w:r>
        <w:rPr>
          <w:rFonts w:ascii="Arial;sans-serif" w:hAnsi="Arial;sans-serif"/>
          <w:b w:val="false"/>
          <w:sz w:val="20"/>
        </w:rPr>
        <w:t>.”</w:t>
      </w:r>
    </w:p>
    <w:p>
      <w:pPr>
        <w:pStyle w:val="TextBody"/>
        <w:spacing w:before="240" w:after="0"/>
        <w:jc w:val="left"/>
        <w:rPr>
          <w:rFonts w:ascii="Arial;sans-serif" w:hAnsi="Arial;sans-serif"/>
          <w:b w:val="false"/>
          <w:sz w:val="20"/>
        </w:rPr>
      </w:pPr>
      <w:r>
        <w:rPr>
          <w:rFonts w:ascii="Arial;sans-serif" w:hAnsi="Arial;sans-serif"/>
          <w:b w:val="false"/>
          <w:sz w:val="20"/>
        </w:rPr>
        <w:t>In February 2022, the Board adopted a revised non-employee director compensation policy (the “Policy”) and amended the Policy in October 2022 and February 2023. Under the Policy, as amended, newly elected non-employee directors will receive a one-time commencement award of restricted shares or restricted stock units equal to $200,000, with vesting annually over three years.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with vesting on the first anniversary of the grant date. Directors are permitted to defer receipt of their RSU awards until the earlier of (i) three years from the grant date (or, if earlier, separation from service or change of control), (ii) five years from the grant date (or, if earlier, separation from service or change of control), or (iii) separation form service (or, if earlier, change of control).</w:t>
      </w:r>
    </w:p>
    <w:p>
      <w:pPr>
        <w:pStyle w:val="TextBody"/>
        <w:spacing w:before="240" w:after="0"/>
        <w:jc w:val="left"/>
        <w:rPr>
          <w:rFonts w:ascii="Arial;sans-serif" w:hAnsi="Arial;sans-serif"/>
          <w:b w:val="false"/>
          <w:sz w:val="20"/>
        </w:rPr>
      </w:pPr>
      <w:r>
        <w:rPr>
          <w:rFonts w:ascii="Arial;sans-serif" w:hAnsi="Arial;sans-serif"/>
          <w:b w:val="false"/>
          <w:sz w:val="20"/>
        </w:rPr>
        <w:t>Under the Policy, in addition to the base annual compensation payable to each board member:</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 xml:space="preserve">an independent chairman of the Board, if applicable, will receive an annual retainer of $200,000 in restricted stock units or other long-term equity incentives, with vesting on occurring on the first anniversary of the grant date; </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a Lead Independent Director, if applicable, will receive an annual retainer of $35,000, payable 50% in cash and 50% in restricted stock units or other long-term equity incentives, with vesting on occurring on the first anniversary of the grant date;</w:t>
      </w:r>
    </w:p>
    <w:p>
      <w:pPr>
        <w:pStyle w:val="TextBody"/>
        <w:spacing w:before="200" w:after="0"/>
        <w:jc w:val="left"/>
        <w:rPr/>
      </w:pPr>
      <w:r>
        <w:rPr/>
        <w:t>•</w:t>
      </w:r>
    </w:p>
    <w:p>
      <w:pPr>
        <w:pStyle w:val="TextBody"/>
        <w:spacing w:before="200" w:after="283"/>
        <w:jc w:val="left"/>
        <w:rPr>
          <w:rFonts w:ascii="Arial;sans-serif" w:hAnsi="Arial;sans-serif"/>
          <w:b w:val="false"/>
          <w:sz w:val="20"/>
        </w:rPr>
      </w:pPr>
      <w:r>
        <w:rPr>
          <w:rFonts w:ascii="Arial;sans-serif" w:hAnsi="Arial;sans-serif"/>
          <w:b w:val="false"/>
          <w:sz w:val="20"/>
        </w:rPr>
        <w:t>the chairman of the Audit committee will receive an annual cash retainer of $25,000;</w:t>
      </w:r>
    </w:p>
    <w:p>
      <w:pPr>
        <w:pStyle w:val="TextBody"/>
        <w:spacing w:before="240" w:after="0"/>
        <w:jc w:val="center"/>
        <w:rPr>
          <w:rFonts w:ascii="Arial;sans-serif" w:hAnsi="Arial;sans-serif"/>
          <w:b w:val="false"/>
          <w:sz w:val="20"/>
        </w:rPr>
      </w:pPr>
      <w:r>
        <w:rPr>
          <w:rFonts w:ascii="Arial;sans-serif" w:hAnsi="Arial;sans-serif"/>
          <w:b w:val="false"/>
          <w:sz w:val="20"/>
        </w:rPr>
        <w:t>64</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members of the Audit Committee will receive an annual cash retainer of $10,000;</w:t>
      </w:r>
    </w:p>
    <w:p>
      <w:pPr>
        <w:pStyle w:val="TextBody"/>
        <w:spacing w:before="200" w:after="0"/>
        <w:jc w:val="left"/>
        <w:rPr/>
      </w:pPr>
      <w:r>
        <w:rPr/>
        <w:t>•</w:t>
      </w:r>
    </w:p>
    <w:p>
      <w:pPr>
        <w:pStyle w:val="TextBody"/>
        <w:spacing w:before="200" w:after="0"/>
        <w:jc w:val="left"/>
        <w:rPr>
          <w:rFonts w:ascii="Arial;sans-serif" w:hAnsi="Arial;sans-serif"/>
          <w:b w:val="false"/>
          <w:sz w:val="20"/>
        </w:rPr>
      </w:pPr>
      <w:r>
        <w:rPr>
          <w:rFonts w:ascii="Arial;sans-serif" w:hAnsi="Arial;sans-serif"/>
          <w:b w:val="false"/>
          <w:sz w:val="20"/>
        </w:rPr>
        <w:t xml:space="preserve">the chairman of the Compensation Committee and NCGCC will each receive an annual cash retainer of $20,000; and </w:t>
      </w:r>
    </w:p>
    <w:p>
      <w:pPr>
        <w:pStyle w:val="TextBody"/>
        <w:spacing w:before="200" w:after="0"/>
        <w:jc w:val="left"/>
        <w:rPr/>
      </w:pPr>
      <w:r>
        <w:rPr/>
        <w:t>•</w:t>
      </w:r>
    </w:p>
    <w:p>
      <w:pPr>
        <w:pStyle w:val="TextBody"/>
        <w:spacing w:before="200" w:after="283"/>
        <w:jc w:val="left"/>
        <w:rPr>
          <w:rFonts w:ascii="Arial;sans-serif" w:hAnsi="Arial;sans-serif"/>
          <w:b w:val="false"/>
          <w:sz w:val="20"/>
        </w:rPr>
      </w:pPr>
      <w:r>
        <w:rPr>
          <w:rFonts w:ascii="Arial;sans-serif" w:hAnsi="Arial;sans-serif"/>
          <w:b w:val="false"/>
          <w:sz w:val="20"/>
        </w:rPr>
        <w:t xml:space="preserve">each member of the Compensation Committee and NCGCC will receive an annual cash retainer of $7,500. </w:t>
      </w:r>
    </w:p>
    <w:p>
      <w:pPr>
        <w:pStyle w:val="TextBody"/>
        <w:spacing w:before="240" w:after="0"/>
        <w:jc w:val="left"/>
        <w:rPr>
          <w:rFonts w:ascii="Times New Roman" w:hAnsi="Times New Roman"/>
          <w:sz w:val="20"/>
        </w:rPr>
      </w:pPr>
      <w:r>
        <w:rPr>
          <w:rFonts w:ascii="Arial;sans-serif" w:hAnsi="Arial;sans-serif"/>
          <w:b w:val="false"/>
          <w:sz w:val="20"/>
        </w:rPr>
        <w:t>All cash retainers are paid in quarterly installments in arrears.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following table summarizes, for each of our non-employee directors, the compensation received by such director for the year ended December 31, 2022.</w:t>
      </w:r>
      <w:r>
        <w:rPr>
          <w:rFonts w:ascii="Times New Roman" w:hAnsi="Times New Roman"/>
          <w:sz w:val="20"/>
        </w:rPr>
        <w:t xml:space="preserve"> </w:t>
      </w:r>
    </w:p>
    <w:tbl>
      <w:tblPr>
        <w:tblW w:w="8383" w:type="dxa"/>
        <w:jc w:val="left"/>
        <w:tblInd w:w="0" w:type="dxa"/>
        <w:tblCellMar>
          <w:top w:w="28" w:type="dxa"/>
          <w:left w:w="28" w:type="dxa"/>
          <w:bottom w:w="28" w:type="dxa"/>
          <w:right w:w="28" w:type="dxa"/>
        </w:tblCellMar>
      </w:tblPr>
      <w:tblGrid>
        <w:gridCol w:w="1651"/>
        <w:gridCol w:w="2446"/>
        <w:gridCol w:w="1321"/>
        <w:gridCol w:w="2026"/>
        <w:gridCol w:w="939"/>
      </w:tblGrid>
      <w:tr>
        <w:trPr/>
        <w:tc>
          <w:tcPr>
            <w:tcW w:w="1651"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16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Fees Earned or Paid in Cash</w:t>
            </w:r>
            <w:r>
              <w:rPr>
                <w:rFonts w:ascii="Arial;sans-serif" w:hAnsi="Arial;sans-serif"/>
                <w:b/>
                <w:sz w:val="11"/>
              </w:rPr>
              <w:t>(1)</w:t>
            </w:r>
          </w:p>
          <w:p>
            <w:pPr>
              <w:pStyle w:val="TableContents"/>
              <w:spacing w:before="0" w:after="0"/>
              <w:ind w:left="0" w:right="0" w:hanging="0"/>
              <w:jc w:val="center"/>
              <w:rPr>
                <w:rFonts w:ascii="Arial;sans-serif" w:hAnsi="Arial;sans-serif"/>
                <w:b/>
                <w:sz w:val="16"/>
              </w:rPr>
            </w:pPr>
            <w:r>
              <w:rPr>
                <w:rFonts w:ascii="Arial;sans-serif" w:hAnsi="Arial;sans-serif"/>
                <w:b/>
                <w:sz w:val="16"/>
              </w:rPr>
              <w:t>($)</w:t>
            </w:r>
          </w:p>
        </w:tc>
        <w:tc>
          <w:tcPr>
            <w:tcW w:w="132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Stock Awards</w:t>
            </w:r>
            <w:r>
              <w:rPr>
                <w:rFonts w:ascii="Arial;sans-serif" w:hAnsi="Arial;sans-serif"/>
                <w:b/>
                <w:sz w:val="11"/>
              </w:rPr>
              <w:t>(2)</w:t>
            </w:r>
          </w:p>
          <w:p>
            <w:pPr>
              <w:pStyle w:val="TableContents"/>
              <w:spacing w:before="0" w:after="0"/>
              <w:ind w:left="0" w:right="0" w:hanging="0"/>
              <w:jc w:val="center"/>
              <w:rPr>
                <w:rFonts w:ascii="Arial;sans-serif" w:hAnsi="Arial;sans-serif"/>
                <w:b/>
                <w:sz w:val="16"/>
              </w:rPr>
            </w:pPr>
            <w:r>
              <w:rPr>
                <w:rFonts w:ascii="Arial;sans-serif" w:hAnsi="Arial;sans-serif"/>
                <w:b/>
                <w:sz w:val="16"/>
              </w:rPr>
              <w:t>($)</w:t>
            </w:r>
          </w:p>
        </w:tc>
        <w:tc>
          <w:tcPr>
            <w:tcW w:w="202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All Other Compensation</w:t>
              <w:br/>
              <w:t>($)</w:t>
            </w:r>
          </w:p>
        </w:tc>
        <w:tc>
          <w:tcPr>
            <w:tcW w:w="93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p>
            <w:pPr>
              <w:pStyle w:val="TableContents"/>
              <w:spacing w:before="0" w:after="0"/>
              <w:ind w:left="0" w:right="0" w:firstLine="68"/>
              <w:jc w:val="center"/>
              <w:rPr>
                <w:rFonts w:ascii="Arial;sans-serif" w:hAnsi="Arial;sans-serif"/>
                <w:b/>
                <w:sz w:val="16"/>
              </w:rPr>
            </w:pPr>
            <w:r>
              <w:rPr>
                <w:rFonts w:ascii="Arial;sans-serif" w:hAnsi="Arial;sans-serif"/>
                <w:b/>
                <w:sz w:val="16"/>
              </w:rPr>
              <w:t>($)</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Jody Bilney</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55,625</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400,000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455,625</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Thomas Carella</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57,500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200,000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257,500</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David Hodgson</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120,000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150,000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270,000</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Yon Jorden</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57,500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400,000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457,500</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Times New Roman" w:hAnsi="Times New Roman"/>
                <w:sz w:val="16"/>
              </w:rPr>
            </w:pPr>
            <w:r>
              <w:rPr>
                <w:rFonts w:ascii="Arial;sans-serif" w:hAnsi="Arial;sans-serif"/>
                <w:b w:val="false"/>
                <w:sz w:val="16"/>
              </w:rPr>
              <w:t>Joseph Konowiecki</w:t>
            </w:r>
            <w:r>
              <w:rPr>
                <w:rFonts w:ascii="Arial;sans-serif" w:hAnsi="Arial;sans-serif"/>
                <w:b w:val="false"/>
                <w:sz w:val="11"/>
              </w:rPr>
              <w:t>(3)</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258,333</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200,000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val="false"/>
                <w:sz w:val="16"/>
              </w:rPr>
              <w:t>1,085,645</w:t>
            </w:r>
            <w:r>
              <w:rPr>
                <w:rFonts w:ascii="Arial;sans-serif" w:hAnsi="Arial;sans-serif"/>
                <w:b w:val="false"/>
                <w:sz w:val="11"/>
              </w:rPr>
              <w:t>(4)</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1,543,978</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Jacqueline Kosecoff</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115,625</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150,000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265,625</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Jeffrey Margolis</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100,000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175,000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275,000</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Margaret McCarthy</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112,917</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167,500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280,417</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Mark McClellan</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100,000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150,000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68"/>
              <w:jc w:val="center"/>
              <w:rPr>
                <w:rFonts w:ascii="Arial;sans-serif" w:hAnsi="Arial;sans-serif"/>
                <w:b w:val="false"/>
                <w:sz w:val="16"/>
              </w:rPr>
            </w:pPr>
            <w:r>
              <w:rPr>
                <w:rFonts w:ascii="Arial;sans-serif" w:hAnsi="Arial;sans-serif"/>
                <w:b w:val="false"/>
                <w:sz w:val="16"/>
              </w:rPr>
              <w:t>250,000</w:t>
            </w:r>
          </w:p>
        </w:tc>
      </w:tr>
      <w:tr>
        <w:trPr/>
        <w:tc>
          <w:tcPr>
            <w:tcW w:w="165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68" w:right="0" w:hanging="0"/>
              <w:jc w:val="left"/>
              <w:rPr>
                <w:rFonts w:ascii="Arial;sans-serif" w:hAnsi="Arial;sans-serif"/>
                <w:b w:val="false"/>
                <w:sz w:val="16"/>
              </w:rPr>
            </w:pPr>
            <w:r>
              <w:rPr>
                <w:rFonts w:ascii="Arial;sans-serif" w:hAnsi="Arial;sans-serif"/>
                <w:b w:val="false"/>
                <w:sz w:val="16"/>
              </w:rPr>
              <w:t>Robbert Vorhoff</w:t>
            </w:r>
          </w:p>
        </w:tc>
        <w:tc>
          <w:tcPr>
            <w:tcW w:w="244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120,000</w:t>
            </w:r>
          </w:p>
        </w:tc>
        <w:tc>
          <w:tcPr>
            <w:tcW w:w="1321"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150,000</w:t>
            </w:r>
          </w:p>
        </w:tc>
        <w:tc>
          <w:tcPr>
            <w:tcW w:w="2026"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hanging="0"/>
              <w:jc w:val="center"/>
              <w:rPr/>
            </w:pPr>
            <w:r>
              <w:rPr/>
              <w:t>—</w:t>
            </w:r>
          </w:p>
        </w:tc>
        <w:tc>
          <w:tcPr>
            <w:tcW w:w="939"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270,000</w:t>
            </w:r>
          </w:p>
        </w:tc>
      </w:tr>
    </w:tbl>
    <w:p>
      <w:pPr>
        <w:pStyle w:val="TextBody"/>
        <w:spacing w:before="160" w:after="0"/>
        <w:jc w:val="left"/>
        <w:rPr>
          <w:rFonts w:ascii="Times New Roman" w:hAnsi="Times New Roman"/>
          <w:b w:val="false"/>
          <w:sz w:val="16"/>
        </w:rPr>
      </w:pPr>
      <w:r>
        <w:rPr>
          <w:rFonts w:ascii="Times New Roman" w:hAnsi="Times New Roman"/>
          <w:b w:val="false"/>
          <w:sz w:val="16"/>
        </w:rPr>
        <w:t>(1)</w:t>
      </w:r>
    </w:p>
    <w:p>
      <w:pPr>
        <w:pStyle w:val="TextBody"/>
        <w:spacing w:before="160" w:after="0"/>
        <w:jc w:val="left"/>
        <w:rPr>
          <w:rFonts w:ascii="Arial;sans-serif" w:hAnsi="Arial;sans-serif"/>
          <w:b w:val="false"/>
          <w:sz w:val="16"/>
        </w:rPr>
      </w:pPr>
      <w:r>
        <w:rPr>
          <w:rFonts w:ascii="Arial;sans-serif" w:hAnsi="Arial;sans-serif"/>
          <w:b w:val="false"/>
          <w:sz w:val="16"/>
        </w:rPr>
        <w:t>Includes fees earned with respect to Board and committee service during calendar year 2022.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Committee fees range from $7,500 to $10,000 annually, with committee chairs receiving $20,000 to $25,000 annually, in each case payable in cash. Certain amounts are prorated for partial-year service.</w:t>
      </w:r>
    </w:p>
    <w:p>
      <w:pPr>
        <w:pStyle w:val="TextBody"/>
        <w:spacing w:before="160" w:after="160"/>
        <w:jc w:val="left"/>
        <w:rPr>
          <w:rFonts w:ascii="Times New Roman" w:hAnsi="Times New Roman"/>
          <w:b w:val="false"/>
          <w:sz w:val="16"/>
        </w:rPr>
      </w:pPr>
      <w:r>
        <w:rPr>
          <w:rFonts w:ascii="Times New Roman" w:hAnsi="Times New Roman"/>
          <w:b w:val="false"/>
          <w:sz w:val="16"/>
        </w:rPr>
        <w:t>(2)</w:t>
      </w:r>
    </w:p>
    <w:p>
      <w:pPr>
        <w:pStyle w:val="TextBody"/>
        <w:spacing w:before="160" w:after="160"/>
        <w:jc w:val="left"/>
        <w:rPr>
          <w:rFonts w:ascii="Arial;sans-serif" w:hAnsi="Arial;sans-serif"/>
          <w:b w:val="false"/>
          <w:sz w:val="16"/>
        </w:rPr>
      </w:pPr>
      <w:r>
        <w:rPr>
          <w:rFonts w:ascii="Arial;sans-serif" w:hAnsi="Arial;sans-serif"/>
          <w:b w:val="false"/>
          <w:sz w:val="16"/>
        </w:rPr>
        <w:t>Represents the grant date fair values associated with the grant of RSUs of Alignment, computed in accordance with FASB ASC Topic 718. For Ms. Bilney and Ms. Jorden, represents the value of the one-time commencement award of restricted stock units under the Policy as then in effect. For Mr. Konowiecki, represents the fair value of the award of restricted stock units for service as the independent chairman of the Board. For additional information on the assumptions used in computing the amounts reported herein, see Note 10 to the Consolidated Financial Statements included in the Company's Annual Report on Form 10-K for the year ended December 31, 2022. As of December 31, 2022, each of the directors held unvested, outstanding stock awards and stock options as follows:</w:t>
      </w:r>
    </w:p>
    <w:tbl>
      <w:tblPr>
        <w:tblW w:w="4639" w:type="dxa"/>
        <w:jc w:val="left"/>
        <w:tblInd w:w="0" w:type="dxa"/>
        <w:tblCellMar>
          <w:top w:w="28" w:type="dxa"/>
          <w:left w:w="28" w:type="dxa"/>
          <w:bottom w:w="28" w:type="dxa"/>
          <w:right w:w="28" w:type="dxa"/>
        </w:tblCellMar>
      </w:tblPr>
      <w:tblGrid>
        <w:gridCol w:w="1651"/>
        <w:gridCol w:w="1501"/>
        <w:gridCol w:w="691"/>
        <w:gridCol w:w="796"/>
      </w:tblGrid>
      <w:tr>
        <w:trPr/>
        <w:tc>
          <w:tcPr>
            <w:tcW w:w="1651"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16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Restricted Shares</w:t>
              <w:br/>
              <w:t>(#)</w:t>
            </w:r>
          </w:p>
        </w:tc>
        <w:tc>
          <w:tcPr>
            <w:tcW w:w="6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RSUs </w:t>
              <w:br/>
              <w:t>(#)</w:t>
            </w:r>
          </w:p>
        </w:tc>
        <w:tc>
          <w:tcPr>
            <w:tcW w:w="79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Options</w:t>
              <w:b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Jody Bilney</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28,674</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Thomas Carella</w:t>
            </w:r>
            <w:r>
              <w:rPr>
                <w:rFonts w:ascii="Times New Roman" w:hAnsi="Times New Roman"/>
                <w:sz w:val="16"/>
              </w:rPr>
              <w:t xml:space="preserve"> </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44,074</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David Hodgson</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38,219</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Yon Jorden</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28,674</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Joseph Konowiecki</w:t>
            </w:r>
            <w:r>
              <w:rPr>
                <w:rFonts w:ascii="Arial;sans-serif" w:hAnsi="Arial;sans-serif"/>
                <w:b w:val="false"/>
                <w:sz w:val="11"/>
              </w:rPr>
              <w:t>(a)</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51,136</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109,018</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35,817</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Jacqueline Kosecoff</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16,106</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38,555</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Jeffrey Margolis</w:t>
            </w:r>
            <w:r>
              <w:rPr>
                <w:rFonts w:ascii="Arial;sans-serif" w:hAnsi="Arial;sans-serif"/>
                <w:b w:val="false"/>
                <w:sz w:val="11"/>
              </w:rPr>
              <w:t>(b)</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29,673</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41,315</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Margaret McCarthy</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39,984</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Mark McClellan</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24,703</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38,555</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r>
        <w:trPr/>
        <w:tc>
          <w:tcPr>
            <w:tcW w:w="165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Robbert Vorhoff</w:t>
            </w:r>
          </w:p>
        </w:tc>
        <w:tc>
          <w:tcPr>
            <w:tcW w:w="150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38,219</w:t>
            </w:r>
          </w:p>
        </w:tc>
        <w:tc>
          <w:tcPr>
            <w:tcW w:w="796" w:type="dxa"/>
            <w:tcBorders>
              <w:left w:val="single" w:sz="2" w:space="0" w:color="000000"/>
              <w:bottom w:val="single" w:sz="2" w:space="0" w:color="000000"/>
            </w:tcBorders>
            <w:shd w:fill="auto" w:val="clear"/>
            <w:tcMar>
              <w:top w:w="0" w:type="dxa"/>
              <w:left w:w="108" w:type="dxa"/>
              <w:right w:w="0" w:type="dxa"/>
            </w:tcMar>
            <w:vAlign w:val="center"/>
          </w:tcPr>
          <w:p>
            <w:pPr>
              <w:pStyle w:val="TableContents"/>
              <w:spacing w:before="0" w:after="0"/>
              <w:ind w:left="0" w:right="0" w:hanging="0"/>
              <w:jc w:val="right"/>
              <w:rPr/>
            </w:pPr>
            <w:r>
              <w:rPr/>
              <w:t>—</w:t>
            </w:r>
          </w:p>
        </w:tc>
      </w:tr>
    </w:tbl>
    <w:p>
      <w:pPr>
        <w:pStyle w:val="TextBody"/>
        <w:spacing w:before="120" w:after="0"/>
        <w:jc w:val="left"/>
        <w:rPr>
          <w:rFonts w:ascii="Arial" w:hAnsi="Arial"/>
          <w:b w:val="false"/>
          <w:sz w:val="16"/>
        </w:rPr>
      </w:pPr>
      <w:r>
        <w:rPr>
          <w:rFonts w:ascii="Arial" w:hAnsi="Arial"/>
          <w:b w:val="false"/>
          <w:sz w:val="16"/>
        </w:rPr>
        <w:t>(a)</w:t>
      </w:r>
    </w:p>
    <w:p>
      <w:pPr>
        <w:pStyle w:val="TextBody"/>
        <w:spacing w:before="120" w:after="283"/>
        <w:jc w:val="left"/>
        <w:rPr>
          <w:rFonts w:ascii="Arial;sans-serif" w:hAnsi="Arial;sans-serif"/>
          <w:b w:val="false"/>
          <w:sz w:val="16"/>
        </w:rPr>
      </w:pPr>
      <w:r>
        <w:rPr>
          <w:rFonts w:ascii="Arial;sans-serif" w:hAnsi="Arial;sans-serif"/>
          <w:b w:val="false"/>
          <w:sz w:val="16"/>
        </w:rPr>
        <w:t>Includes awards granted in connection with Mr. Konowiecki’s consulting agreement with the Company dated January 1, 2022 and his employment agreement with the Company dated October 31, 2022.</w:t>
      </w:r>
    </w:p>
    <w:p>
      <w:pPr>
        <w:pStyle w:val="TextBody"/>
        <w:spacing w:before="240" w:after="0"/>
        <w:jc w:val="center"/>
        <w:rPr>
          <w:rFonts w:ascii="Arial;sans-serif" w:hAnsi="Arial;sans-serif"/>
          <w:b w:val="false"/>
          <w:sz w:val="20"/>
        </w:rPr>
      </w:pPr>
      <w:r>
        <w:rPr>
          <w:rFonts w:ascii="Arial;sans-serif" w:hAnsi="Arial;sans-serif"/>
          <w:b w:val="false"/>
          <w:sz w:val="20"/>
        </w:rPr>
        <w:t>65</w:t>
      </w:r>
    </w:p>
    <w:p>
      <w:pPr>
        <w:pStyle w:val="HorizontalLine"/>
        <w:rPr/>
      </w:pPr>
      <w:r>
        <w:rPr/>
      </w:r>
    </w:p>
    <w:p>
      <w:pPr>
        <w:pStyle w:val="TextBody"/>
        <w:spacing w:before="0" w:after="0"/>
        <w:jc w:val="left"/>
        <w:rPr/>
      </w:pPr>
      <w:r>
        <w:rPr/>
        <w:t> </w:t>
      </w:r>
    </w:p>
    <w:p>
      <w:pPr>
        <w:pStyle w:val="TextBody"/>
        <w:spacing w:before="120" w:after="0"/>
        <w:jc w:val="left"/>
        <w:rPr>
          <w:rFonts w:ascii="Arial" w:hAnsi="Arial"/>
          <w:b w:val="false"/>
          <w:sz w:val="16"/>
        </w:rPr>
      </w:pPr>
      <w:r>
        <w:rPr>
          <w:rFonts w:ascii="Arial" w:hAnsi="Arial"/>
          <w:b w:val="false"/>
          <w:sz w:val="16"/>
        </w:rPr>
        <w:t>(b)</w:t>
      </w:r>
    </w:p>
    <w:p>
      <w:pPr>
        <w:pStyle w:val="TextBody"/>
        <w:spacing w:before="120" w:after="0"/>
        <w:jc w:val="left"/>
        <w:rPr>
          <w:rFonts w:ascii="Arial;sans-serif" w:hAnsi="Arial;sans-serif"/>
          <w:b w:val="false"/>
          <w:sz w:val="16"/>
        </w:rPr>
      </w:pPr>
      <w:r>
        <w:rPr>
          <w:rFonts w:ascii="Arial;sans-serif" w:hAnsi="Arial;sans-serif"/>
          <w:b w:val="false"/>
          <w:sz w:val="16"/>
        </w:rPr>
        <w:t>Of this amount, 29,673 unvested restricted shares are held by the Margolis Family Trust 12/23/98, of which Jeffrey Margolis is the trustee.</w:t>
      </w:r>
    </w:p>
    <w:p>
      <w:pPr>
        <w:pStyle w:val="TextBody"/>
        <w:spacing w:before="160" w:after="160"/>
        <w:jc w:val="left"/>
        <w:rPr>
          <w:rFonts w:ascii="Times New Roman" w:hAnsi="Times New Roman"/>
          <w:b w:val="false"/>
          <w:sz w:val="16"/>
        </w:rPr>
      </w:pPr>
      <w:r>
        <w:rPr>
          <w:rFonts w:ascii="Times New Roman" w:hAnsi="Times New Roman"/>
          <w:b w:val="false"/>
          <w:sz w:val="16"/>
        </w:rPr>
        <w:t>(3)</w:t>
      </w:r>
    </w:p>
    <w:p>
      <w:pPr>
        <w:pStyle w:val="TextBody"/>
        <w:spacing w:before="160" w:after="160"/>
        <w:jc w:val="left"/>
        <w:rPr/>
      </w:pPr>
      <w:r>
        <w:rPr>
          <w:rFonts w:ascii="Arial;sans-serif" w:hAnsi="Arial;sans-serif"/>
          <w:b w:val="false"/>
          <w:sz w:val="16"/>
        </w:rPr>
        <w:t>Mr. Konowiecki serves as our Chairman of the Board and, effective October 31, 2022, was appointed to an executive role leading strategic network and business development. Effective upon his appointment to an executive role, we began compensating Mr. Konowiecki under the terms of his employment agreement (see “</w:t>
      </w:r>
      <w:r>
        <w:rPr>
          <w:rFonts w:ascii="Arial;sans-serif" w:hAnsi="Arial;sans-serif"/>
          <w:b w:val="false"/>
          <w:i/>
          <w:sz w:val="16"/>
        </w:rPr>
        <w:t>Certain Relationships and Related Party Transactions—Related-Party Transactions—Konowiecki Employment Agreement</w:t>
      </w:r>
      <w:r>
        <w:rPr/>
        <w:t>”</w:t>
      </w:r>
      <w:r>
        <w:rPr>
          <w:rFonts w:ascii="Arial;sans-serif" w:hAnsi="Arial;sans-serif"/>
          <w:b w:val="false"/>
          <w:sz w:val="16"/>
        </w:rPr>
        <w:t>) and he ceased to be compensated under the Policy. For so long as he continues to serve in an executive role, he will receive no additional compensation for his service as a director or as Chairman of the Board.</w:t>
      </w:r>
    </w:p>
    <w:p>
      <w:pPr>
        <w:pStyle w:val="TextBody"/>
        <w:spacing w:before="160" w:after="160"/>
        <w:jc w:val="left"/>
        <w:rPr>
          <w:rFonts w:ascii="Times New Roman" w:hAnsi="Times New Roman"/>
          <w:b w:val="false"/>
          <w:sz w:val="16"/>
        </w:rPr>
      </w:pPr>
      <w:r>
        <w:rPr>
          <w:rFonts w:ascii="Times New Roman" w:hAnsi="Times New Roman"/>
          <w:b w:val="false"/>
          <w:sz w:val="16"/>
        </w:rPr>
        <w:t>(4)</w:t>
      </w:r>
    </w:p>
    <w:p>
      <w:pPr>
        <w:pStyle w:val="TextBody"/>
        <w:spacing w:before="160" w:after="160"/>
        <w:jc w:val="left"/>
        <w:rPr>
          <w:rFonts w:ascii="Arial;sans-serif" w:hAnsi="Arial;sans-serif"/>
          <w:b w:val="false"/>
          <w:sz w:val="16"/>
        </w:rPr>
      </w:pPr>
      <w:r>
        <w:rPr>
          <w:rFonts w:ascii="Arial;sans-serif" w:hAnsi="Arial;sans-serif"/>
          <w:b w:val="false"/>
          <w:sz w:val="16"/>
        </w:rPr>
        <w:t>Includes (a) RSUs with a grant date fair value of $100,000, computed in accordance with FASB ASC Topic 718, issued to Mr. Konowiecki pursuant to a consulting agreement with the Company; (b) RSUs and stock options with grant date fair values of $660,349 and $250,003, respectively, computed in accordance with FASB ASC Topic 718, issued to Mr. Konowiecki pursuant to his employment agreement with the Company; and (c) $75,293 in cash compensation paid to Mr. Konowiecki pursuant to his employment agreement with the Company.</w:t>
      </w:r>
    </w:p>
    <w:p>
      <w:pPr>
        <w:pStyle w:val="TextBody"/>
        <w:spacing w:before="240" w:after="0"/>
        <w:jc w:val="left"/>
        <w:rPr>
          <w:rFonts w:ascii="Arial;sans-serif" w:hAnsi="Arial;sans-serif"/>
          <w:b/>
          <w:i/>
          <w:sz w:val="20"/>
        </w:rPr>
      </w:pPr>
      <w:r>
        <w:rPr>
          <w:rFonts w:ascii="Arial;sans-serif" w:hAnsi="Arial;sans-serif"/>
          <w:b/>
          <w:i/>
          <w:sz w:val="20"/>
        </w:rPr>
        <w:t>Director Stock Ownership Policy</w:t>
      </w:r>
    </w:p>
    <w:p>
      <w:pPr>
        <w:pStyle w:val="TextBody"/>
        <w:spacing w:before="240" w:after="0"/>
        <w:jc w:val="left"/>
        <w:rPr>
          <w:rFonts w:ascii="Arial;sans-serif" w:hAnsi="Arial;sans-serif"/>
          <w:b w:val="false"/>
          <w:sz w:val="20"/>
        </w:rPr>
      </w:pPr>
      <w:r>
        <w:rPr>
          <w:rFonts w:ascii="Arial;sans-serif" w:hAnsi="Arial;sans-serif"/>
          <w:b w:val="false"/>
          <w:sz w:val="20"/>
        </w:rPr>
        <w:t>In February 2022, our Board adopted a stock ownership policy for our non-employee directors. The policy requires each non-employee director to hold shares of Company common stock having an aggregate market value of at least $400,000 by the later of (i) February 25, 2027 or (ii) five years from the date of their appointment.</w:t>
      </w:r>
    </w:p>
    <w:p>
      <w:pPr>
        <w:pStyle w:val="TextBody"/>
        <w:spacing w:before="200" w:after="0"/>
        <w:jc w:val="left"/>
        <w:rPr>
          <w:rFonts w:ascii="Arial;sans-serif" w:hAnsi="Arial;sans-serif"/>
          <w:b/>
          <w:sz w:val="20"/>
        </w:rPr>
      </w:pPr>
      <w:bookmarkStart w:id="33" w:name="pay_versus_performance"/>
      <w:bookmarkEnd w:id="33"/>
      <w:r>
        <w:rPr>
          <w:rFonts w:ascii="Arial;sans-serif" w:hAnsi="Arial;sans-serif"/>
          <w:b/>
          <w:sz w:val="20"/>
        </w:rPr>
        <w:t>Pay Versus Performance</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The following table and supporting graphics below set out information regarding fiscal years ended December 31, 2022, and 2021 in satisfaction of Item 402(v) of Regulation S-K, which requires disclosure regarding executive “Compensation Actually Paid” or “CAP” (as calculated in accordance with SEC rules) as compared to certain Company performance measures. You should refer to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in this proxy statement for a complete description of how executive compensation relates to Company performance and how the Compensation Committee makes its decisions.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1"/>
        <w:gridCol w:w="1274"/>
        <w:gridCol w:w="1185"/>
        <w:gridCol w:w="1437"/>
        <w:gridCol w:w="1342"/>
        <w:gridCol w:w="799"/>
        <w:gridCol w:w="1512"/>
        <w:gridCol w:w="969"/>
        <w:gridCol w:w="1046"/>
      </w:tblGrid>
      <w:tr>
        <w:trPr/>
        <w:tc>
          <w:tcPr>
            <w:tcW w:w="64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27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185"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3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4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2311"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Year-end value of $100 invested on 3/26/2021 in:</w:t>
            </w:r>
          </w:p>
        </w:tc>
        <w:tc>
          <w:tcPr>
            <w:tcW w:w="9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0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w:t>
            </w:r>
          </w:p>
          <w:p>
            <w:pPr>
              <w:pStyle w:val="TableContents"/>
              <w:spacing w:before="0" w:after="0"/>
              <w:ind w:left="0" w:right="0" w:hanging="0"/>
              <w:jc w:val="center"/>
              <w:rPr/>
            </w:pPr>
            <w:r>
              <w:rPr/>
              <w:t> </w:t>
            </w:r>
          </w:p>
        </w:tc>
        <w:tc>
          <w:tcPr>
            <w:tcW w:w="127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Summary Comp. Table Total for John Kao</w:t>
            </w:r>
            <w:r>
              <w:rPr>
                <w:rFonts w:ascii="Arial;sans-serif" w:hAnsi="Arial;sans-serif"/>
                <w:b/>
                <w:sz w:val="11"/>
              </w:rPr>
              <w:t>(1)</w:t>
            </w:r>
            <w:r>
              <w:rPr>
                <w:rFonts w:ascii="Arial;sans-serif" w:hAnsi="Arial;sans-serif"/>
                <w:b/>
                <w:sz w:val="16"/>
              </w:rPr>
              <w:br/>
              <w:t>($)</w:t>
            </w:r>
          </w:p>
        </w:tc>
        <w:tc>
          <w:tcPr>
            <w:tcW w:w="118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Comp. Actually Paid to John Kao</w:t>
            </w:r>
            <w:r>
              <w:rPr>
                <w:rFonts w:ascii="Times New Roman" w:hAnsi="Times New Roman"/>
                <w:sz w:val="16"/>
              </w:rPr>
              <w:t> </w:t>
            </w:r>
            <w:r>
              <w:rPr>
                <w:rFonts w:ascii="Arial;sans-serif" w:hAnsi="Arial;sans-serif"/>
                <w:b/>
                <w:sz w:val="11"/>
              </w:rPr>
              <w:t>(2)</w:t>
            </w:r>
            <w:r>
              <w:rPr>
                <w:rFonts w:ascii="Arial;sans-serif" w:hAnsi="Arial;sans-serif"/>
                <w:b/>
                <w:sz w:val="16"/>
              </w:rPr>
              <w:br/>
              <w:t>($)</w:t>
            </w:r>
          </w:p>
        </w:tc>
        <w:tc>
          <w:tcPr>
            <w:tcW w:w="143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Average Summary Comp. Table Total for Non-PEO NEOs</w:t>
            </w:r>
            <w:r>
              <w:rPr>
                <w:rFonts w:ascii="Times New Roman" w:hAnsi="Times New Roman"/>
                <w:sz w:val="16"/>
              </w:rPr>
              <w:t> </w:t>
            </w:r>
            <w:r>
              <w:rPr>
                <w:rFonts w:ascii="Arial;sans-serif" w:hAnsi="Arial;sans-serif"/>
                <w:b/>
                <w:sz w:val="11"/>
              </w:rPr>
              <w:t>(3)</w:t>
            </w:r>
            <w:r>
              <w:rPr>
                <w:rFonts w:ascii="Arial;sans-serif" w:hAnsi="Arial;sans-serif"/>
                <w:b/>
                <w:sz w:val="16"/>
              </w:rPr>
              <w:br/>
              <w:t>($)</w:t>
            </w:r>
          </w:p>
        </w:tc>
        <w:tc>
          <w:tcPr>
            <w:tcW w:w="134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Average Comp. Actually Paid to Non-PEO NEOs</w:t>
            </w:r>
            <w:r>
              <w:rPr>
                <w:rFonts w:ascii="Times New Roman" w:hAnsi="Times New Roman"/>
                <w:sz w:val="16"/>
              </w:rPr>
              <w:t> </w:t>
            </w:r>
            <w:r>
              <w:rPr>
                <w:rFonts w:ascii="Arial;sans-serif" w:hAnsi="Arial;sans-serif"/>
                <w:b/>
                <w:sz w:val="11"/>
              </w:rPr>
              <w:t>(4)</w:t>
            </w:r>
            <w:r>
              <w:rPr>
                <w:rFonts w:ascii="Arial;sans-serif" w:hAnsi="Arial;sans-serif"/>
                <w:b/>
                <w:sz w:val="16"/>
              </w:rPr>
              <w:br/>
              <w:t>($</w:t>
            </w:r>
          </w:p>
        </w:tc>
        <w:tc>
          <w:tcPr>
            <w:tcW w:w="7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ALHC</w:t>
            </w:r>
            <w:r>
              <w:rPr>
                <w:rFonts w:ascii="Arial;sans-serif" w:hAnsi="Arial;sans-serif"/>
                <w:b/>
                <w:sz w:val="11"/>
              </w:rPr>
              <w:t>(5)</w:t>
            </w:r>
            <w:r>
              <w:rPr>
                <w:rFonts w:ascii="Arial;sans-serif" w:hAnsi="Arial;sans-serif"/>
                <w:b/>
                <w:sz w:val="16"/>
              </w:rPr>
              <w:br/>
              <w:t>($)</w:t>
            </w:r>
          </w:p>
        </w:tc>
        <w:tc>
          <w:tcPr>
            <w:tcW w:w="15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NASDAQ Healthcare Index Total Shareholder Return</w:t>
            </w:r>
            <w:r>
              <w:rPr>
                <w:rFonts w:ascii="Arial;sans-serif" w:hAnsi="Arial;sans-serif"/>
                <w:b/>
                <w:sz w:val="11"/>
              </w:rPr>
              <w:t>(6)</w:t>
            </w:r>
            <w:r>
              <w:rPr>
                <w:rFonts w:ascii="Arial;sans-serif" w:hAnsi="Arial;sans-serif"/>
                <w:b/>
                <w:sz w:val="16"/>
              </w:rPr>
              <w:br/>
              <w:t>($)</w:t>
            </w:r>
          </w:p>
        </w:tc>
        <w:tc>
          <w:tcPr>
            <w:tcW w:w="96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Net Income</w:t>
              <w:br/>
              <w:t>(in millions)</w:t>
            </w:r>
            <w:r>
              <w:rPr>
                <w:rFonts w:ascii="Times New Roman" w:hAnsi="Times New Roman"/>
                <w:sz w:val="16"/>
              </w:rPr>
              <w:t> </w:t>
            </w:r>
            <w:r>
              <w:rPr>
                <w:rFonts w:ascii="Arial;sans-serif" w:hAnsi="Arial;sans-serif"/>
                <w:b/>
                <w:sz w:val="11"/>
              </w:rPr>
              <w:t>(7)</w:t>
            </w:r>
            <w:r>
              <w:rPr>
                <w:rFonts w:ascii="Arial;sans-serif" w:hAnsi="Arial;sans-serif"/>
                <w:b/>
                <w:sz w:val="16"/>
              </w:rPr>
              <w:br/>
              <w:t>($)</w:t>
            </w:r>
          </w:p>
        </w:tc>
        <w:tc>
          <w:tcPr>
            <w:tcW w:w="10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Adj. Gross Profit</w:t>
              <w:br/>
              <w:t>(in millions)</w:t>
            </w:r>
            <w:r>
              <w:rPr>
                <w:rFonts w:ascii="Times New Roman" w:hAnsi="Times New Roman"/>
                <w:sz w:val="16"/>
              </w:rPr>
              <w:t> </w:t>
            </w:r>
            <w:r>
              <w:rPr>
                <w:rFonts w:ascii="Arial;sans-serif" w:hAnsi="Arial;sans-serif"/>
                <w:b/>
                <w:sz w:val="11"/>
              </w:rPr>
              <w:t>(8)</w:t>
            </w:r>
            <w:r>
              <w:rPr>
                <w:rFonts w:ascii="Arial;sans-serif" w:hAnsi="Arial;sans-serif"/>
                <w:b/>
                <w:sz w:val="16"/>
              </w:rPr>
              <w:br/>
              <w:t>($)</w:t>
            </w:r>
          </w:p>
        </w:tc>
      </w:tr>
      <w:tr>
        <w:trPr/>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60"/>
              <w:jc w:val="center"/>
              <w:rPr>
                <w:rFonts w:ascii="Arial;sans-serif" w:hAnsi="Arial;sans-serif"/>
                <w:b w:val="false"/>
                <w:sz w:val="16"/>
              </w:rPr>
            </w:pPr>
            <w:r>
              <w:rPr>
                <w:rFonts w:ascii="Arial;sans-serif" w:hAnsi="Arial;sans-serif"/>
                <w:b w:val="false"/>
                <w:sz w:val="16"/>
              </w:rPr>
              <w:t>(a)</w:t>
            </w:r>
          </w:p>
        </w:tc>
        <w:tc>
          <w:tcPr>
            <w:tcW w:w="1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(b)</w:t>
            </w:r>
          </w:p>
        </w:tc>
        <w:tc>
          <w:tcPr>
            <w:tcW w:w="1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w:t>
            </w:r>
          </w:p>
        </w:tc>
        <w:tc>
          <w:tcPr>
            <w:tcW w:w="1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(d)</w:t>
            </w:r>
          </w:p>
        </w:tc>
        <w:tc>
          <w:tcPr>
            <w:tcW w:w="1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(e)</w:t>
            </w:r>
          </w:p>
        </w:tc>
        <w:tc>
          <w:tcPr>
            <w:tcW w:w="7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(f)</w:t>
            </w:r>
          </w:p>
        </w:tc>
        <w:tc>
          <w:tcPr>
            <w:tcW w:w="1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(g)</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(h)</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(i)</w:t>
            </w:r>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firstLine="160"/>
              <w:jc w:val="center"/>
              <w:rPr>
                <w:rFonts w:ascii="Arial;sans-serif" w:hAnsi="Arial;sans-serif"/>
                <w:b w:val="false"/>
                <w:sz w:val="16"/>
              </w:rPr>
            </w:pPr>
            <w:r>
              <w:rPr>
                <w:rFonts w:ascii="Arial;sans-serif" w:hAnsi="Arial;sans-serif"/>
                <w:b w:val="false"/>
                <w:sz w:val="16"/>
              </w:rPr>
              <w:t>2022</w:t>
            </w:r>
          </w:p>
        </w:tc>
        <w:tc>
          <w:tcPr>
            <w:tcW w:w="127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34,070,592</w:t>
            </w:r>
          </w:p>
        </w:tc>
        <w:tc>
          <w:tcPr>
            <w:tcW w:w="118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25,813,278</w:t>
            </w:r>
          </w:p>
        </w:tc>
        <w:tc>
          <w:tcPr>
            <w:tcW w:w="143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7,327,470</w:t>
            </w:r>
          </w:p>
        </w:tc>
        <w:tc>
          <w:tcPr>
            <w:tcW w:w="134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5,661,779</w:t>
            </w:r>
          </w:p>
        </w:tc>
        <w:tc>
          <w:tcPr>
            <w:tcW w:w="799" w:type="dxa"/>
            <w:tcBorders/>
            <w:shd w:fill="auto" w:val="clear"/>
            <w:tcMar>
              <w:top w:w="0" w:type="dxa"/>
              <w:left w:w="0" w:type="dxa"/>
              <w:bottom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67.94</w:t>
            </w:r>
          </w:p>
        </w:tc>
        <w:tc>
          <w:tcPr>
            <w:tcW w:w="1512" w:type="dxa"/>
            <w:tcBorders/>
            <w:shd w:fill="auto" w:val="clear"/>
            <w:tcMar>
              <w:top w:w="0" w:type="dxa"/>
              <w:left w:w="0" w:type="dxa"/>
              <w:bottom w:w="0" w:type="dxa"/>
              <w:right w:w="0" w:type="dxa"/>
            </w:tcMar>
            <w:vAlign w:val="center"/>
          </w:tcPr>
          <w:p>
            <w:pPr>
              <w:pStyle w:val="TableContents"/>
              <w:spacing w:before="0" w:after="0"/>
              <w:ind w:left="0" w:right="0" w:firstLine="320"/>
              <w:jc w:val="center"/>
              <w:rPr>
                <w:rFonts w:ascii="Arial;sans-serif" w:hAnsi="Arial;sans-serif"/>
                <w:b w:val="false"/>
                <w:sz w:val="16"/>
              </w:rPr>
            </w:pPr>
            <w:r>
              <w:rPr>
                <w:rFonts w:ascii="Arial;sans-serif" w:hAnsi="Arial;sans-serif"/>
                <w:b w:val="false"/>
                <w:sz w:val="16"/>
              </w:rPr>
              <w:t>77.79</w:t>
            </w:r>
          </w:p>
        </w:tc>
        <w:tc>
          <w:tcPr>
            <w:tcW w:w="96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(149.5)</w:t>
            </w:r>
          </w:p>
        </w:tc>
        <w:tc>
          <w:tcPr>
            <w:tcW w:w="1046" w:type="dxa"/>
            <w:tcBorders/>
            <w:shd w:fill="auto" w:val="clear"/>
            <w:tcMar>
              <w:top w:w="0" w:type="dxa"/>
              <w:left w:w="0" w:type="dxa"/>
              <w:bottom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193.6</w:t>
            </w:r>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firstLine="160"/>
              <w:jc w:val="center"/>
              <w:rPr>
                <w:rFonts w:ascii="Arial;sans-serif" w:hAnsi="Arial;sans-serif"/>
                <w:b w:val="false"/>
                <w:sz w:val="16"/>
              </w:rPr>
            </w:pPr>
            <w:r>
              <w:rPr>
                <w:rFonts w:ascii="Arial;sans-serif" w:hAnsi="Arial;sans-serif"/>
                <w:b w:val="false"/>
                <w:sz w:val="16"/>
              </w:rPr>
              <w:t>2021</w:t>
            </w:r>
          </w:p>
        </w:tc>
        <w:tc>
          <w:tcPr>
            <w:tcW w:w="127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45,998,851</w:t>
            </w:r>
          </w:p>
        </w:tc>
        <w:tc>
          <w:tcPr>
            <w:tcW w:w="118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37,304,187</w:t>
            </w:r>
          </w:p>
        </w:tc>
        <w:tc>
          <w:tcPr>
            <w:tcW w:w="1437"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10,891,546</w:t>
            </w:r>
          </w:p>
        </w:tc>
        <w:tc>
          <w:tcPr>
            <w:tcW w:w="134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10,053,244</w:t>
            </w:r>
          </w:p>
        </w:tc>
        <w:tc>
          <w:tcPr>
            <w:tcW w:w="799" w:type="dxa"/>
            <w:tcBorders/>
            <w:shd w:fill="auto" w:val="clear"/>
            <w:tcMar>
              <w:top w:w="0" w:type="dxa"/>
              <w:left w:w="0" w:type="dxa"/>
              <w:bottom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81.22</w:t>
            </w:r>
          </w:p>
        </w:tc>
        <w:tc>
          <w:tcPr>
            <w:tcW w:w="1512" w:type="dxa"/>
            <w:tcBorders/>
            <w:shd w:fill="auto" w:val="clear"/>
            <w:tcMar>
              <w:top w:w="0" w:type="dxa"/>
              <w:left w:w="0" w:type="dxa"/>
              <w:bottom w:w="0" w:type="dxa"/>
              <w:right w:w="0" w:type="dxa"/>
            </w:tcMar>
            <w:vAlign w:val="center"/>
          </w:tcPr>
          <w:p>
            <w:pPr>
              <w:pStyle w:val="TableContents"/>
              <w:spacing w:before="0" w:after="0"/>
              <w:ind w:left="0" w:right="0" w:firstLine="320"/>
              <w:jc w:val="center"/>
              <w:rPr>
                <w:rFonts w:ascii="Arial;sans-serif" w:hAnsi="Arial;sans-serif"/>
                <w:b w:val="false"/>
                <w:sz w:val="16"/>
              </w:rPr>
            </w:pPr>
            <w:r>
              <w:rPr>
                <w:rFonts w:ascii="Arial;sans-serif" w:hAnsi="Arial;sans-serif"/>
                <w:b w:val="false"/>
                <w:sz w:val="16"/>
              </w:rPr>
              <w:t>97.76</w:t>
            </w:r>
          </w:p>
        </w:tc>
        <w:tc>
          <w:tcPr>
            <w:tcW w:w="96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(195.3)</w:t>
            </w:r>
          </w:p>
        </w:tc>
        <w:tc>
          <w:tcPr>
            <w:tcW w:w="1046" w:type="dxa"/>
            <w:tcBorders/>
            <w:shd w:fill="auto" w:val="clear"/>
            <w:tcMar>
              <w:top w:w="0" w:type="dxa"/>
              <w:left w:w="0" w:type="dxa"/>
              <w:bottom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144.4</w:t>
            </w:r>
          </w:p>
        </w:tc>
      </w:tr>
    </w:tbl>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(1)</w:t>
      </w:r>
    </w:p>
    <w:p>
      <w:pPr>
        <w:pStyle w:val="TextBody"/>
        <w:jc w:val="left"/>
        <w:rPr>
          <w:rFonts w:ascii="Arial;sans-serif" w:hAnsi="Arial;sans-serif"/>
          <w:sz w:val="20"/>
        </w:rPr>
      </w:pPr>
      <w:r>
        <w:rPr>
          <w:rFonts w:ascii="Arial;sans-serif" w:hAnsi="Arial;sans-serif"/>
          <w:b w:val="false"/>
          <w:sz w:val="16"/>
        </w:rPr>
        <w:t>The dollar amounts reported in column (b) are the amounts of total compensation reported for Mr. Kao</w:t>
      </w:r>
      <w:r>
        <w:rPr>
          <w:rFonts w:ascii="Arial;sans-serif" w:hAnsi="Arial;sans-serif"/>
          <w:sz w:val="16"/>
        </w:rPr>
        <w:t xml:space="preserve"> </w:t>
      </w:r>
      <w:r>
        <w:rPr>
          <w:rFonts w:ascii="Arial;sans-serif" w:hAnsi="Arial;sans-serif"/>
          <w:b w:val="false"/>
          <w:sz w:val="16"/>
        </w:rPr>
        <w:t>(the “PEO”) for each corresponding year in the “Total” column of the Summary Compensation Table (“SCT”) in this proxy statement.</w:t>
      </w:r>
      <w:r>
        <w:rPr>
          <w:rFonts w:ascii="Arial;sans-serif" w:hAnsi="Arial;sans-serif"/>
          <w:sz w:val="20"/>
        </w:rPr>
        <w:t xml:space="preserve"> </w:t>
      </w:r>
    </w:p>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(2)</w:t>
      </w:r>
    </w:p>
    <w:p>
      <w:pPr>
        <w:pStyle w:val="TextBody"/>
        <w:jc w:val="left"/>
        <w:rPr>
          <w:rFonts w:ascii="Arial;sans-serif" w:hAnsi="Arial;sans-serif"/>
          <w:b w:val="false"/>
          <w:sz w:val="16"/>
        </w:rPr>
      </w:pPr>
      <w:r>
        <w:rPr>
          <w:rFonts w:ascii="Arial;sans-serif" w:hAnsi="Arial;sans-serif"/>
          <w:b w:val="false"/>
          <w:sz w:val="16"/>
        </w:rPr>
        <w:t>The dollar amounts reported in column (c) represent the amount of “compensation actually paid” (“CAP”) to the PEO computed in accordance with Item 402(v) of Regulation S-K. The dollar amounts do not reflect the actual amount of compensation earned by or paid to the PEO during the applicable year. In accordance with the requirements of Item 402(v) of Regulation S-K, the following adjustments were made to the PEO’s total compensation for each year to determine the CAP:</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66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332"/>
        <w:gridCol w:w="1449"/>
        <w:gridCol w:w="1424"/>
      </w:tblGrid>
      <w:tr>
        <w:trPr/>
        <w:tc>
          <w:tcPr>
            <w:tcW w:w="7332"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733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360"/>
              <w:jc w:val="center"/>
              <w:rPr/>
            </w:pPr>
            <w:r>
              <w:rPr/>
              <w:t> </w:t>
            </w:r>
          </w:p>
        </w:tc>
        <w:tc>
          <w:tcPr>
            <w:tcW w:w="1449"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2022</w:t>
            </w:r>
          </w:p>
        </w:tc>
        <w:tc>
          <w:tcPr>
            <w:tcW w:w="1424"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2021</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Total Compensation from SCT</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$34,070,592</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$45,998,851</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Less Reported Value of Equity Awards from SCT</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($32,437,510)</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($44,406,749)</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sz w:val="16"/>
              </w:rPr>
            </w:pPr>
            <w:r>
              <w:rPr>
                <w:rFonts w:ascii="Arial;sans-serif" w:hAnsi="Arial;sans-serif"/>
                <w:b/>
                <w:sz w:val="16"/>
              </w:rPr>
              <w:t>Subtotal</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$1,633,082</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$1,592,102</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Year-end fair value of any equity awards granted in applicable yar that are outstanding and unvested as of the end of the year</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$27,710,914</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$20,804,877</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The amount of change as of the end of the applicable year (from the end of the prior fiscal year) in fair value of any awards granted in prior years that are outstanding and unvested as of the end of the applicable year</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($1,347,517)</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$8,950,439</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For awards granted in prior years that vest in the applicable year, the amount equal to the change as of the vesting date (from the end of the prior fiscal year) in fair value</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($2,183,201)</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$5,956,769</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sz w:val="16"/>
              </w:rPr>
            </w:pPr>
            <w:r>
              <w:rPr>
                <w:rFonts w:ascii="Arial;sans-serif" w:hAnsi="Arial;sans-serif"/>
                <w:b/>
                <w:sz w:val="16"/>
              </w:rPr>
              <w:t>Net Adjustment to Subtotal</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$24,180,196</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$35,712,085</w:t>
            </w:r>
          </w:p>
        </w:tc>
      </w:tr>
      <w:tr>
        <w:trPr/>
        <w:tc>
          <w:tcPr>
            <w:tcW w:w="7332"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Times New Roman" w:hAnsi="Times New Roman"/>
                <w:sz w:val="16"/>
              </w:rPr>
            </w:pPr>
            <w:r>
              <w:rPr>
                <w:rFonts w:ascii="Arial;sans-serif" w:hAnsi="Arial;sans-serif"/>
                <w:b/>
                <w:sz w:val="16"/>
              </w:rPr>
              <w:t>Compensation Actually Paid</w:t>
            </w:r>
            <w:r>
              <w:rPr>
                <w:rFonts w:ascii="Times New Roman" w:hAnsi="Times New Roman"/>
                <w:sz w:val="16"/>
              </w:rPr>
              <w:t xml:space="preserve"> </w:t>
            </w:r>
          </w:p>
        </w:tc>
        <w:tc>
          <w:tcPr>
            <w:tcW w:w="1449"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u w:val="single"/>
              </w:rPr>
            </w:pPr>
            <w:r>
              <w:rPr>
                <w:rFonts w:ascii="Arial;sans-serif" w:hAnsi="Arial;sans-serif"/>
                <w:b/>
                <w:sz w:val="16"/>
                <w:u w:val="single"/>
              </w:rPr>
              <w:t>$25,813,278</w:t>
            </w:r>
          </w:p>
        </w:tc>
        <w:tc>
          <w:tcPr>
            <w:tcW w:w="1424" w:type="dxa"/>
            <w:tcBorders>
              <w:bottom w:val="single" w:sz="2" w:space="0" w:color="000000"/>
            </w:tcBorders>
            <w:shd w:fill="auto" w:val="clear"/>
            <w:tcMar>
              <w:top w:w="0" w:type="dxa"/>
              <w:left w:w="0" w:type="dxa"/>
              <w:right w:w="0" w:type="dxa"/>
            </w:tcMar>
            <w:vAlign w:val="center"/>
          </w:tcPr>
          <w:p>
            <w:pPr>
              <w:pStyle w:val="TableContents"/>
              <w:spacing w:before="0" w:after="0"/>
              <w:ind w:left="360" w:right="0" w:hanging="0"/>
              <w:jc w:val="center"/>
              <w:rPr>
                <w:rFonts w:ascii="Arial;sans-serif" w:hAnsi="Arial;sans-serif"/>
                <w:b/>
                <w:sz w:val="16"/>
                <w:u w:val="single"/>
              </w:rPr>
            </w:pPr>
            <w:r>
              <w:rPr>
                <w:rFonts w:ascii="Arial;sans-serif" w:hAnsi="Arial;sans-serif"/>
                <w:b/>
                <w:sz w:val="16"/>
                <w:u w:val="single"/>
              </w:rPr>
              <w:t>$37,304,187</w:t>
            </w:r>
          </w:p>
        </w:tc>
      </w:tr>
    </w:tbl>
    <w:p>
      <w:pPr>
        <w:pStyle w:val="TextBody"/>
        <w:spacing w:before="200" w:after="0"/>
        <w:jc w:val="left"/>
        <w:rPr>
          <w:rFonts w:ascii="Arial" w:hAnsi="Arial"/>
          <w:b w:val="false"/>
          <w:sz w:val="16"/>
        </w:rPr>
      </w:pPr>
      <w:r>
        <w:rPr>
          <w:rFonts w:ascii="Arial" w:hAnsi="Arial"/>
          <w:b w:val="false"/>
          <w:sz w:val="16"/>
        </w:rPr>
        <w:t>(3)</w:t>
      </w:r>
    </w:p>
    <w:p>
      <w:pPr>
        <w:pStyle w:val="TextBody"/>
        <w:spacing w:before="200" w:after="283"/>
        <w:jc w:val="left"/>
        <w:rPr>
          <w:rFonts w:ascii="Arial;sans-serif" w:hAnsi="Arial;sans-serif"/>
          <w:b w:val="false"/>
          <w:sz w:val="16"/>
        </w:rPr>
      </w:pPr>
      <w:r>
        <w:rPr>
          <w:rFonts w:ascii="Arial;sans-serif" w:hAnsi="Arial;sans-serif"/>
          <w:b w:val="false"/>
          <w:sz w:val="16"/>
        </w:rPr>
        <w:t>The dollar amounts reported in column (d) are the average of the amounts of total compensation reported for the non-PEO NEOs for each corresponding year in the “Total” column of the SCT. For 2022, the Non-PEO NEOs were Thomas Freeman, Dawn Maroney, Dinesh Kumar and Richard Cross. For 2021, the Non-PEO NEOs were Thomas Freeman, Dawn Maroney, Dinesh Kumar and Rajesh Shrestha.</w:t>
      </w:r>
    </w:p>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(4)</w:t>
      </w:r>
    </w:p>
    <w:p>
      <w:pPr>
        <w:pStyle w:val="TextBody"/>
        <w:jc w:val="left"/>
        <w:rPr>
          <w:rFonts w:ascii="Arial;sans-serif" w:hAnsi="Arial;sans-serif"/>
          <w:b w:val="false"/>
          <w:sz w:val="16"/>
        </w:rPr>
      </w:pPr>
      <w:r>
        <w:rPr>
          <w:rFonts w:ascii="Arial;sans-serif" w:hAnsi="Arial;sans-serif"/>
          <w:b w:val="false"/>
          <w:sz w:val="16"/>
        </w:rPr>
        <w:t xml:space="preserve">The dollar amounts reported in column (e) represent the average amount of CAP to the non-PEO NEOs as a group computed in accordance with Item 402(v) of Regulation S-K. The dollar amounts do not reflect the actual amount of compensation earned by or paid to the Non-PEO NEOs during the applicable year. In accordance with the requirements of Item 402(v) of Regulation S-K, the following adjustments were made to average total compensation for the Non-PEO NEOs for each year to determine the CAP: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93"/>
        <w:gridCol w:w="1360"/>
        <w:gridCol w:w="1352"/>
      </w:tblGrid>
      <w:tr>
        <w:trPr/>
        <w:tc>
          <w:tcPr>
            <w:tcW w:w="7493"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7493"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360"/>
              <w:jc w:val="center"/>
              <w:rPr/>
            </w:pPr>
            <w:r>
              <w:rPr/>
              <w:t> </w:t>
            </w:r>
          </w:p>
        </w:tc>
        <w:tc>
          <w:tcPr>
            <w:tcW w:w="1360"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2022</w:t>
            </w:r>
          </w:p>
        </w:tc>
        <w:tc>
          <w:tcPr>
            <w:tcW w:w="1352"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2021</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Average Total Compensation from SCT</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$7,327,470</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$10,891,546</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Less Average Reported Value of Equity Awards from SCT</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($6,383,827)</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($9,913,214)</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sz w:val="16"/>
              </w:rPr>
            </w:pPr>
            <w:r>
              <w:rPr>
                <w:rFonts w:ascii="Arial;sans-serif" w:hAnsi="Arial;sans-serif"/>
                <w:b/>
                <w:sz w:val="16"/>
              </w:rPr>
              <w:t>Subtotal</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$943,643</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$978,332</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i/>
                <w:sz w:val="16"/>
              </w:rPr>
            </w:pPr>
            <w:r>
              <w:rPr>
                <w:rFonts w:ascii="Arial;sans-serif" w:hAnsi="Arial;sans-serif"/>
                <w:b w:val="false"/>
                <w:i/>
                <w:sz w:val="16"/>
              </w:rPr>
              <w:t>Average Equity Award Adjustments</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pPr>
            <w:r>
              <w:rPr/>
              <w:t> </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pPr>
            <w:r>
              <w:rPr/>
              <w:t> </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Year-end fair value of any equity awards granted in applicable yar that are outstanding and unvested as of the end of the year</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$5,881,206</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$4,532,610</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The amount of change as of the end of the applicable year (from the end of the prior fiscal year) in fair value of any awards granted in prior years that are outstanding and unvested as of the end of the applicable year</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($551,977)</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$2,876,585</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val="false"/>
                <w:sz w:val="16"/>
              </w:rPr>
            </w:pPr>
            <w:r>
              <w:rPr>
                <w:rFonts w:ascii="Arial;sans-serif" w:hAnsi="Arial;sans-serif"/>
                <w:b w:val="false"/>
                <w:sz w:val="16"/>
              </w:rPr>
              <w:t>For awards granted in prior years that vest in the applicable year, the amount equal to the change as of the vesting date (from the end of the prior fiscal year) in fair value</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val="false"/>
                <w:sz w:val="16"/>
              </w:rPr>
            </w:pPr>
            <w:r>
              <w:rPr>
                <w:rFonts w:ascii="Arial;sans-serif" w:hAnsi="Arial;sans-serif"/>
                <w:b w:val="false"/>
                <w:sz w:val="16"/>
              </w:rPr>
              <w:t>($611,093)</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val="false"/>
                <w:sz w:val="16"/>
              </w:rPr>
            </w:pPr>
            <w:r>
              <w:rPr>
                <w:rFonts w:ascii="Arial;sans-serif" w:hAnsi="Arial;sans-serif"/>
                <w:b w:val="false"/>
                <w:sz w:val="16"/>
              </w:rPr>
              <w:t>$1,665,717</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sz w:val="16"/>
              </w:rPr>
            </w:pPr>
            <w:r>
              <w:rPr>
                <w:rFonts w:ascii="Arial;sans-serif" w:hAnsi="Arial;sans-serif"/>
                <w:b/>
                <w:sz w:val="16"/>
              </w:rPr>
              <w:t>Total Net Adjustment to Subtotal</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rPr>
            </w:pPr>
            <w:r>
              <w:rPr>
                <w:rFonts w:ascii="Arial;sans-serif" w:hAnsi="Arial;sans-serif"/>
                <w:b/>
                <w:sz w:val="16"/>
              </w:rPr>
              <w:t>$4,718,136</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firstLine="288"/>
              <w:jc w:val="center"/>
              <w:rPr>
                <w:rFonts w:ascii="Arial;sans-serif" w:hAnsi="Arial;sans-serif"/>
                <w:b/>
                <w:sz w:val="16"/>
              </w:rPr>
            </w:pPr>
            <w:r>
              <w:rPr>
                <w:rFonts w:ascii="Arial;sans-serif" w:hAnsi="Arial;sans-serif"/>
                <w:b/>
                <w:sz w:val="16"/>
              </w:rPr>
              <w:t>$9,074,912</w:t>
            </w:r>
          </w:p>
        </w:tc>
      </w:tr>
      <w:tr>
        <w:trPr/>
        <w:tc>
          <w:tcPr>
            <w:tcW w:w="7493"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40" w:after="40"/>
              <w:ind w:left="0" w:right="0" w:firstLine="360"/>
              <w:jc w:val="left"/>
              <w:rPr>
                <w:rFonts w:ascii="Arial;sans-serif" w:hAnsi="Arial;sans-serif"/>
                <w:b/>
                <w:sz w:val="16"/>
              </w:rPr>
            </w:pPr>
            <w:r>
              <w:rPr>
                <w:rFonts w:ascii="Arial;sans-serif" w:hAnsi="Arial;sans-serif"/>
                <w:b/>
                <w:sz w:val="16"/>
              </w:rPr>
              <w:t>Compensation Actually Paid</w:t>
            </w:r>
          </w:p>
        </w:tc>
        <w:tc>
          <w:tcPr>
            <w:tcW w:w="1360" w:type="dxa"/>
            <w:tcBorders>
              <w:bottom w:val="single" w:sz="2" w:space="0" w:color="000000"/>
              <w:right w:val="single" w:sz="2" w:space="0" w:color="000000"/>
            </w:tcBorders>
            <w:shd w:fill="auto" w:val="clear"/>
            <w:tcMar>
              <w:top w:w="0" w:type="dxa"/>
              <w:left w:w="0" w:type="dxa"/>
              <w:right w:w="115" w:type="dxa"/>
            </w:tcMar>
            <w:vAlign w:val="center"/>
          </w:tcPr>
          <w:p>
            <w:pPr>
              <w:pStyle w:val="TableContents"/>
              <w:spacing w:before="0" w:after="0"/>
              <w:ind w:left="0" w:right="0" w:firstLine="360"/>
              <w:jc w:val="center"/>
              <w:rPr>
                <w:rFonts w:ascii="Arial;sans-serif" w:hAnsi="Arial;sans-serif"/>
                <w:b/>
                <w:sz w:val="16"/>
                <w:u w:val="single"/>
              </w:rPr>
            </w:pPr>
            <w:r>
              <w:rPr>
                <w:rFonts w:ascii="Arial;sans-serif" w:hAnsi="Arial;sans-serif"/>
                <w:b/>
                <w:sz w:val="16"/>
                <w:u w:val="single"/>
              </w:rPr>
              <w:t>$5,661,779</w:t>
            </w:r>
          </w:p>
        </w:tc>
        <w:tc>
          <w:tcPr>
            <w:tcW w:w="1352" w:type="dxa"/>
            <w:tcBorders>
              <w:bottom w:val="single" w:sz="2" w:space="0" w:color="000000"/>
            </w:tcBorders>
            <w:shd w:fill="auto" w:val="clear"/>
            <w:tcMar>
              <w:top w:w="0" w:type="dxa"/>
              <w:left w:w="0" w:type="dxa"/>
              <w:right w:w="0" w:type="dxa"/>
            </w:tcMar>
            <w:vAlign w:val="center"/>
          </w:tcPr>
          <w:p>
            <w:pPr>
              <w:pStyle w:val="TableContents"/>
              <w:spacing w:before="0" w:after="0"/>
              <w:ind w:left="360" w:right="0" w:hanging="0"/>
              <w:jc w:val="center"/>
              <w:rPr>
                <w:rFonts w:ascii="Arial;sans-serif" w:hAnsi="Arial;sans-serif"/>
                <w:b/>
                <w:sz w:val="16"/>
                <w:u w:val="single"/>
              </w:rPr>
            </w:pPr>
            <w:r>
              <w:rPr>
                <w:rFonts w:ascii="Arial;sans-serif" w:hAnsi="Arial;sans-serif"/>
                <w:b/>
                <w:sz w:val="16"/>
                <w:u w:val="single"/>
              </w:rPr>
              <w:t>$10,053,244</w:t>
            </w:r>
          </w:p>
        </w:tc>
      </w:tr>
    </w:tbl>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(5)</w:t>
      </w:r>
    </w:p>
    <w:p>
      <w:pPr>
        <w:pStyle w:val="TextBody"/>
        <w:jc w:val="left"/>
        <w:rPr>
          <w:rFonts w:ascii="Arial;sans-serif" w:hAnsi="Arial;sans-serif"/>
          <w:b w:val="false"/>
          <w:sz w:val="16"/>
        </w:rPr>
      </w:pPr>
      <w:r>
        <w:rPr>
          <w:rFonts w:ascii="Arial;sans-serif" w:hAnsi="Arial;sans-serif"/>
          <w:b w:val="false"/>
          <w:sz w:val="16"/>
        </w:rPr>
        <w:t xml:space="preserve">Cumulative TSR for ALHC is calculated by dividing the sum of the cumulative amount of dividends for each of 2021 and 2022, assuming dividend reinvestment, and the difference between ALHC’s share price at the end and the beginning of each such year by ALHC’s share price at the beginning of each such year. </w:t>
      </w:r>
    </w:p>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(6)</w:t>
      </w:r>
    </w:p>
    <w:p>
      <w:pPr>
        <w:pStyle w:val="TextBody"/>
        <w:jc w:val="left"/>
        <w:rPr>
          <w:rFonts w:ascii="Arial;sans-serif" w:hAnsi="Arial;sans-serif"/>
          <w:b w:val="false"/>
          <w:sz w:val="16"/>
        </w:rPr>
      </w:pPr>
      <w:r>
        <w:rPr>
          <w:rFonts w:ascii="Arial;sans-serif" w:hAnsi="Arial;sans-serif"/>
          <w:b w:val="false"/>
          <w:sz w:val="16"/>
        </w:rPr>
        <w:t>Represents the weighted peer group TSR, weighted according to the respective companies’ stock market capitalization at the beginning of each period for which a return is indicated. The peer group used for this purpose is the following published industry index: NASDAQ Healthcare Index.</w:t>
      </w:r>
    </w:p>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(7)</w:t>
      </w:r>
    </w:p>
    <w:p>
      <w:pPr>
        <w:pStyle w:val="TextBody"/>
        <w:jc w:val="left"/>
        <w:rPr>
          <w:rFonts w:ascii="Arial;sans-serif" w:hAnsi="Arial;sans-serif"/>
          <w:b w:val="false"/>
          <w:sz w:val="16"/>
        </w:rPr>
      </w:pPr>
      <w:r>
        <w:rPr>
          <w:rFonts w:ascii="Arial;sans-serif" w:hAnsi="Arial;sans-serif"/>
          <w:b w:val="false"/>
          <w:sz w:val="16"/>
        </w:rPr>
        <w:t>The dollar amounts reported represent the amount of net income reflected in the Company’s audited financial statements for the applicable year.</w:t>
      </w:r>
    </w:p>
    <w:p>
      <w:pPr>
        <w:pStyle w:val="TextBody"/>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(8)</w:t>
      </w:r>
    </w:p>
    <w:p>
      <w:pPr>
        <w:pStyle w:val="TextBody"/>
        <w:jc w:val="left"/>
        <w:rPr>
          <w:rFonts w:ascii="Arial;sans-serif" w:hAnsi="Arial;sans-serif"/>
          <w:b w:val="false"/>
          <w:sz w:val="16"/>
        </w:rPr>
      </w:pPr>
      <w:r>
        <w:rPr>
          <w:rFonts w:ascii="Arial;sans-serif" w:hAnsi="Arial;sans-serif"/>
          <w:b w:val="false"/>
          <w:sz w:val="16"/>
        </w:rPr>
        <w:t xml:space="preserve">Adjusted gross profit is defined as a non-GAAP financial measure that we define as loss from operations before depreciation and amortization, clinical equity-based compensation expense, and selling, general, and administrative expenses. Adjusted gross profit should not be considered in isolation of, or as an alternative to, measures prepared in accordance with U.S. generally accepted accounting principles (“GAAP”). There are a number of limitations related to the use of adjusted gross profit in lieu of loss from operations, which is the most directly comparable financial measure calculated in accordance with GAAP. </w:t>
      </w:r>
    </w:p>
    <w:p>
      <w:pPr>
        <w:pStyle w:val="TextBody"/>
        <w:spacing w:before="240" w:after="0"/>
        <w:jc w:val="center"/>
        <w:rPr>
          <w:rFonts w:ascii="Arial;sans-serif" w:hAnsi="Arial;sans-serif"/>
          <w:b w:val="false"/>
          <w:sz w:val="20"/>
        </w:rPr>
      </w:pPr>
      <w:r>
        <w:rPr>
          <w:rFonts w:ascii="Arial;sans-serif" w:hAnsi="Arial;sans-serif"/>
          <w:b w:val="false"/>
          <w:sz w:val="20"/>
        </w:rPr>
        <w:t>67</w:t>
      </w:r>
    </w:p>
    <w:p>
      <w:pPr>
        <w:pStyle w:val="HorizontalLine"/>
        <w:rPr/>
      </w:pPr>
      <w:r>
        <w:rPr/>
      </w:r>
    </w:p>
    <w:p>
      <w:pPr>
        <w:pStyle w:val="TextBody"/>
        <w:spacing w:before="0" w:after="0"/>
        <w:jc w:val="left"/>
        <w:rPr/>
      </w:pPr>
      <w:r>
        <w:rPr/>
        <w:t> </w:t>
      </w:r>
    </w:p>
    <w:p>
      <w:pPr>
        <w:pStyle w:val="TextBody"/>
        <w:jc w:val="left"/>
        <w:rPr>
          <w:rFonts w:ascii="Arial;sans-serif" w:hAnsi="Arial;sans-serif"/>
          <w:b w:val="false"/>
          <w:sz w:val="16"/>
        </w:rPr>
      </w:pPr>
      <w:r>
        <w:rPr>
          <w:rFonts w:ascii="Arial;sans-serif" w:hAnsi="Arial;sans-serif"/>
          <w:b w:val="false"/>
          <w:sz w:val="16"/>
        </w:rPr>
        <w:t>An explanation of our non-GAAP measures, how they are calculated and reconciliations to the most directly comparable GAAP financial measures can be found in the Appendix to this proxy statement.</w:t>
      </w:r>
    </w:p>
    <w:p>
      <w:pPr>
        <w:pStyle w:val="TextBody"/>
        <w:spacing w:before="0" w:after="0"/>
        <w:jc w:val="left"/>
        <w:rPr/>
      </w:pPr>
      <w:r>
        <w:rPr/>
        <w:t> </w:t>
      </w:r>
    </w:p>
    <w:p>
      <w:pPr>
        <w:pStyle w:val="TextBody"/>
        <w:spacing w:before="0" w:after="0"/>
        <w:jc w:val="left"/>
        <w:rPr>
          <w:rFonts w:ascii="Arial;sans-serif" w:hAnsi="Arial;sans-serif"/>
          <w:b/>
          <w:i/>
          <w:sz w:val="20"/>
        </w:rPr>
      </w:pPr>
      <w:r>
        <w:rPr>
          <w:rFonts w:ascii="Arial;sans-serif" w:hAnsi="Arial;sans-serif"/>
          <w:b/>
          <w:i/>
          <w:sz w:val="20"/>
        </w:rPr>
        <w:t>Most Important Performance Measures</w:t>
      </w:r>
    </w:p>
    <w:p>
      <w:pPr>
        <w:pStyle w:val="TextBody"/>
        <w:spacing w:before="200" w:after="200"/>
        <w:jc w:val="left"/>
        <w:rPr>
          <w:rFonts w:ascii="Times New Roman" w:hAnsi="Times New Roman"/>
          <w:sz w:val="20"/>
        </w:rPr>
      </w:pPr>
      <w:r>
        <w:rPr>
          <w:rFonts w:ascii="Arial;sans-serif" w:hAnsi="Arial;sans-serif"/>
          <w:b w:val="false"/>
          <w:sz w:val="20"/>
        </w:rPr>
        <w:t>The performance measures listed below represent an unranked list of the “most important” performance measures that Alignment used to align CAP to the NEOs for 2022 and company performance. The role of each of these performance measures in our executive compensation program is discussed in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of this proxy statement. While these financial measures are the most important measures the company used to align CAP to the NEOs for 2022 and company performance, additional financial and other measures were also used to align pay and performance, as further described in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of this proxy statement.</w:t>
      </w:r>
    </w:p>
    <w:p>
      <w:pPr>
        <w:pStyle w:val="TextBody"/>
        <w:spacing w:before="200" w:after="120"/>
        <w:jc w:val="left"/>
        <w:rPr>
          <w:rFonts w:ascii="Arial;sans-serif" w:hAnsi="Arial;sans-serif"/>
          <w:b w:val="false"/>
          <w:sz w:val="20"/>
        </w:rPr>
      </w:pPr>
      <w:r>
        <w:rPr>
          <w:rFonts w:ascii="Arial;sans-serif" w:hAnsi="Arial;sans-serif"/>
          <w:b w:val="false"/>
          <w:sz w:val="20"/>
        </w:rPr>
        <w:t>The most important financial performance measures are:</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Adjusted Gross Profit</w:t>
      </w:r>
    </w:p>
    <w:p>
      <w:pPr>
        <w:pStyle w:val="TextBody"/>
        <w:spacing w:before="200" w:after="120"/>
        <w:jc w:val="left"/>
        <w:rPr/>
      </w:pPr>
      <w:r>
        <w:rPr/>
        <w:t>•</w:t>
      </w:r>
    </w:p>
    <w:p>
      <w:pPr>
        <w:pStyle w:val="TextBody"/>
        <w:spacing w:before="200" w:after="120"/>
        <w:jc w:val="left"/>
        <w:rPr>
          <w:rFonts w:ascii="Arial;sans-serif" w:hAnsi="Arial;sans-serif"/>
          <w:b w:val="false"/>
          <w:sz w:val="20"/>
        </w:rPr>
      </w:pPr>
      <w:r>
        <w:rPr>
          <w:rFonts w:ascii="Arial;sans-serif" w:hAnsi="Arial;sans-serif"/>
          <w:b w:val="false"/>
          <w:sz w:val="20"/>
        </w:rPr>
        <w:t>Adjusted EDITDA</w:t>
      </w:r>
    </w:p>
    <w:p>
      <w:pPr>
        <w:pStyle w:val="TextBody"/>
        <w:spacing w:before="200" w:after="0"/>
        <w:jc w:val="left"/>
        <w:rPr>
          <w:rFonts w:ascii="Arial;sans-serif" w:hAnsi="Arial;sans-serif"/>
          <w:b w:val="false"/>
          <w:sz w:val="20"/>
        </w:rPr>
      </w:pPr>
      <w:r>
        <w:rPr>
          <w:rFonts w:ascii="Arial;sans-serif" w:hAnsi="Arial;sans-serif"/>
          <w:b w:val="false"/>
          <w:sz w:val="20"/>
        </w:rPr>
        <w:t>We also employ the following non-financial performance measures:</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Health Plan Membership</w:t>
      </w:r>
    </w:p>
    <w:p>
      <w:pPr>
        <w:pStyle w:val="TextBody"/>
        <w:spacing w:before="200" w:after="0"/>
        <w:jc w:val="left"/>
        <w:rPr/>
      </w:pPr>
      <w:r>
        <w:rPr/>
        <w:t>•</w:t>
      </w:r>
    </w:p>
    <w:p>
      <w:pPr>
        <w:pStyle w:val="TextBody"/>
        <w:spacing w:before="200" w:after="283"/>
        <w:jc w:val="left"/>
        <w:rPr>
          <w:rFonts w:ascii="Arial;sans-serif" w:hAnsi="Arial;sans-serif"/>
          <w:b w:val="false"/>
          <w:sz w:val="20"/>
        </w:rPr>
      </w:pPr>
      <w:r>
        <w:rPr>
          <w:rFonts w:ascii="Arial;sans-serif" w:hAnsi="Arial;sans-serif"/>
          <w:b w:val="false"/>
          <w:sz w:val="20"/>
        </w:rPr>
        <w:t>CMS Star Ratings</w:t>
      </w:r>
    </w:p>
    <w:p>
      <w:pPr>
        <w:pStyle w:val="TextBody"/>
        <w:spacing w:before="200" w:after="0"/>
        <w:jc w:val="left"/>
        <w:rPr>
          <w:rFonts w:ascii="Times New Roman" w:hAnsi="Times New Roman"/>
          <w:sz w:val="20"/>
        </w:rPr>
      </w:pPr>
      <w:r>
        <w:rPr>
          <w:rFonts w:ascii="Arial;sans-serif" w:hAnsi="Arial;sans-serif"/>
          <w:b w:val="false"/>
          <w:sz w:val="20"/>
        </w:rPr>
        <w:t>As noted above, we have deemed adjusted gross profit as the “most important” financial measure used to link our NEO’s compensation with performance and, as previously disclosed, it is being used as our company-selected measure in the pay-versus-performance table above. For more detail on these measures and why we believe that they are important in structuring our compensation programs and linking pay with performance, please see “</w:t>
      </w:r>
      <w:r>
        <w:rPr>
          <w:rFonts w:ascii="Arial;sans-serif" w:hAnsi="Arial;sans-serif"/>
          <w:b w:val="false"/>
          <w:i/>
          <w:sz w:val="20"/>
        </w:rPr>
        <w:t>Compensation Discussion and Analysis</w:t>
      </w:r>
      <w:r>
        <w:rPr>
          <w:rFonts w:ascii="Arial;sans-serif" w:hAnsi="Arial;sans-serif"/>
          <w:b w:val="false"/>
          <w:sz w:val="20"/>
        </w:rPr>
        <w:t>.”</w:t>
      </w:r>
    </w:p>
    <w:p>
      <w:pPr>
        <w:pStyle w:val="TextBody"/>
        <w:spacing w:before="200" w:after="0"/>
        <w:jc w:val="left"/>
        <w:rPr>
          <w:rFonts w:ascii="Times New Roman" w:hAnsi="Times New Roman"/>
          <w:sz w:val="20"/>
        </w:rPr>
      </w:pPr>
      <w:r>
        <w:rPr>
          <w:rFonts w:ascii="Arial;sans-serif" w:hAnsi="Arial;sans-serif"/>
          <w:b/>
          <w:i/>
          <w:sz w:val="20"/>
        </w:rPr>
        <w:t>Descriptions of the Information Presented in the Pay Versus Performance Table</w:t>
      </w:r>
      <w:r>
        <w:rPr>
          <w:rFonts w:ascii="Times New Roman" w:hAnsi="Times New Roman"/>
          <w:sz w:val="20"/>
        </w:rPr>
        <w:t xml:space="preserve"> </w:t>
      </w:r>
    </w:p>
    <w:p>
      <w:pPr>
        <w:pStyle w:val="TextBody"/>
        <w:spacing w:before="200" w:after="240"/>
        <w:jc w:val="left"/>
        <w:rPr>
          <w:rFonts w:ascii="Times New Roman" w:hAnsi="Times New Roman"/>
          <w:sz w:val="20"/>
        </w:rPr>
      </w:pPr>
      <w:r>
        <w:rPr>
          <w:rFonts w:ascii="Arial;sans-serif" w:hAnsi="Arial;sans-serif"/>
          <w:b w:val="false"/>
          <w:sz w:val="20"/>
        </w:rPr>
        <w:t>The illustrations below compare CAP and the following measures:</w:t>
      </w:r>
      <w:r>
        <w:rPr>
          <w:rFonts w:ascii="Times New Roman" w:hAnsi="Times New Roman"/>
          <w:sz w:val="20"/>
        </w:rPr>
        <w:t xml:space="preserve"> </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the Company’s cumulative TSR and the NASDAQ Healthcare Index’s cumulative TSR;</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the Company’s Net Income; and</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the Company’s Adjusted Gross Profit.</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CAP vs. TSR</w:t>
      </w:r>
    </w:p>
    <w:p>
      <w:pPr>
        <w:pStyle w:val="TextBody"/>
        <w:spacing w:before="0" w:after="0"/>
        <w:jc w:val="left"/>
        <w:rPr>
          <w:rFonts w:ascii="Times New Roman;serif" w:hAnsi="Times New Roman;serif"/>
          <w:b w:val="false"/>
          <w:sz w:val="2"/>
        </w:rPr>
      </w:pPr>
      <w:r>
        <w:rPr>
          <w:rFonts w:ascii="Times New Roman;serif" w:hAnsi="Times New Roman;serif"/>
          <w:b w:val="false"/>
          <w:sz w:val="2"/>
        </w:rPr>
        <w:t>CAP vs. TSR Compensation ($000s) $60,000 $50,000 $40,000 $30,000 $20,000 $10,000 $- 03/06/2021 2021 2022 $100.00 $75.00 $50.00 $25.00 $- Total Shareholder Return on $100 Invested at Beginning of Period CEO Compensation Actually Paid Average NEO Compensation Actually Paid ALHC value of $100 Invested on 3/26/2021 NASDAQ Healthcare Index value of $100 Invested on 3/26/2021</w:t>
      </w:r>
    </w:p>
    <w:p>
      <w:pPr>
        <w:pStyle w:val="TextBody"/>
        <w:spacing w:before="240" w:after="0"/>
        <w:jc w:val="center"/>
        <w:rPr>
          <w:rFonts w:ascii="Arial;sans-serif" w:hAnsi="Arial;sans-serif"/>
          <w:b w:val="false"/>
          <w:sz w:val="20"/>
        </w:rPr>
      </w:pPr>
      <w:r>
        <w:rPr>
          <w:rFonts w:ascii="Arial;sans-serif" w:hAnsi="Arial;sans-serif"/>
          <w:b w:val="false"/>
          <w:sz w:val="20"/>
        </w:rPr>
        <w:t>68</w:t>
      </w:r>
    </w:p>
    <w:p>
      <w:pPr>
        <w:pStyle w:val="HorizontalLine"/>
        <w:rPr/>
      </w:pPr>
      <w:r>
        <w:rPr/>
      </w:r>
    </w:p>
    <w:p>
      <w:pPr>
        <w:pStyle w:val="TextBody"/>
        <w:spacing w:before="0" w:after="0"/>
        <w:jc w:val="left"/>
        <w:rPr/>
      </w:pPr>
      <w:r>
        <w:rPr/>
        <w:t> </w:t>
      </w:r>
    </w:p>
    <w:p>
      <w:pPr>
        <w:pStyle w:val="TextBody"/>
        <w:spacing w:before="0" w:after="200"/>
        <w:jc w:val="center"/>
        <w:rPr/>
      </w:pPr>
      <w:r>
        <w:rPr/>
        <w:drawing>
          <wp:inline distT="0" distB="0" distL="0" distR="0">
            <wp:extent cx="4371975" cy="2457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371975" cy="2457450"/>
                    </a:xfrm>
                    <a:prstGeom prst="rect">
                      <a:avLst/>
                    </a:prstGeom>
                  </pic:spPr>
                </pic:pic>
              </a:graphicData>
            </a:graphic>
          </wp:inline>
        </w:drawing>
      </w: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CAP vs. Net Income</w:t>
      </w:r>
    </w:p>
    <w:p>
      <w:pPr>
        <w:pStyle w:val="TextBody"/>
        <w:spacing w:before="0" w:after="0"/>
        <w:jc w:val="left"/>
        <w:rPr>
          <w:rFonts w:ascii="Times New Roman;serif" w:hAnsi="Times New Roman;serif"/>
          <w:b w:val="false"/>
          <w:sz w:val="2"/>
        </w:rPr>
      </w:pPr>
      <w:r>
        <w:rPr>
          <w:rFonts w:ascii="Times New Roman;serif" w:hAnsi="Times New Roman;serif"/>
          <w:b w:val="false"/>
          <w:sz w:val="2"/>
        </w:rPr>
        <w:t>CAP vs. Net Income Compensation ($000s) $60,000 $40,000 $20,000 $- $(20,000) $(40,000) 2021 2022 $600 $400 $200 $0 ($200) ($400) Net Income ($ Mil.) CEO Compensation Actually Paid Average NEO Compensation Actually Paid Net Income ($Mil.)</w:t>
      </w:r>
    </w:p>
    <w:p>
      <w:pPr>
        <w:pStyle w:val="TextBody"/>
        <w:spacing w:before="0" w:after="200"/>
        <w:jc w:val="center"/>
        <w:rPr/>
      </w:pPr>
      <w:r>
        <w:rPr/>
        <w:drawing>
          <wp:inline distT="0" distB="0" distL="0" distR="0">
            <wp:extent cx="4381500" cy="2457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381500" cy="2457450"/>
                    </a:xfrm>
                    <a:prstGeom prst="rect">
                      <a:avLst/>
                    </a:prstGeom>
                  </pic:spPr>
                </pic:pic>
              </a:graphicData>
            </a:graphic>
          </wp:inline>
        </w:drawing>
      </w: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CAP vs. Adj. Gross Profit</w:t>
      </w:r>
    </w:p>
    <w:p>
      <w:pPr>
        <w:pStyle w:val="TextBody"/>
        <w:spacing w:before="0" w:after="0"/>
        <w:jc w:val="left"/>
        <w:rPr>
          <w:rFonts w:ascii="Times New Roman;serif" w:hAnsi="Times New Roman;serif"/>
          <w:b w:val="false"/>
          <w:sz w:val="2"/>
        </w:rPr>
      </w:pPr>
      <w:r>
        <w:rPr>
          <w:rFonts w:ascii="Times New Roman;serif" w:hAnsi="Times New Roman;serif"/>
          <w:b w:val="false"/>
          <w:sz w:val="2"/>
        </w:rPr>
        <w:t>CAP vs. Adj. Gross Profit Compensation ($000s) $60,000 $50,000 $40,000 $30,000 $20,000 $10,000 $- 2021 2022 $300 $250 $200 $150 $100 $50 $0 Adj. Gross Profit ($ Mil.) CEO Compensation Actually Paid Average NEO Compensation Actually Paid Adj. Gross Profit ($Mil.)</w:t>
      </w:r>
    </w:p>
    <w:p>
      <w:pPr>
        <w:pStyle w:val="TextBody"/>
        <w:spacing w:before="0" w:after="0"/>
        <w:jc w:val="center"/>
        <w:rPr/>
      </w:pPr>
      <w:r>
        <w:rPr/>
        <w:drawing>
          <wp:inline distT="0" distB="0" distL="0" distR="0">
            <wp:extent cx="4381500" cy="2457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381500" cy="2457450"/>
                    </a:xfrm>
                    <a:prstGeom prst="rect">
                      <a:avLst/>
                    </a:prstGeom>
                  </pic:spPr>
                </pic:pic>
              </a:graphicData>
            </a:graphic>
          </wp:inline>
        </w:drawing>
      </w:r>
      <w:r>
        <w:rPr/>
        <w:t> </w:t>
      </w:r>
    </w:p>
    <w:p>
      <w:pPr>
        <w:pStyle w:val="TextBody"/>
        <w:spacing w:before="0" w:after="0"/>
        <w:jc w:val="center"/>
        <w:rPr>
          <w:rFonts w:ascii="Times New Roman;serif" w:hAnsi="Times New Roman;serif"/>
          <w:b w:val="false"/>
          <w:sz w:val="2"/>
        </w:rPr>
      </w:pPr>
      <w:r>
        <w:rPr>
          <w:rFonts w:ascii="Times New Roman;serif" w:hAnsi="Times New Roman;serif"/>
          <w:b w:val="false"/>
          <w:sz w:val="2"/>
        </w:rPr>
        <w:t>CAP vs adj Gross Profit</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69</w:t>
      </w:r>
    </w:p>
    <w:p>
      <w:pPr>
        <w:pStyle w:val="HorizontalLine"/>
        <w:rPr/>
      </w:pPr>
      <w:r>
        <w:rPr/>
      </w:r>
    </w:p>
    <w:p>
      <w:pPr>
        <w:pStyle w:val="TextBody"/>
        <w:spacing w:before="0" w:after="0"/>
        <w:jc w:val="left"/>
        <w:rPr/>
      </w:pPr>
      <w:r>
        <w:rPr/>
        <w:t> </w:t>
      </w:r>
    </w:p>
    <w:p>
      <w:pPr>
        <w:pStyle w:val="TextBody"/>
        <w:spacing w:before="200" w:after="0"/>
        <w:jc w:val="left"/>
        <w:rPr>
          <w:rFonts w:ascii="Arial;sans-serif" w:hAnsi="Arial;sans-serif"/>
          <w:b/>
          <w:sz w:val="20"/>
        </w:rPr>
      </w:pPr>
      <w:bookmarkStart w:id="34" w:name="ceo_pay_ratio"/>
      <w:bookmarkEnd w:id="34"/>
      <w:r>
        <w:rPr>
          <w:rFonts w:ascii="Arial;sans-serif" w:hAnsi="Arial;sans-serif"/>
          <w:b/>
          <w:sz w:val="20"/>
        </w:rPr>
        <w:t>CEO Pay Ratio</w:t>
      </w:r>
    </w:p>
    <w:p>
      <w:pPr>
        <w:pStyle w:val="TextBody"/>
        <w:spacing w:before="0" w:after="0"/>
        <w:jc w:val="left"/>
        <w:rPr/>
      </w:pPr>
      <w:r>
        <w:rPr/>
        <w:t> </w:t>
      </w:r>
    </w:p>
    <w:p>
      <w:pPr>
        <w:pStyle w:val="TextBody"/>
        <w:spacing w:before="0" w:after="200"/>
        <w:jc w:val="left"/>
        <w:rPr>
          <w:rFonts w:ascii="Arial;sans-serif" w:hAnsi="Arial;sans-serif"/>
          <w:b w:val="false"/>
          <w:sz w:val="20"/>
        </w:rPr>
      </w:pPr>
      <w:r>
        <w:rPr>
          <w:rFonts w:ascii="Arial;sans-serif" w:hAnsi="Arial;sans-serif"/>
          <w:b w:val="false"/>
          <w:sz w:val="20"/>
        </w:rPr>
        <w:t>As required by Section 953(b) of the Dodd-Frank Wall Street Reform and Consumer Protection Act, we are providing the following information about the relationship between the annual total compensation of our median employee and the annual total compensation of our CEO.</w:t>
      </w:r>
    </w:p>
    <w:p>
      <w:pPr>
        <w:pStyle w:val="TextBody"/>
        <w:spacing w:before="0" w:after="200"/>
        <w:jc w:val="left"/>
        <w:rPr>
          <w:rFonts w:ascii="Times New Roman" w:hAnsi="Times New Roman"/>
          <w:sz w:val="20"/>
        </w:rPr>
      </w:pPr>
      <w:r>
        <w:rPr>
          <w:rFonts w:ascii="Arial;sans-serif" w:hAnsi="Arial;sans-serif"/>
          <w:b w:val="false"/>
          <w:sz w:val="20"/>
        </w:rPr>
        <w:t>Our compensation philosophy is designed to attract and retain high-quality talent and provide total compensation opportunities that support our pay-for-performance objectives. Compensation varies for employees by position and geographic location based on competitive market factors. Our associates’ total compensation may include base pay, incentive pay, overtime and other supplemental pay. We regularly review associate compensation for both internal pay equity and competitiveness within the health care industry. With respect to our CEO and other Named Executive Officers, the Compensation Committee has selected a compensation package composed in large part of variable and at-risk compensation, which the committee believes will appropriately incentivize retention and performance. For more information, please see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of this proxy statement.</w:t>
      </w:r>
      <w:r>
        <w:rPr>
          <w:rFonts w:ascii="Times New Roman" w:hAnsi="Times New Roman"/>
          <w:sz w:val="20"/>
        </w:rPr>
        <w:t xml:space="preserve"> </w:t>
      </w:r>
    </w:p>
    <w:p>
      <w:pPr>
        <w:pStyle w:val="TextBody"/>
        <w:spacing w:before="0" w:after="200"/>
        <w:jc w:val="left"/>
        <w:rPr>
          <w:rFonts w:ascii="Times New Roman" w:hAnsi="Times New Roman"/>
          <w:sz w:val="20"/>
        </w:rPr>
      </w:pPr>
      <w:r>
        <w:rPr>
          <w:rFonts w:ascii="Arial;sans-serif" w:hAnsi="Arial;sans-serif"/>
          <w:b w:val="false"/>
          <w:sz w:val="20"/>
        </w:rPr>
        <w:t>For 2022, our CEO pay ratio was 457:1. This ratio was calculated in compliance with the requirements set forth in Item 402(u) of Regulation S-K using the amount of our CEO’s compensation reported in the "</w:t>
      </w:r>
      <w:r>
        <w:rPr>
          <w:rFonts w:ascii="Arial;sans-serif" w:hAnsi="Arial;sans-serif"/>
          <w:b w:val="false"/>
          <w:i/>
          <w:sz w:val="20"/>
        </w:rPr>
        <w:t>Summary Compensation Table</w:t>
      </w:r>
      <w:r>
        <w:rPr>
          <w:rFonts w:ascii="Arial;sans-serif" w:hAnsi="Arial;sans-serif"/>
          <w:b w:val="false"/>
          <w:sz w:val="20"/>
        </w:rPr>
        <w:t>" for 2022, which is $34,070,592. However, the required compensation measure used for our Chief Executive Officer and included in the pay ratio does not represent his expected normal annual compensation. In September 2022, in order to recognize our recent strong financial performance and to support our talent retention objectives, certain senior employees, including our NEOs, received an additional equity incentive award. For our CEO, this award represented approximately 76% of his total annual compensation for 2022. For more information, see “</w:t>
      </w:r>
      <w:r>
        <w:rPr>
          <w:rFonts w:ascii="Arial;sans-serif" w:hAnsi="Arial;sans-serif"/>
          <w:b w:val="false"/>
          <w:i/>
          <w:sz w:val="20"/>
        </w:rPr>
        <w:t>Compensation Discussion and Analysis—2022 Executive Compensation Program in Detail—Long-Term Equity Incentives—2022 Additional Equity Awards</w:t>
      </w:r>
      <w:r>
        <w:rPr>
          <w:rFonts w:ascii="Arial;sans-serif" w:hAnsi="Arial;sans-serif"/>
          <w:b w:val="false"/>
          <w:sz w:val="20"/>
        </w:rPr>
        <w:t>.” Solely for informational purposes, if the pay ratio were calculated based on the CEO’s normal annual compensation during 2022 (i.e., after deducting the value of the additional award), the pay ratio of our CEO to our median employee would be 102:1.</w:t>
      </w:r>
      <w:r>
        <w:rPr>
          <w:rFonts w:ascii="Times New Roman" w:hAnsi="Times New Roman"/>
          <w:sz w:val="20"/>
        </w:rPr>
        <w:t xml:space="preserve"> </w:t>
      </w:r>
    </w:p>
    <w:p>
      <w:pPr>
        <w:pStyle w:val="TextBody"/>
        <w:spacing w:before="0" w:after="200"/>
        <w:jc w:val="left"/>
        <w:rPr>
          <w:rFonts w:ascii="Arial;sans-serif" w:hAnsi="Arial;sans-serif"/>
          <w:b w:val="false"/>
          <w:sz w:val="20"/>
        </w:rPr>
      </w:pPr>
      <w:r>
        <w:rPr>
          <w:rFonts w:ascii="Arial;sans-serif" w:hAnsi="Arial;sans-serif"/>
          <w:b w:val="false"/>
          <w:sz w:val="20"/>
        </w:rPr>
        <w:t>Outlined below is the process that was applied for identifying our median associate for our comparative compensation analysis of the median associate to our CEO:</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We identified the median associate using 1,119 global full-time, part-time, temporary and seasonal associates employed as of December 31, 2022;</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We consistently applied 2022 W-2 earnings as compensation measure for the median associate;</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We then calculated the median associate’s compensation in the same manner as the Named Executive Officers in the Summary Compensation Table in this proxy statement; and</w:t>
      </w:r>
    </w:p>
    <w:p>
      <w:pPr>
        <w:pStyle w:val="TextBody"/>
        <w:spacing w:before="0" w:after="200"/>
        <w:jc w:val="left"/>
        <w:rPr/>
      </w:pPr>
      <w:r>
        <w:rPr/>
        <w:t>•</w:t>
      </w:r>
    </w:p>
    <w:p>
      <w:pPr>
        <w:pStyle w:val="TextBody"/>
        <w:spacing w:before="0" w:after="200"/>
        <w:jc w:val="left"/>
        <w:rPr>
          <w:rFonts w:ascii="Arial;sans-serif" w:hAnsi="Arial;sans-serif"/>
          <w:b w:val="false"/>
          <w:sz w:val="20"/>
        </w:rPr>
      </w:pPr>
      <w:r>
        <w:rPr>
          <w:rFonts w:ascii="Arial;sans-serif" w:hAnsi="Arial;sans-serif"/>
          <w:b w:val="false"/>
          <w:sz w:val="20"/>
        </w:rPr>
        <w:t>Applying this methodology, our median associate’s total compensation was $74,523, which consists of base salary; and</w:t>
      </w:r>
    </w:p>
    <w:p>
      <w:pPr>
        <w:pStyle w:val="TextBody"/>
        <w:spacing w:before="0" w:after="0"/>
        <w:jc w:val="left"/>
        <w:rPr/>
      </w:pPr>
      <w:r>
        <w:rPr/>
        <w:t>•</w:t>
      </w:r>
    </w:p>
    <w:p>
      <w:pPr>
        <w:pStyle w:val="TextBody"/>
        <w:jc w:val="left"/>
        <w:rPr/>
      </w:pPr>
      <w:r>
        <w:rPr>
          <w:rFonts w:ascii="Arial;sans-serif" w:hAnsi="Arial;sans-serif"/>
          <w:b w:val="false"/>
          <w:sz w:val="20"/>
        </w:rPr>
        <w:t>With respect to the annual total compensation of our CEO, we used the amount reported in the “Total” column of the "</w:t>
      </w:r>
      <w:r>
        <w:rPr>
          <w:rFonts w:ascii="Arial;sans-serif" w:hAnsi="Arial;sans-serif"/>
          <w:b w:val="false"/>
          <w:i/>
          <w:sz w:val="20"/>
        </w:rPr>
        <w:t>Summary Compensation Table</w:t>
      </w:r>
      <w:r>
        <w:rPr>
          <w:rFonts w:ascii="Arial;sans-serif" w:hAnsi="Arial;sans-serif"/>
          <w:b w:val="false"/>
          <w:sz w:val="20"/>
        </w:rPr>
        <w:t>" for 2022 on page 53.</w:t>
      </w:r>
    </w:p>
    <w:p>
      <w:pPr>
        <w:pStyle w:val="TextBody"/>
        <w:spacing w:before="0" w:after="0"/>
        <w:jc w:val="center"/>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70</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35" w:name="certain_relationships_and_related"/>
      <w:bookmarkEnd w:id="35"/>
      <w:r>
        <w:rPr>
          <w:rFonts w:ascii="Arial;sans-serif" w:hAnsi="Arial;sans-serif"/>
          <w:b/>
          <w:sz w:val="20"/>
        </w:rPr>
        <w:t>CERTAIN RELATIONSHIPS AND RELATED PARTY TRANSACTIONS</w:t>
      </w:r>
    </w:p>
    <w:p>
      <w:pPr>
        <w:pStyle w:val="TextBody"/>
        <w:spacing w:before="0" w:after="240"/>
        <w:jc w:val="left"/>
        <w:rPr>
          <w:rFonts w:ascii="Times New Roman" w:hAnsi="Times New Roman"/>
          <w:sz w:val="20"/>
        </w:rPr>
      </w:pPr>
      <w:r>
        <w:rPr>
          <w:rFonts w:ascii="Arial;sans-serif" w:hAnsi="Arial;sans-serif"/>
          <w:b w:val="false"/>
          <w:sz w:val="20"/>
        </w:rPr>
        <w:t>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r>
        <w:rPr>
          <w:rFonts w:ascii="Times New Roman" w:hAnsi="Times New Roman"/>
          <w:sz w:val="20"/>
        </w:rPr>
        <w:t xml:space="preserve">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the related person’s relationship to us and interest in the transaction;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the material facts of the proposed transaction, including the proposed aggregate value of the transaction;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the impact on a director’s independence in the event the related person is a director or an immediate family member of the director;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the benefits to us of the proposed transaction;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if applicable, the availability of other sources of comparable products or services; and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an assessment of whether the proposed transaction is on terms that are comparable to the terms available to an unrelated third party or to employees generally. </w:t>
      </w:r>
    </w:p>
    <w:p>
      <w:pPr>
        <w:pStyle w:val="TextBody"/>
        <w:spacing w:before="0" w:after="240"/>
        <w:jc w:val="left"/>
        <w:rPr>
          <w:rFonts w:ascii="Times New Roman" w:hAnsi="Times New Roman"/>
          <w:sz w:val="20"/>
        </w:rPr>
      </w:pPr>
      <w:r>
        <w:rPr>
          <w:rFonts w:ascii="Arial;sans-serif" w:hAnsi="Arial;sans-serif"/>
          <w:b w:val="false"/>
          <w:sz w:val="20"/>
        </w:rPr>
        <w:t>The Audit Committee may only approve those transactions that are in, or are not inconsistent with, our best interests and those of our stockholders, as the Audit Committee determines in good faith.</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In addition, under our Code of Conduct, our employees and directors have an affirmative responsibility to disclose any transaction or relationship that reasonably could be expected to give rise to a conflict of interest.</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With respect to the transactions described below that were entered into prior to the adoption of the Company’s written Related Party Transactions Policy, all were approved by our Board considering similar factors to those described above.</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sz w:val="20"/>
        </w:rPr>
        <w:t>Related-Party Transactions</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Other than compensation arrangements for our directors and named executive officers, which are described in the sections of this proxy statement titled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and “</w:t>
      </w:r>
      <w:r>
        <w:rPr>
          <w:rFonts w:ascii="Arial;sans-serif" w:hAnsi="Arial;sans-serif"/>
          <w:b w:val="false"/>
          <w:i/>
          <w:sz w:val="20"/>
        </w:rPr>
        <w:t>Executive and Director Compensation</w:t>
      </w:r>
      <w:r>
        <w:rPr>
          <w:rFonts w:ascii="Arial;sans-serif" w:hAnsi="Arial;sans-serif"/>
          <w:b w:val="false"/>
          <w:sz w:val="20"/>
        </w:rPr>
        <w:t>,” below we describe transactions since January 1, 2022 to which we were a participant or will be a participant, in which:</w:t>
      </w:r>
      <w:r>
        <w:rPr>
          <w:rFonts w:ascii="Times New Roman" w:hAnsi="Times New Roman"/>
          <w:sz w:val="20"/>
        </w:rPr>
        <w:t xml:space="preserve">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the amounts involved exceeded or will exceed $120,000; and </w:t>
      </w:r>
    </w:p>
    <w:p>
      <w:pPr>
        <w:pStyle w:val="TextBody"/>
        <w:spacing w:before="0" w:after="240"/>
        <w:jc w:val="left"/>
        <w:rPr/>
      </w:pPr>
      <w:r>
        <w:rPr/>
        <w:t>•</w:t>
      </w:r>
    </w:p>
    <w:p>
      <w:pPr>
        <w:pStyle w:val="TextBody"/>
        <w:spacing w:before="0" w:after="240"/>
        <w:jc w:val="left"/>
        <w:rPr>
          <w:rFonts w:ascii="Arial;sans-serif" w:hAnsi="Arial;sans-serif"/>
          <w:b w:val="false"/>
          <w:sz w:val="20"/>
        </w:rPr>
      </w:pPr>
      <w:r>
        <w:rPr>
          <w:rFonts w:ascii="Arial;sans-serif" w:hAnsi="Arial;sans-serif"/>
          <w:b w:val="false"/>
          <w:sz w:val="20"/>
        </w:rPr>
        <w:t xml:space="preserve">any of our directors, executive officers, or holders of more than 5% of our capital stock, or any member of the immediate family of, or person sharing the household with, the foregoing persons, had or will have a direct or indirect material interest. </w:t>
      </w:r>
    </w:p>
    <w:p>
      <w:pPr>
        <w:pStyle w:val="TextBody"/>
        <w:spacing w:before="0" w:after="240"/>
        <w:jc w:val="left"/>
        <w:rPr>
          <w:rFonts w:ascii="Arial;sans-serif" w:hAnsi="Arial;sans-serif"/>
          <w:b/>
          <w:i/>
          <w:sz w:val="20"/>
        </w:rPr>
      </w:pPr>
      <w:r>
        <w:rPr>
          <w:rFonts w:ascii="Arial;sans-serif" w:hAnsi="Arial;sans-serif"/>
          <w:b/>
          <w:i/>
          <w:sz w:val="20"/>
        </w:rPr>
        <w:t>Secondary Offering</w:t>
      </w:r>
    </w:p>
    <w:p>
      <w:pPr>
        <w:pStyle w:val="TextBody"/>
        <w:spacing w:before="0" w:after="240"/>
        <w:jc w:val="left"/>
        <w:rPr>
          <w:rFonts w:ascii="Times New Roman" w:hAnsi="Times New Roman"/>
          <w:sz w:val="20"/>
        </w:rPr>
      </w:pPr>
      <w:r>
        <w:rPr>
          <w:rFonts w:ascii="Arial;sans-serif" w:hAnsi="Arial;sans-serif"/>
          <w:b w:val="false"/>
          <w:sz w:val="20"/>
        </w:rPr>
        <w:t>On September 20, 2022, certain selling stockholders including the Lead Sponsors (the “Selling Stockholders”) completed a registered public secondary offering (the “Secondary Offering”) of 9,000,000 shares of common stock of the Company, for net proceeds, before expenses, of approximately $131.5 million. The Company did not receive any proceeds from the sale of the shares of common stock by the Selling Stockholders. In connection with the Secondary Offering, the Company entered into an Underwriting Agreement, dated September 15, 2022, by and among the Company, the Selling</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71</w:t>
      </w:r>
    </w:p>
    <w:p>
      <w:pPr>
        <w:pStyle w:val="HorizontalLine"/>
        <w:rPr/>
      </w:pPr>
      <w:r>
        <w:rPr/>
      </w:r>
    </w:p>
    <w:p>
      <w:pPr>
        <w:pStyle w:val="TextBody"/>
        <w:spacing w:before="0" w:after="0"/>
        <w:jc w:val="left"/>
        <w:rPr/>
      </w:pPr>
      <w:r>
        <w:rPr/>
        <w:t> </w:t>
      </w:r>
    </w:p>
    <w:p>
      <w:pPr>
        <w:pStyle w:val="TextBody"/>
        <w:spacing w:before="0" w:after="240"/>
        <w:jc w:val="left"/>
        <w:rPr>
          <w:rFonts w:ascii="Arial;sans-serif" w:hAnsi="Arial;sans-serif"/>
          <w:b w:val="false"/>
          <w:sz w:val="20"/>
        </w:rPr>
      </w:pPr>
      <w:r>
        <w:rPr>
          <w:rFonts w:ascii="Arial;sans-serif" w:hAnsi="Arial;sans-serif"/>
          <w:b w:val="false"/>
          <w:sz w:val="20"/>
        </w:rPr>
        <w:t>Stockholders and J.P. Morgan Securities LLC, as underwriter. The Company agreed to pay certain of the selling stockholders’ expenses for this offering.</w:t>
      </w:r>
    </w:p>
    <w:p>
      <w:pPr>
        <w:pStyle w:val="TextBody"/>
        <w:spacing w:before="0" w:after="240"/>
        <w:jc w:val="left"/>
        <w:rPr>
          <w:rFonts w:ascii="Times New Roman" w:hAnsi="Times New Roman"/>
          <w:sz w:val="20"/>
        </w:rPr>
      </w:pPr>
      <w:r>
        <w:rPr>
          <w:rFonts w:ascii="Arial;sans-serif" w:hAnsi="Arial;sans-serif"/>
          <w:b/>
          <w:i/>
          <w:sz w:val="20"/>
        </w:rPr>
        <w:t>Stockholders Agreement</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We are party to a Stockholders Agreement, dated as of March 30, 2021, with the Lead Sponsors that provides each the right to designate nominees for election to our Board. The Lead Sponsors may also assign their designation rights under the Stockholders Agreement to an affiliate.</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The Stockholders Agreement provides (x) General Atlantic the right to designate: (i) four of the nominees for election to our Board for so long as General Atlantic beneficially owns over 35% of our common stock then outstanding; (ii) three of the nominees for election to our Board for so long as General Atlantic beneficially owns over 25% but less than or equal to 35% of our common stock then outstanding; (iii) two of the nominees for election to our Board for so long as General Atlantic beneficially owns over 15% but less than or equal to 25% of our common stock then outstanding; and (iv) one of the nominees for election to our Board for so long as General Atlantic beneficially owns at least 5% but less than or equal to 15% of our common stock then outstanding and (y) Warburg Pincus the right to designate one of the nominees for election to our Board for so long as Warburg Pincus beneficially owns at least 5% of our common stock then outstanding. In each case, the Lead Sponsors’ nominees must comply with applicable law and stock exchange rules.</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Until such time as a Lead Sponsor ceases to beneficially own at least 10% of our common stock then outstanding, such Lead Sponsor will have the right to designate at least one member of each committee of the Board; provided, that any such designee shall be a director and shall be eligible to serve on the applicable committee under applicable law or stock exchange listing standards, including any applicable independence requirements. 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 In addition, the Lead Sponsors are entitled to designate the replacement for any of their board designees whose board service terminates prior to the end of the director’s term regardless of the applicable Lead Sponsor’s beneficial ownership at such time.</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Arial;sans-serif" w:hAnsi="Arial;sans-serif"/>
          <w:b w:val="false"/>
          <w:sz w:val="20"/>
        </w:rPr>
        <w:t>Additionally, as long as General Atlantic holds at least 25% of our common stock then outstanding, the prior written consent of General Atlantic will be required prior to taking the following actions:</w:t>
      </w:r>
      <w:r>
        <w:rPr>
          <w:rFonts w:ascii="Times New Roman" w:hAnsi="Times New Roman"/>
          <w:sz w:val="20"/>
        </w:rPr>
        <w:t xml:space="preserve"> </w:t>
      </w:r>
    </w:p>
    <w:p>
      <w:pPr>
        <w:pStyle w:val="TextBody"/>
        <w:spacing w:before="120" w:after="0"/>
        <w:jc w:val="left"/>
        <w:rPr>
          <w:rFonts w:ascii="Arial" w:hAnsi="Arial"/>
          <w:b w:val="false"/>
          <w:sz w:val="20"/>
        </w:rPr>
      </w:pPr>
      <w:r>
        <w:rPr>
          <w:rFonts w:ascii="Arial" w:hAnsi="Arial"/>
          <w:b w:val="false"/>
          <w:sz w:val="20"/>
        </w:rPr>
        <w:t>(a)</w:t>
      </w:r>
    </w:p>
    <w:p>
      <w:pPr>
        <w:pStyle w:val="TextBody"/>
        <w:spacing w:before="120" w:after="0"/>
        <w:jc w:val="left"/>
        <w:rPr>
          <w:rFonts w:ascii="Arial;sans-serif" w:hAnsi="Arial;sans-serif"/>
          <w:b w:val="false"/>
          <w:sz w:val="20"/>
        </w:rPr>
      </w:pPr>
      <w:r>
        <w:rPr>
          <w:rFonts w:ascii="Arial;sans-serif" w:hAnsi="Arial;sans-serif"/>
          <w:b w:val="false"/>
          <w:sz w:val="20"/>
        </w:rPr>
        <w:t xml:space="preserve">any acquisition or disposition where aggregate consideration is greater than $200,000,000 in a single transaction or series of related transactions; </w:t>
      </w:r>
    </w:p>
    <w:p>
      <w:pPr>
        <w:pStyle w:val="TextBody"/>
        <w:spacing w:before="120" w:after="0"/>
        <w:jc w:val="left"/>
        <w:rPr>
          <w:rFonts w:ascii="Arial" w:hAnsi="Arial"/>
          <w:b w:val="false"/>
          <w:sz w:val="20"/>
        </w:rPr>
      </w:pPr>
      <w:r>
        <w:rPr>
          <w:rFonts w:ascii="Arial" w:hAnsi="Arial"/>
          <w:b w:val="false"/>
          <w:sz w:val="20"/>
        </w:rPr>
        <w:t>(b)</w:t>
      </w:r>
    </w:p>
    <w:p>
      <w:pPr>
        <w:pStyle w:val="TextBody"/>
        <w:spacing w:before="120" w:after="0"/>
        <w:jc w:val="left"/>
        <w:rPr>
          <w:rFonts w:ascii="Arial;sans-serif" w:hAnsi="Arial;sans-serif"/>
          <w:b w:val="false"/>
          <w:sz w:val="20"/>
        </w:rPr>
      </w:pPr>
      <w:r>
        <w:rPr>
          <w:rFonts w:ascii="Arial;sans-serif" w:hAnsi="Arial;sans-serif"/>
          <w:b w:val="false"/>
          <w:sz w:val="20"/>
        </w:rPr>
        <w:t xml:space="preserve">any transaction in which any person or group acquires more than 50% of our then outstanding capital stock or the power to elect a majority of the members of the Board; </w:t>
      </w:r>
    </w:p>
    <w:p>
      <w:pPr>
        <w:pStyle w:val="TextBody"/>
        <w:spacing w:before="120" w:after="0"/>
        <w:jc w:val="left"/>
        <w:rPr>
          <w:rFonts w:ascii="Arial" w:hAnsi="Arial"/>
          <w:b w:val="false"/>
          <w:sz w:val="20"/>
        </w:rPr>
      </w:pPr>
      <w:r>
        <w:rPr>
          <w:rFonts w:ascii="Arial" w:hAnsi="Arial"/>
          <w:b w:val="false"/>
          <w:sz w:val="20"/>
        </w:rPr>
        <w:t>(c)</w:t>
      </w:r>
    </w:p>
    <w:p>
      <w:pPr>
        <w:pStyle w:val="TextBody"/>
        <w:spacing w:before="120" w:after="0"/>
        <w:jc w:val="left"/>
        <w:rPr>
          <w:rFonts w:ascii="Arial;sans-serif" w:hAnsi="Arial;sans-serif"/>
          <w:b w:val="false"/>
          <w:sz w:val="20"/>
        </w:rPr>
      </w:pPr>
      <w:r>
        <w:rPr>
          <w:rFonts w:ascii="Arial;sans-serif" w:hAnsi="Arial;sans-serif"/>
          <w:b w:val="false"/>
          <w:sz w:val="20"/>
        </w:rPr>
        <w:t xml:space="preserve">any incurrence or refinancing of indebtedness of the Company and our subsidiaries to the extent such incurrence or refinancing would result in the Company and our Subsidiaries having indebtedness in excess of $250,000,000 in the aggregate; </w:t>
      </w:r>
    </w:p>
    <w:p>
      <w:pPr>
        <w:pStyle w:val="TextBody"/>
        <w:spacing w:before="120" w:after="0"/>
        <w:jc w:val="left"/>
        <w:rPr>
          <w:rFonts w:ascii="Arial" w:hAnsi="Arial"/>
          <w:b w:val="false"/>
          <w:sz w:val="20"/>
        </w:rPr>
      </w:pPr>
      <w:r>
        <w:rPr>
          <w:rFonts w:ascii="Arial" w:hAnsi="Arial"/>
          <w:b w:val="false"/>
          <w:sz w:val="20"/>
        </w:rPr>
        <w:t>(d)</w:t>
      </w:r>
    </w:p>
    <w:p>
      <w:pPr>
        <w:pStyle w:val="TextBody"/>
        <w:spacing w:before="120" w:after="0"/>
        <w:jc w:val="left"/>
        <w:rPr>
          <w:rFonts w:ascii="Arial;sans-serif" w:hAnsi="Arial;sans-serif"/>
          <w:b w:val="false"/>
          <w:sz w:val="20"/>
        </w:rPr>
      </w:pPr>
      <w:r>
        <w:rPr>
          <w:rFonts w:ascii="Arial;sans-serif" w:hAnsi="Arial;sans-serif"/>
          <w:b w:val="false"/>
          <w:sz w:val="20"/>
        </w:rPr>
        <w:t xml:space="preserve">hiring or termination of our chief executive officer; </w:t>
      </w:r>
    </w:p>
    <w:p>
      <w:pPr>
        <w:pStyle w:val="TextBody"/>
        <w:spacing w:before="120" w:after="0"/>
        <w:jc w:val="left"/>
        <w:rPr>
          <w:rFonts w:ascii="Arial" w:hAnsi="Arial"/>
          <w:b w:val="false"/>
          <w:sz w:val="20"/>
        </w:rPr>
      </w:pPr>
      <w:r>
        <w:rPr>
          <w:rFonts w:ascii="Arial" w:hAnsi="Arial"/>
          <w:b w:val="false"/>
          <w:sz w:val="20"/>
        </w:rPr>
        <w:t>(e)</w:t>
      </w:r>
    </w:p>
    <w:p>
      <w:pPr>
        <w:pStyle w:val="TextBody"/>
        <w:spacing w:before="120" w:after="0"/>
        <w:jc w:val="left"/>
        <w:rPr>
          <w:rFonts w:ascii="Arial;sans-serif" w:hAnsi="Arial;sans-serif"/>
          <w:b w:val="false"/>
          <w:sz w:val="20"/>
        </w:rPr>
      </w:pPr>
      <w:r>
        <w:rPr>
          <w:rFonts w:ascii="Arial;sans-serif" w:hAnsi="Arial;sans-serif"/>
          <w:b w:val="false"/>
          <w:sz w:val="20"/>
        </w:rPr>
        <w:t xml:space="preserve">any increase or decrease in the size of the Board; or </w:t>
      </w:r>
    </w:p>
    <w:p>
      <w:pPr>
        <w:pStyle w:val="TextBody"/>
        <w:spacing w:before="120" w:after="0"/>
        <w:jc w:val="left"/>
        <w:rPr>
          <w:rFonts w:ascii="Arial" w:hAnsi="Arial"/>
          <w:b w:val="false"/>
          <w:sz w:val="20"/>
        </w:rPr>
      </w:pPr>
      <w:r>
        <w:rPr>
          <w:rFonts w:ascii="Arial" w:hAnsi="Arial"/>
          <w:b w:val="false"/>
          <w:sz w:val="20"/>
        </w:rPr>
        <w:t>(f)</w:t>
      </w:r>
    </w:p>
    <w:p>
      <w:pPr>
        <w:pStyle w:val="TextBody"/>
        <w:spacing w:before="120" w:after="283"/>
        <w:jc w:val="left"/>
        <w:rPr>
          <w:rFonts w:ascii="Arial;sans-serif" w:hAnsi="Arial;sans-serif"/>
          <w:b w:val="false"/>
          <w:sz w:val="20"/>
        </w:rPr>
      </w:pPr>
      <w:r>
        <w:rPr>
          <w:rFonts w:ascii="Arial;sans-serif" w:hAnsi="Arial;sans-serif"/>
          <w:b w:val="false"/>
          <w:sz w:val="20"/>
        </w:rPr>
        <w:t xml:space="preserve">any reorganization, recapitalization, voluntary bankruptcy, liquidation, dissolution or winding-up. </w:t>
      </w:r>
    </w:p>
    <w:p>
      <w:pPr>
        <w:pStyle w:val="TextBody"/>
        <w:spacing w:before="240" w:after="240"/>
        <w:jc w:val="left"/>
        <w:rPr>
          <w:rFonts w:ascii="Times New Roman" w:hAnsi="Times New Roman"/>
          <w:sz w:val="20"/>
        </w:rPr>
      </w:pPr>
      <w:r>
        <w:rPr>
          <w:rFonts w:ascii="Arial;sans-serif" w:hAnsi="Arial;sans-serif"/>
          <w:b w:val="false"/>
          <w:sz w:val="20"/>
        </w:rPr>
        <w:t>The foregoing rights of the Lead Stockholders under the Stockholders Agreement will terminate with respect to a Lead Sponsor at such time as such Lead Sponsor owns less than 5% of our common stock then outstanding.</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72</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Arial;sans-serif" w:hAnsi="Arial;sans-serif"/>
          <w:b/>
          <w:i/>
          <w:sz w:val="20"/>
        </w:rPr>
        <w:t>Registration Rights Agreement</w:t>
      </w:r>
      <w:r>
        <w:rPr>
          <w:rFonts w:ascii="Times New Roman" w:hAnsi="Times New Roman"/>
          <w:sz w:val="20"/>
        </w:rPr>
        <w:t xml:space="preserve"> </w:t>
      </w:r>
    </w:p>
    <w:p>
      <w:pPr>
        <w:pStyle w:val="TextBody"/>
        <w:spacing w:before="0" w:after="240"/>
        <w:jc w:val="left"/>
        <w:rPr>
          <w:rFonts w:ascii="Arial;sans-serif" w:hAnsi="Arial;sans-serif"/>
          <w:b w:val="false"/>
          <w:sz w:val="20"/>
        </w:rPr>
      </w:pPr>
      <w:r>
        <w:rPr>
          <w:rFonts w:ascii="Arial;sans-serif" w:hAnsi="Arial;sans-serif"/>
          <w:b w:val="false"/>
          <w:sz w:val="20"/>
        </w:rPr>
        <w:t>We are party to a registration rights agreement, dated as of March 30, 2021, with the Lead Sponsors and certain other stockholders (the “Applicable Holders”). The Lead Sponsors are entitled to request that we register the Lead Sponsors’ shares on a long-form or short-form registration statement on one or more occasions in the future, which registrations may in certain circumstances be “shelf registrations,” and such other stockholders are entitled to participate in such offerings on a pro rata basis. The Applicable Holders are also entitled to participate in certain of our registered offerings, subject to the restrictions in the registration rights agreement. We will pay the expenses in connection with the exercise of these rights. The registration rights described in this paragraph apply to (i) shares of our common stock held by the Applicable Holders and their affiliates and (ii) any of our capital stock (or that of our subsidiaries) issued or issuable with respect to the common stock described in clause (i) with respect to any dividend, distribution, recapitalization, reorganization, or certain other corporate transactions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or the Securities Act, or repurchased by us or our subsidiaries. In addition, any Registrable Securities held by a person other than the Lead Sponsors and their affiliates will cease to be Registrable Securities if they can be sold without limitation under Rule 144 of the Securities Act.</w:t>
      </w:r>
    </w:p>
    <w:p>
      <w:pPr>
        <w:pStyle w:val="TextBody"/>
        <w:spacing w:before="0" w:after="240"/>
        <w:jc w:val="left"/>
        <w:rPr>
          <w:rFonts w:ascii="Arial;sans-serif" w:hAnsi="Arial;sans-serif"/>
          <w:b/>
          <w:i/>
          <w:sz w:val="20"/>
        </w:rPr>
      </w:pPr>
      <w:r>
        <w:rPr>
          <w:rFonts w:ascii="Arial;sans-serif" w:hAnsi="Arial;sans-serif"/>
          <w:b/>
          <w:i/>
          <w:sz w:val="20"/>
        </w:rPr>
        <w:t>Konowiecki Employment Agreement</w:t>
      </w:r>
    </w:p>
    <w:p>
      <w:pPr>
        <w:pStyle w:val="TextBody"/>
        <w:spacing w:before="0" w:after="240"/>
        <w:jc w:val="left"/>
        <w:rPr>
          <w:rFonts w:ascii="Times New Roman" w:hAnsi="Times New Roman"/>
          <w:sz w:val="20"/>
        </w:rPr>
      </w:pPr>
      <w:r>
        <w:rPr>
          <w:rFonts w:ascii="Arial;sans-serif" w:hAnsi="Arial;sans-serif"/>
          <w:b w:val="false"/>
          <w:sz w:val="20"/>
        </w:rPr>
        <w:t>On October 31, 2022, the Board appointed Mr. Konowiecki, the Company’s Board Chair, to an executive role leading strategic network and business development (the “Executive Role”). In connection with his appointment to the Executive Role, Mr. Konowiecki entered into an employment agreement, dated as of October 31, 2022, with an operating subsidiary of the Company (the “Employment Agreement”). Under the Employment Agreement, Mr. Konowiecki (i) is entitled to an annual base salary of $560,000; and (ii) is eligible on an annual basis to receive a cash bonus, with a target amount equal to 85% of his base salary and a maximum payout equal to 170% of his base salary, based on the terms and conditions of the Company’s annual incentive plan and contingent upon applicable corporate and individual performance metrics. Pursuant to the Employment Agreement, upon commencement of employment, the Company issued to Mr. Konowiecki (i) options to purchase 35,817 shares of Common Stock with an exercise price of $12.25 and (ii) 53,906 restricted stock units (collectively, the “Equity Grants”). The Equity Grants will vest in equal installments on the first four anniversaries of the grant date, subject to Mr. Konowiecki’s continued service in the Executive Role on the applicable vesting date, and the options will expire on the 10</w:t>
      </w:r>
      <w:r>
        <w:rPr>
          <w:rFonts w:ascii="Arial;sans-serif" w:hAnsi="Arial;sans-serif"/>
          <w:b w:val="false"/>
          <w:sz w:val="13"/>
        </w:rPr>
        <w:t>th</w:t>
      </w:r>
      <w:r>
        <w:rPr>
          <w:rFonts w:ascii="Times New Roman" w:hAnsi="Times New Roman"/>
          <w:sz w:val="20"/>
        </w:rPr>
        <w:t xml:space="preserve"> </w:t>
      </w:r>
      <w:r>
        <w:rPr>
          <w:rFonts w:ascii="Arial;sans-serif" w:hAnsi="Arial;sans-serif"/>
          <w:b w:val="false"/>
          <w:sz w:val="20"/>
        </w:rPr>
        <w:t>anniversary of the grant date. During the term of employment, Mr. Konowiecki will be eligible to receive additional equity incentive awards at the discretion of the Board. Mr. Konowiecki will not receive separate compensation for his service on the Board.</w:t>
      </w:r>
    </w:p>
    <w:p>
      <w:pPr>
        <w:pStyle w:val="TextBody"/>
        <w:spacing w:before="0" w:after="240"/>
        <w:jc w:val="left"/>
        <w:rPr>
          <w:rFonts w:ascii="Arial;sans-serif" w:hAnsi="Arial;sans-serif"/>
          <w:b w:val="false"/>
          <w:sz w:val="20"/>
        </w:rPr>
      </w:pPr>
      <w:r>
        <w:rPr>
          <w:rFonts w:ascii="Arial;sans-serif" w:hAnsi="Arial;sans-serif"/>
          <w:b w:val="false"/>
          <w:sz w:val="20"/>
        </w:rPr>
        <w:t>In the event Mr. Konowiecki’s employment is terminated by the Company without “Cause” or by Mr. Konowiecki with “Good Reason” (each as defined in the Employment Agreement), Mr. Konowiecki will be entitled to (i) payment of any bonus earned in connection with the prior calendar year; (ii) severance pay equal to his then-applicable annual base salary plus the target bonus percentage, paid in equal installments over 12 months; (iii) a pro rata amount of any bonus that would have been payable for the calendar year in which the termination occurs; and (iv) payment or reimbursement of COBRA premiums for up to 12 months after the termination date. Further, in the event of a termination by the Company without “Cause” within 12 months of a “Change in Control” (as defined in the applicable award agreements), Mr. Konowiecki will be entitled to accelerated vesting of 100% of his outstanding unvested equity awards.</w:t>
      </w:r>
    </w:p>
    <w:p>
      <w:pPr>
        <w:pStyle w:val="TextBody"/>
        <w:spacing w:before="0" w:after="240"/>
        <w:jc w:val="left"/>
        <w:rPr>
          <w:rFonts w:ascii="Arial;sans-serif" w:hAnsi="Arial;sans-serif"/>
          <w:b w:val="false"/>
          <w:sz w:val="20"/>
        </w:rPr>
      </w:pPr>
      <w:r>
        <w:rPr>
          <w:rFonts w:ascii="Arial;sans-serif" w:hAnsi="Arial;sans-serif"/>
          <w:b w:val="false"/>
          <w:sz w:val="20"/>
        </w:rPr>
        <w:t>The foregoing description is not complete and is qualified in its entirety by reference to the terms of the Employment Agreement, a copy of which is filed as Exhibit 10.3 to our Quarterly Report on Form 10-Q filed with the SEC on November 2, 2022.</w:t>
      </w:r>
    </w:p>
    <w:p>
      <w:pPr>
        <w:pStyle w:val="TextBody"/>
        <w:spacing w:before="240" w:after="0"/>
        <w:jc w:val="center"/>
        <w:rPr>
          <w:rFonts w:ascii="Arial;sans-serif" w:hAnsi="Arial;sans-serif"/>
          <w:b w:val="false"/>
          <w:sz w:val="20"/>
        </w:rPr>
      </w:pPr>
      <w:r>
        <w:rPr>
          <w:rFonts w:ascii="Arial;sans-serif" w:hAnsi="Arial;sans-serif"/>
          <w:b w:val="false"/>
          <w:sz w:val="20"/>
        </w:rPr>
        <w:t>73</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Arial;sans-serif" w:hAnsi="Arial;sans-serif"/>
          <w:b/>
          <w:i/>
          <w:sz w:val="20"/>
        </w:rPr>
        <w:t>Indemnification of Officers and Directors</w:t>
      </w:r>
      <w:r>
        <w:rPr>
          <w:rFonts w:ascii="Times New Roman" w:hAnsi="Times New Roman"/>
          <w:sz w:val="20"/>
        </w:rPr>
        <w:t xml:space="preserve"> </w:t>
      </w:r>
    </w:p>
    <w:p>
      <w:pPr>
        <w:pStyle w:val="TextBody"/>
        <w:spacing w:before="0" w:after="240"/>
        <w:jc w:val="left"/>
        <w:rPr>
          <w:rFonts w:ascii="Arial;sans-serif" w:hAnsi="Arial;sans-serif"/>
          <w:b w:val="false"/>
          <w:sz w:val="20"/>
        </w:rPr>
      </w:pPr>
      <w:r>
        <w:rPr>
          <w:rFonts w:ascii="Arial;sans-serif" w:hAnsi="Arial;sans-serif"/>
          <w:b w:val="false"/>
          <w:sz w:val="20"/>
        </w:rPr>
        <w:t>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pStyle w:val="TextBody"/>
        <w:spacing w:before="0" w:after="240"/>
        <w:jc w:val="left"/>
        <w:rPr>
          <w:rFonts w:ascii="Arial;sans-serif" w:hAnsi="Arial;sans-serif"/>
          <w:b/>
          <w:i/>
          <w:sz w:val="20"/>
        </w:rPr>
      </w:pPr>
      <w:r>
        <w:rPr>
          <w:rFonts w:ascii="Arial;sans-serif" w:hAnsi="Arial;sans-serif"/>
          <w:b/>
          <w:i/>
          <w:sz w:val="20"/>
        </w:rPr>
        <w:t>Other Relationships</w:t>
      </w:r>
    </w:p>
    <w:p>
      <w:pPr>
        <w:pStyle w:val="TextBody"/>
        <w:spacing w:before="0" w:after="240"/>
        <w:jc w:val="left"/>
        <w:rPr>
          <w:rFonts w:ascii="Arial;sans-serif" w:hAnsi="Arial;sans-serif"/>
          <w:b w:val="false"/>
          <w:sz w:val="20"/>
        </w:rPr>
      </w:pPr>
      <w:r>
        <w:rPr>
          <w:rFonts w:ascii="Arial;sans-serif" w:hAnsi="Arial;sans-serif"/>
          <w:b w:val="false"/>
          <w:sz w:val="20"/>
        </w:rPr>
        <w:t>Jeffrey Margolis serves as an independent member of our Board. Mr. Margolis’ daughter has been employed by the Company in operational roles related to member engagement since August 2015. Her compensation has been determined with reference to external market practice of similar positions and internal pay equity when compared to the compensation paid to employees in similar positions. Similarly, she has been granted equity awards on the same general terms and conditions as applicable to employees in similar positions. Mr. Margolis plays no personal role in determining his daughter’s compensation or reviewing his daughter’s performance.</w:t>
      </w:r>
    </w:p>
    <w:p>
      <w:pPr>
        <w:pStyle w:val="TextBody"/>
        <w:spacing w:before="0" w:after="240"/>
        <w:jc w:val="left"/>
        <w:rPr>
          <w:rFonts w:ascii="Arial;sans-serif" w:hAnsi="Arial;sans-serif"/>
          <w:b w:val="false"/>
          <w:sz w:val="20"/>
        </w:rPr>
      </w:pPr>
      <w:r>
        <w:rPr>
          <w:rFonts w:ascii="Arial;sans-serif" w:hAnsi="Arial;sans-serif"/>
          <w:b w:val="false"/>
          <w:sz w:val="20"/>
        </w:rPr>
        <w:t>Mr. Konowiecki’s son is a partner in the law firm of McDermott Will &amp; Emery LLP (“MWE”), which provided legal services to the Company and our subsidiaries during the fiscal year ended December 31, 2022 and continues to do so. For providing these services, MWE received fees during the fiscal year ended December 31, 2022 of approximately $1.46 million and fees in fiscal 2023 through April 15, 2023 totaling approximately $0.3 million. Mr. Konowiecki’s son does not receive any direct compensation from the fees paid to MWE by us, and the fees paid by us to MWE in fiscal 2022 were less than 1% of MWE’s annual revenues. The engagement of MWE was reviewed and approved by our Audit Committee in accordance with our Related Party Transactions Policy.</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74</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bookmarkStart w:id="36" w:name="security_ownership_of_certain_beneficial"/>
      <w:bookmarkEnd w:id="36"/>
      <w:r>
        <w:rPr>
          <w:rFonts w:ascii="Arial;sans-serif" w:hAnsi="Arial;sans-serif"/>
          <w:b/>
          <w:sz w:val="20"/>
        </w:rPr>
        <w:t>SECURITY OWNERSHIP OF CERTAIN BENEFICIAL</w:t>
      </w:r>
    </w:p>
    <w:p>
      <w:pPr>
        <w:pStyle w:val="TextBody"/>
        <w:spacing w:before="0" w:after="200"/>
        <w:jc w:val="center"/>
        <w:rPr>
          <w:rFonts w:ascii="Times New Roman" w:hAnsi="Times New Roman"/>
          <w:sz w:val="20"/>
        </w:rPr>
      </w:pPr>
      <w:r>
        <w:rPr>
          <w:rFonts w:ascii="Arial;sans-serif" w:hAnsi="Arial;sans-serif"/>
          <w:b/>
          <w:sz w:val="20"/>
        </w:rPr>
        <w:t>OWNERS AND MANAGEMENT</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following table sets forth information about the beneficial ownership of our common stock as of April 15, 2023 for:</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each person or group known to us who beneficially owns more than 5% of our common stock immediately prior to this offering;</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each of our directors;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each of our Named Executive Officers;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all of our directors and executive officers as a group.</w:t>
      </w:r>
    </w:p>
    <w:p>
      <w:pPr>
        <w:pStyle w:val="TextBody"/>
        <w:spacing w:before="240" w:after="0"/>
        <w:jc w:val="left"/>
        <w:rPr>
          <w:rFonts w:ascii="Arial;sans-serif" w:hAnsi="Arial;sans-serif"/>
          <w:b w:val="false"/>
          <w:sz w:val="20"/>
        </w:rPr>
      </w:pPr>
      <w:r>
        <w:rPr>
          <w:rFonts w:ascii="Arial;sans-serif" w:hAnsi="Arial;sans-serif"/>
          <w:b w:val="false"/>
          <w:sz w:val="20"/>
        </w:rPr>
        <w:t>Each stockholder’s percentage ownership is based on 188,370,007 shares of common stock outstanding as of April 15, 2023.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April 15, 2023, and common stock issuable upon vesting of RSUs within 60 days of April 15, 2023, are deemed to be outstanding and beneficially owned by the person holding the options or RSUs, as applicable.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spacing w:before="240" w:after="240"/>
        <w:jc w:val="left"/>
        <w:rPr>
          <w:rFonts w:ascii="Arial;sans-serif" w:hAnsi="Arial;sans-serif"/>
          <w:b w:val="false"/>
          <w:sz w:val="20"/>
        </w:rPr>
      </w:pPr>
      <w:r>
        <w:rPr>
          <w:rFonts w:ascii="Arial;sans-serif" w:hAnsi="Arial;sans-serif"/>
          <w:b w:val="false"/>
          <w:sz w:val="20"/>
        </w:rPr>
        <w:t>Unless otherwise noted below, the address of each beneficial owner listed on the table is c/o Alignment Healthcare, Inc., 1100 W. Town and Country Road, Suite 1600, Orange, California 92868. Beneficial ownership representing less than 1% is denoted with an asterisk (*).</w:t>
      </w:r>
    </w:p>
    <w:tbl>
      <w:tblPr>
        <w:tblW w:w="9253" w:type="dxa"/>
        <w:jc w:val="left"/>
        <w:tblInd w:w="0" w:type="dxa"/>
        <w:tblCellMar>
          <w:top w:w="28" w:type="dxa"/>
          <w:left w:w="28" w:type="dxa"/>
          <w:bottom w:w="28" w:type="dxa"/>
          <w:right w:w="28" w:type="dxa"/>
        </w:tblCellMar>
      </w:tblPr>
      <w:tblGrid>
        <w:gridCol w:w="5911"/>
        <w:gridCol w:w="1856"/>
        <w:gridCol w:w="1486"/>
      </w:tblGrid>
      <w:tr>
        <w:trPr/>
        <w:tc>
          <w:tcPr>
            <w:tcW w:w="5911"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591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Beneficial Owner</w:t>
            </w:r>
          </w:p>
        </w:tc>
        <w:tc>
          <w:tcPr>
            <w:tcW w:w="18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Number of Shares</w:t>
            </w:r>
          </w:p>
        </w:tc>
        <w:tc>
          <w:tcPr>
            <w:tcW w:w="14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Percentage</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 Stockholders</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pPr>
            <w:r>
              <w:rPr/>
              <w:t> </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pPr>
            <w:r>
              <w:rPr/>
              <w:t> </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General Atlantic</w:t>
            </w:r>
            <w:r>
              <w:rPr>
                <w:rFonts w:ascii="Arial;sans-serif" w:hAnsi="Arial;sans-serif"/>
                <w:b w:val="false"/>
                <w:sz w:val="13"/>
              </w:rPr>
              <w:t>(1)</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60,993,323</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32.4%</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Warburg Pincus</w:t>
            </w:r>
            <w:r>
              <w:rPr>
                <w:rFonts w:ascii="Arial;sans-serif" w:hAnsi="Arial;sans-serif"/>
                <w:b w:val="false"/>
                <w:sz w:val="13"/>
              </w:rPr>
              <w:t>(2)</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17,922,779</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9.5%</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Fidelity Investments</w:t>
            </w:r>
            <w:r>
              <w:rPr>
                <w:rFonts w:ascii="Arial;sans-serif" w:hAnsi="Arial;sans-serif"/>
                <w:b w:val="false"/>
                <w:sz w:val="13"/>
              </w:rPr>
              <w:t>(3)</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16,834,739</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8.9%</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Named Executive Officers and Directors</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pPr>
            <w:r>
              <w:rPr/>
              <w:t> </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pPr>
            <w:r>
              <w:rPr/>
              <w:t> </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John Kao</w:t>
            </w:r>
            <w:r>
              <w:rPr>
                <w:rFonts w:ascii="Arial;sans-serif" w:hAnsi="Arial;sans-serif"/>
                <w:b w:val="false"/>
                <w:sz w:val="13"/>
              </w:rPr>
              <w:t>(4)</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4,952,391</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2.6%</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Dawn Maroney</w:t>
            </w:r>
            <w:r>
              <w:rPr>
                <w:rFonts w:ascii="Arial;sans-serif" w:hAnsi="Arial;sans-serif"/>
                <w:b w:val="false"/>
                <w:sz w:val="13"/>
              </w:rPr>
              <w:t>(5)</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2,150,908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1.1%</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Thomas Freeman</w:t>
            </w:r>
            <w:r>
              <w:rPr>
                <w:rFonts w:ascii="Arial;sans-serif" w:hAnsi="Arial;sans-serif"/>
                <w:b w:val="false"/>
                <w:sz w:val="13"/>
              </w:rPr>
              <w:t>(6)</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1,183,354</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Dinesh Kumar</w:t>
            </w:r>
            <w:r>
              <w:rPr>
                <w:rFonts w:ascii="Arial;sans-serif" w:hAnsi="Arial;sans-serif"/>
                <w:b w:val="false"/>
                <w:sz w:val="13"/>
              </w:rPr>
              <w:t>(7)</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561,436</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Richard Cross</w:t>
            </w:r>
            <w:r>
              <w:rPr>
                <w:rFonts w:ascii="Arial;sans-serif" w:hAnsi="Arial;sans-serif"/>
                <w:b w:val="false"/>
                <w:sz w:val="13"/>
              </w:rPr>
              <w:t>(8)</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416,536</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Jody Bilney</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9,558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Thomas Carella</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44,409</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David Hodgson</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38,548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Yon Jorden</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9,558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Joseph Konowiecki</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953,998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Jacqueline Kosecoff</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198,540</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Jeffrey Margolis</w:t>
            </w:r>
            <w:r>
              <w:rPr>
                <w:rFonts w:ascii="Arial;sans-serif" w:hAnsi="Arial;sans-serif"/>
                <w:b w:val="false"/>
                <w:sz w:val="13"/>
              </w:rPr>
              <w:t>(9)</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467,183</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Margaret McCarthy</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48,890</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 McClellan</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282,376</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Robbert Vorhoff</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38,548</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w:t>
            </w:r>
          </w:p>
        </w:tc>
      </w:tr>
      <w:tr>
        <w:trPr/>
        <w:tc>
          <w:tcPr>
            <w:tcW w:w="5911"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sz w:val="20"/>
              </w:rPr>
              <w:t>Executive Officers and Directors as a Group (17 individuals)</w:t>
            </w:r>
            <w:r>
              <w:rPr>
                <w:rFonts w:ascii="Arial;sans-serif" w:hAnsi="Arial;sans-serif"/>
                <w:b/>
                <w:sz w:val="13"/>
              </w:rPr>
              <w:t>(10)</w:t>
            </w:r>
          </w:p>
        </w:tc>
        <w:tc>
          <w:tcPr>
            <w:tcW w:w="1856" w:type="dxa"/>
            <w:tcBorders>
              <w:bottom w:val="single" w:sz="2" w:space="0" w:color="000000"/>
              <w:right w:val="single" w:sz="2" w:space="0" w:color="000000"/>
            </w:tcBorders>
            <w:shd w:fill="auto" w:val="clear"/>
            <w:tcMar>
              <w:top w:w="0" w:type="dxa"/>
              <w:left w:w="0" w:type="dxa"/>
              <w:right w:w="108" w:type="dxa"/>
            </w:tcMar>
            <w:vAlign w:val="center"/>
          </w:tcPr>
          <w:p>
            <w:pPr>
              <w:pStyle w:val="TableContents"/>
              <w:spacing w:before="0" w:after="0"/>
              <w:ind w:left="0" w:right="790" w:hanging="0"/>
              <w:jc w:val="right"/>
              <w:rPr>
                <w:rFonts w:ascii="Arial;sans-serif" w:hAnsi="Arial;sans-serif"/>
                <w:b w:val="false"/>
                <w:sz w:val="20"/>
              </w:rPr>
            </w:pPr>
            <w:r>
              <w:rPr>
                <w:rFonts w:ascii="Arial;sans-serif" w:hAnsi="Arial;sans-serif"/>
                <w:b w:val="false"/>
                <w:sz w:val="20"/>
              </w:rPr>
              <w:t>12,033,629</w:t>
            </w:r>
          </w:p>
        </w:tc>
        <w:tc>
          <w:tcPr>
            <w:tcW w:w="1486" w:type="dxa"/>
            <w:tcBorders>
              <w:bottom w:val="single" w:sz="2" w:space="0" w:color="000000"/>
            </w:tcBorders>
            <w:shd w:fill="auto" w:val="clear"/>
            <w:tcMar>
              <w:top w:w="0" w:type="dxa"/>
              <w:left w:w="0" w:type="dxa"/>
              <w:right w:w="0" w:type="dxa"/>
            </w:tcMar>
            <w:vAlign w:val="center"/>
          </w:tcPr>
          <w:p>
            <w:pPr>
              <w:pStyle w:val="TableContents"/>
              <w:spacing w:before="0" w:after="0"/>
              <w:ind w:left="0" w:right="780" w:hanging="0"/>
              <w:jc w:val="right"/>
              <w:rPr>
                <w:rFonts w:ascii="Arial;sans-serif" w:hAnsi="Arial;sans-serif"/>
                <w:b w:val="false"/>
                <w:sz w:val="20"/>
              </w:rPr>
            </w:pPr>
            <w:r>
              <w:rPr>
                <w:rFonts w:ascii="Arial;sans-serif" w:hAnsi="Arial;sans-serif"/>
                <w:b w:val="false"/>
                <w:sz w:val="20"/>
              </w:rPr>
              <w:t>6.3%</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75</w:t>
      </w:r>
    </w:p>
    <w:p>
      <w:pPr>
        <w:pStyle w:val="HorizontalLine"/>
        <w:rPr/>
      </w:pPr>
      <w:r>
        <w:rPr/>
      </w:r>
    </w:p>
    <w:p>
      <w:pPr>
        <w:pStyle w:val="TextBody"/>
        <w:spacing w:before="0" w:after="0"/>
        <w:jc w:val="left"/>
        <w:rPr/>
      </w:pPr>
      <w:r>
        <w:rPr/>
        <w:t> </w:t>
      </w:r>
    </w:p>
    <w:p>
      <w:pPr>
        <w:pStyle w:val="TextBody"/>
        <w:spacing w:before="240" w:after="160"/>
        <w:jc w:val="left"/>
        <w:rPr>
          <w:rFonts w:ascii="Arial" w:hAnsi="Arial"/>
          <w:b w:val="false"/>
          <w:sz w:val="16"/>
        </w:rPr>
      </w:pPr>
      <w:r>
        <w:rPr>
          <w:rFonts w:ascii="Arial" w:hAnsi="Arial"/>
          <w:b w:val="false"/>
          <w:sz w:val="16"/>
        </w:rPr>
        <w:t>(1)</w:t>
      </w:r>
    </w:p>
    <w:p>
      <w:pPr>
        <w:pStyle w:val="TextBody"/>
        <w:spacing w:before="240" w:after="160"/>
        <w:jc w:val="left"/>
        <w:rPr>
          <w:rFonts w:ascii="Arial;sans-serif" w:hAnsi="Arial;sans-serif"/>
          <w:b w:val="false"/>
          <w:sz w:val="16"/>
        </w:rPr>
      </w:pPr>
      <w:r>
        <w:rPr>
          <w:rFonts w:ascii="Arial;sans-serif" w:hAnsi="Arial;sans-serif"/>
          <w:b w:val="false"/>
          <w:sz w:val="16"/>
        </w:rPr>
        <w:t>The limited partners that share beneficial ownership of the shares held by General Atlantic (ALN HLTH), L.P. are the following General Atlantic investment funds (the “GA Funds”): General Atlantic Partners 95, L.P. (“GAP 95”), GAP Coinvestments III, LLC (“GAPCO III”), GAP Coinvestments IV, LLC (“GAPCO IV”), GAP Coinvestments V, LLC (“GAPCO V”), GAP Coinvestments CDA, L.P. (“GAPCO CDA”) and GAPCO GmbH &amp; Co. KG (“GAPCO GmbH”). The general partner of General Atlantic (ALN HLTH), L.P. is General Atlantic (SPV) GP, LLC (“GA SPV”). The general partner of GAP 95 is ultimately controlled by General Atlantic, L.P. (“GA LP”). GA LP is the managing member of GAPCO III, GAPCO IV and GAPCO V, the general partner of GAPCO CDA and is the sole member of GA SPV. The general partner of GAPCO KG is GAPCO Management GmbH (“GAPCO Management”). There are nine members of the management committee of GA LP (the “GA Management Committee”). GA LP, GA SPV, GAP 95, GAPCO III, GAPCO IV, GAPCO V, GAPCO CDA and GAPCO GmbH (collectively, the “GA Group”) are a “group” within the meaning of Rule 13d-5 of the Securities Exchange Act of 1934, as amended. Each of the members of the GA Management Committee disclaims ownership of the shares except to the extent that he has a pecuniary interest therein. The mailing address of the GA Group except GAPCO GmbH is c/o General Atlantic Service Company, L.P., 55 East 52nd Street, 33rd Floor, New York, NY 10055. The mailing address of GAPCO GmbH and GAPCO Management is c/o General Atlantic GmbH, Luitpoldblock, Amiraplatz 3, 80333 München, Germany.</w:t>
      </w:r>
    </w:p>
    <w:p>
      <w:pPr>
        <w:pStyle w:val="TextBody"/>
        <w:spacing w:before="240" w:after="160"/>
        <w:jc w:val="left"/>
        <w:rPr>
          <w:rFonts w:ascii="Arial" w:hAnsi="Arial"/>
          <w:b w:val="false"/>
          <w:sz w:val="16"/>
        </w:rPr>
      </w:pPr>
      <w:r>
        <w:rPr>
          <w:rFonts w:ascii="Arial" w:hAnsi="Arial"/>
          <w:b w:val="false"/>
          <w:sz w:val="16"/>
        </w:rPr>
        <w:t>(2)</w:t>
      </w:r>
    </w:p>
    <w:p>
      <w:pPr>
        <w:pStyle w:val="TextBody"/>
        <w:spacing w:before="240" w:after="160"/>
        <w:jc w:val="left"/>
        <w:rPr>
          <w:rFonts w:ascii="Arial;sans-serif" w:hAnsi="Arial;sans-serif"/>
          <w:b w:val="false"/>
          <w:sz w:val="16"/>
        </w:rPr>
      </w:pPr>
      <w:r>
        <w:rPr>
          <w:rFonts w:ascii="Arial;sans-serif" w:hAnsi="Arial;sans-serif"/>
          <w:b w:val="false"/>
          <w:sz w:val="16"/>
        </w:rPr>
        <w:t>Includes shares held by (i) Warburg Pincus Private Equity XII, L.P., a Delaware limited partnership (“WP XII”), (ii) Warburg Pincus Private Equity XII-B, L.P., a Delaware limited partnership (“WP XII-B”), (iii) Warburg Pincus Private Equity XII-D, L.P., a Delaware limited partnership (“WP XII-D”), (iv) Warburg Pincus Private Equity XII-E, L.P., a Delaware limited partnership (“WP XII-E”), (v) WP XII Partners, L.P., a Delaware limited partnership (“WP XII Partners”), (vi) Warburg Pincus XII Partners, L.P., a Delaware limited partnership (“Warburg Pincus XII Partners” and, together with WP XII, WP XII-B, WP XII-D, WP XII-E, and WP XII Partners, the “WP XII Funds”). Warburg Pincus XII, L.P., a Delaware limited partnership (“WP XII GP”), is the general partner of the WP XII Funds. WP Global LLC, a Delaware limited liability company (“WP Global”), is the general partner of WP XII GP. Warburg Pincus Partners II, L.P., a Delaware limited partnership (“WPP II”), is the managing member of WP Global. Warburg Pincus Partners II Holdings, L.P., a Delaware limited partnership (“WPP II Holdings”), is a limited partner of WPP II. Warburg Pincus Partners GP LLC, a Delaware limited liability company (“WPP GP”), is the general partner of WPP II and WPP II Holdings. Warburg Pincus &amp; Co., a New York general partnership (“WP”), is the managing member of WPP GP. Warburg Pincus LLC, a New York limited liability company (“WP LLC”) is a registered investment adviser and the manager of the WP XII Funds. Investment and voting decisions with respect to the shares held by the WP XII Funds are made by a committee comprised of three or more individuals and all members of such committee disclaim beneficial ownership of the shares. The address of the WP LLC, WP, WPP GP, WPP II, WPP II Holdings, WP Global, WP XII GP, and the WP XII Funds is 450 Lexington Avenue, New York, New York 10017. All indirect holders of the above referenced shares disclaim beneficial ownership of all applicable shares except to the extent of their pecuniary interest therein.</w:t>
      </w:r>
    </w:p>
    <w:p>
      <w:pPr>
        <w:pStyle w:val="TextBody"/>
        <w:spacing w:before="240" w:after="160"/>
        <w:jc w:val="left"/>
        <w:rPr>
          <w:rFonts w:ascii="Arial" w:hAnsi="Arial"/>
          <w:b w:val="false"/>
          <w:sz w:val="16"/>
        </w:rPr>
      </w:pPr>
      <w:r>
        <w:rPr>
          <w:rFonts w:ascii="Arial" w:hAnsi="Arial"/>
          <w:b w:val="false"/>
          <w:sz w:val="16"/>
        </w:rPr>
        <w:t>(3)</w:t>
      </w:r>
    </w:p>
    <w:p>
      <w:pPr>
        <w:pStyle w:val="TextBody"/>
        <w:spacing w:before="240" w:after="160"/>
        <w:jc w:val="left"/>
        <w:rPr>
          <w:rFonts w:ascii="Arial;sans-serif" w:hAnsi="Arial;sans-serif"/>
          <w:b w:val="false"/>
          <w:sz w:val="16"/>
        </w:rPr>
      </w:pPr>
      <w:r>
        <w:rPr>
          <w:rFonts w:ascii="Arial;sans-serif" w:hAnsi="Arial;sans-serif"/>
          <w:b w:val="false"/>
          <w:sz w:val="16"/>
        </w:rPr>
        <w:t>Includes shares held directly by Fidelity Mt, Vernon Street Trust: Fidelity Series Growth Company Fund, Fidelity Mt. Vernon Street Trust: Fidelity Growth Company Fund, Fidelity Growth Company Commingled Pool, Fidelity Mt. Vernon Street Trust: Fidelity Growth Company K6 Fund, Fidelity Securities Fund: Fidelity Blue Chip Growth Fund, Fidelity Blue Chip Growth Commingled Pool, Fidelity Securities Fund: Fidelity Flex Large Cap Growth Fund, Fidelity Securities Fund: Fidelity Blue Chip Growth K6 Fund, Fidelity Blue Chip Growth Institutional Trust, Fidelity Securities Fund: Fidelity Series Blue Chip Growth Fund, FIAM Select Portfolios: Health Care Portfolios, Fidelity Advisors Series VII: Fidelity Advisor Health Care Fund, Variable Insurance Products Fund IV: Health Care Portfolio, and Fidelity Select Portfolios: Health Care Services Portfolio (collectively, the “Fidelity Funds”). The Fidelity Funds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The address of FMR LLC and FRMC LLC is 88 Black Falcon Ave., Suite 167, V12F, Boston, Massachusetts 02210.</w:t>
      </w:r>
    </w:p>
    <w:p>
      <w:pPr>
        <w:pStyle w:val="TextBody"/>
        <w:spacing w:before="240" w:after="160"/>
        <w:jc w:val="left"/>
        <w:rPr>
          <w:rFonts w:ascii="Arial" w:hAnsi="Arial"/>
          <w:b w:val="false"/>
          <w:sz w:val="16"/>
        </w:rPr>
      </w:pPr>
      <w:r>
        <w:rPr>
          <w:rFonts w:ascii="Arial" w:hAnsi="Arial"/>
          <w:b w:val="false"/>
          <w:sz w:val="16"/>
        </w:rPr>
        <w:t>(4)</w:t>
      </w:r>
    </w:p>
    <w:p>
      <w:pPr>
        <w:pStyle w:val="TextBody"/>
        <w:spacing w:before="240" w:after="160"/>
        <w:jc w:val="left"/>
        <w:rPr>
          <w:rFonts w:ascii="Arial;sans-serif" w:hAnsi="Arial;sans-serif"/>
          <w:b w:val="false"/>
          <w:sz w:val="16"/>
        </w:rPr>
      </w:pPr>
      <w:r>
        <w:rPr>
          <w:rFonts w:ascii="Arial;sans-serif" w:hAnsi="Arial;sans-serif"/>
          <w:b w:val="false"/>
          <w:sz w:val="16"/>
        </w:rPr>
        <w:t xml:space="preserve">Includes (i) 179,716 shares held by Mr. Kao and 2,225,277 shares held by JEK Trust, dated February 8, 2021, of which John Kao is the trustee; (ii) 497,823 restricted shares subject to time-based vesting held by JEK Trust; and (iii) 2,049,575 shares underlying outstanding stock options held by Mr. Kao that are currently exercisable. </w:t>
      </w:r>
    </w:p>
    <w:p>
      <w:pPr>
        <w:pStyle w:val="TextBody"/>
        <w:spacing w:before="240" w:after="160"/>
        <w:jc w:val="left"/>
        <w:rPr>
          <w:rFonts w:ascii="Arial" w:hAnsi="Arial"/>
          <w:b w:val="false"/>
          <w:sz w:val="16"/>
        </w:rPr>
      </w:pPr>
      <w:r>
        <w:rPr>
          <w:rFonts w:ascii="Arial" w:hAnsi="Arial"/>
          <w:b w:val="false"/>
          <w:sz w:val="16"/>
        </w:rPr>
        <w:t>(5)</w:t>
      </w:r>
    </w:p>
    <w:p>
      <w:pPr>
        <w:pStyle w:val="TextBody"/>
        <w:spacing w:before="240" w:after="160"/>
        <w:jc w:val="left"/>
        <w:rPr>
          <w:rFonts w:ascii="Arial;sans-serif" w:hAnsi="Arial;sans-serif"/>
          <w:b w:val="false"/>
          <w:sz w:val="16"/>
        </w:rPr>
      </w:pPr>
      <w:r>
        <w:rPr>
          <w:rFonts w:ascii="Arial;sans-serif" w:hAnsi="Arial;sans-serif"/>
          <w:b w:val="false"/>
          <w:sz w:val="16"/>
        </w:rPr>
        <w:t>Includes (i) 305,439 restricted shares subject to time-based vesting and (ii) 553,369 shares underlying outstanding stock options that are currently exercisable.</w:t>
      </w:r>
    </w:p>
    <w:p>
      <w:pPr>
        <w:pStyle w:val="TextBody"/>
        <w:spacing w:before="240" w:after="160"/>
        <w:jc w:val="left"/>
        <w:rPr>
          <w:rFonts w:ascii="Arial" w:hAnsi="Arial"/>
          <w:b w:val="false"/>
          <w:sz w:val="16"/>
        </w:rPr>
      </w:pPr>
      <w:r>
        <w:rPr>
          <w:rFonts w:ascii="Arial" w:hAnsi="Arial"/>
          <w:b w:val="false"/>
          <w:sz w:val="16"/>
        </w:rPr>
        <w:t>(6)</w:t>
      </w:r>
    </w:p>
    <w:p>
      <w:pPr>
        <w:pStyle w:val="TextBody"/>
        <w:spacing w:before="240" w:after="160"/>
        <w:jc w:val="left"/>
        <w:rPr>
          <w:rFonts w:ascii="Arial;sans-serif" w:hAnsi="Arial;sans-serif"/>
          <w:b w:val="false"/>
          <w:sz w:val="16"/>
        </w:rPr>
      </w:pPr>
      <w:r>
        <w:rPr>
          <w:rFonts w:ascii="Arial;sans-serif" w:hAnsi="Arial;sans-serif"/>
          <w:b w:val="false"/>
          <w:sz w:val="16"/>
        </w:rPr>
        <w:t xml:space="preserve">Includes (i) 223,941 shares of our common stock and 33,532 restricted shares subject to time-based vesting held by Mr. Freeman, and (ii) 329,411 shares of our common stock and 190,018 restricted shares subject to time-based vesting held by FCO Holdings LLC (“FCO LLC”), a limited liability company, of which Mr. Freeman was the sole member. Mr. Freeman has transferred all of his FCO LLC membership interests to FCO Holdings Trust One, an irrevocable trust. Mr. Freeman may be deemed to have shared voting and/or investment power with respect to all of the shares of our common stock </w:t>
      </w:r>
    </w:p>
    <w:p>
      <w:pPr>
        <w:pStyle w:val="TextBody"/>
        <w:spacing w:before="240" w:after="0"/>
        <w:jc w:val="center"/>
        <w:rPr>
          <w:rFonts w:ascii="Arial;sans-serif" w:hAnsi="Arial;sans-serif"/>
          <w:b w:val="false"/>
          <w:sz w:val="20"/>
        </w:rPr>
      </w:pPr>
      <w:r>
        <w:rPr>
          <w:rFonts w:ascii="Arial;sans-serif" w:hAnsi="Arial;sans-serif"/>
          <w:b w:val="false"/>
          <w:sz w:val="20"/>
        </w:rPr>
        <w:t>76</w:t>
      </w:r>
    </w:p>
    <w:p>
      <w:pPr>
        <w:pStyle w:val="HorizontalLine"/>
        <w:rPr/>
      </w:pPr>
      <w:r>
        <w:rPr/>
      </w:r>
    </w:p>
    <w:p>
      <w:pPr>
        <w:pStyle w:val="TextBody"/>
        <w:spacing w:before="0" w:after="0"/>
        <w:jc w:val="left"/>
        <w:rPr/>
      </w:pPr>
      <w:r>
        <w:rPr/>
        <w:t> </w:t>
      </w:r>
    </w:p>
    <w:p>
      <w:pPr>
        <w:pStyle w:val="TextBody"/>
        <w:spacing w:before="240" w:after="160"/>
        <w:jc w:val="left"/>
        <w:rPr>
          <w:rFonts w:ascii="Arial;sans-serif" w:hAnsi="Arial;sans-serif"/>
          <w:b w:val="false"/>
          <w:sz w:val="16"/>
        </w:rPr>
      </w:pPr>
      <w:r>
        <w:rPr>
          <w:rFonts w:ascii="Arial;sans-serif" w:hAnsi="Arial;sans-serif"/>
          <w:b w:val="false"/>
          <w:sz w:val="16"/>
        </w:rPr>
        <w:t>indirectly held by such trust. Also includes 406,452 shares underlying outstanding stock options that are currently exercisable.</w:t>
      </w:r>
    </w:p>
    <w:p>
      <w:pPr>
        <w:pStyle w:val="TextBody"/>
        <w:spacing w:before="240" w:after="160"/>
        <w:jc w:val="left"/>
        <w:rPr>
          <w:rFonts w:ascii="Arial" w:hAnsi="Arial"/>
          <w:b w:val="false"/>
          <w:sz w:val="16"/>
        </w:rPr>
      </w:pPr>
      <w:r>
        <w:rPr>
          <w:rFonts w:ascii="Arial" w:hAnsi="Arial"/>
          <w:b w:val="false"/>
          <w:sz w:val="16"/>
        </w:rPr>
        <w:t>(7)</w:t>
      </w:r>
    </w:p>
    <w:p>
      <w:pPr>
        <w:pStyle w:val="TextBody"/>
        <w:spacing w:before="240" w:after="160"/>
        <w:jc w:val="left"/>
        <w:rPr>
          <w:rFonts w:ascii="Arial;sans-serif" w:hAnsi="Arial;sans-serif"/>
          <w:b w:val="false"/>
          <w:sz w:val="16"/>
        </w:rPr>
      </w:pPr>
      <w:r>
        <w:rPr>
          <w:rFonts w:ascii="Arial;sans-serif" w:hAnsi="Arial;sans-serif"/>
          <w:b w:val="false"/>
          <w:sz w:val="16"/>
        </w:rPr>
        <w:t>Includes (i) 143,395 restricted shares subject to time-based vesting and (ii) 372,995 shares underlying outstanding stock options that are currently exercisable.</w:t>
      </w:r>
    </w:p>
    <w:p>
      <w:pPr>
        <w:pStyle w:val="TextBody"/>
        <w:spacing w:before="240" w:after="160"/>
        <w:jc w:val="left"/>
        <w:rPr>
          <w:rFonts w:ascii="Arial" w:hAnsi="Arial"/>
          <w:b w:val="false"/>
          <w:sz w:val="16"/>
        </w:rPr>
      </w:pPr>
      <w:r>
        <w:rPr>
          <w:rFonts w:ascii="Arial" w:hAnsi="Arial"/>
          <w:b w:val="false"/>
          <w:sz w:val="16"/>
        </w:rPr>
        <w:t>(8)</w:t>
      </w:r>
    </w:p>
    <w:p>
      <w:pPr>
        <w:pStyle w:val="TextBody"/>
        <w:spacing w:before="240" w:after="160"/>
        <w:jc w:val="left"/>
        <w:rPr>
          <w:rFonts w:ascii="Arial;sans-serif" w:hAnsi="Arial;sans-serif"/>
          <w:b w:val="false"/>
          <w:sz w:val="16"/>
        </w:rPr>
      </w:pPr>
      <w:r>
        <w:rPr>
          <w:rFonts w:ascii="Arial;sans-serif" w:hAnsi="Arial;sans-serif"/>
          <w:b w:val="false"/>
          <w:sz w:val="16"/>
        </w:rPr>
        <w:t xml:space="preserve">Includes (i) 44,910 restricted shares subject to time-based vesting and (ii) 131,902 shares underlying outstanding stock options that are currently exercisable. </w:t>
      </w:r>
    </w:p>
    <w:p>
      <w:pPr>
        <w:pStyle w:val="TextBody"/>
        <w:spacing w:before="240" w:after="160"/>
        <w:jc w:val="left"/>
        <w:rPr>
          <w:rFonts w:ascii="Arial" w:hAnsi="Arial"/>
          <w:b w:val="false"/>
          <w:sz w:val="16"/>
        </w:rPr>
      </w:pPr>
      <w:r>
        <w:rPr>
          <w:rFonts w:ascii="Arial" w:hAnsi="Arial"/>
          <w:b w:val="false"/>
          <w:sz w:val="16"/>
        </w:rPr>
        <w:t>(9)</w:t>
      </w:r>
    </w:p>
    <w:p>
      <w:pPr>
        <w:pStyle w:val="TextBody"/>
        <w:spacing w:before="240" w:after="160"/>
        <w:jc w:val="left"/>
        <w:rPr>
          <w:rFonts w:ascii="Arial;sans-serif" w:hAnsi="Arial;sans-serif"/>
          <w:b w:val="false"/>
          <w:sz w:val="16"/>
        </w:rPr>
      </w:pPr>
      <w:r>
        <w:rPr>
          <w:rFonts w:ascii="Arial;sans-serif" w:hAnsi="Arial;sans-serif"/>
          <w:b w:val="false"/>
          <w:sz w:val="16"/>
        </w:rPr>
        <w:t xml:space="preserve">Includes 425,533 shares held by the Margolis Family Trust 12/23/98, of which Jeffrey Margolis is the trustee. </w:t>
      </w:r>
    </w:p>
    <w:p>
      <w:pPr>
        <w:pStyle w:val="TextBody"/>
        <w:spacing w:before="240" w:after="240"/>
        <w:jc w:val="left"/>
        <w:rPr>
          <w:rFonts w:ascii="Arial" w:hAnsi="Arial"/>
          <w:b w:val="false"/>
          <w:sz w:val="16"/>
        </w:rPr>
      </w:pPr>
      <w:r>
        <w:rPr>
          <w:rFonts w:ascii="Arial" w:hAnsi="Arial"/>
          <w:b w:val="false"/>
          <w:sz w:val="16"/>
        </w:rPr>
        <w:t>(10)</w:t>
      </w:r>
    </w:p>
    <w:p>
      <w:pPr>
        <w:pStyle w:val="TextBody"/>
        <w:spacing w:before="240" w:after="240"/>
        <w:jc w:val="left"/>
        <w:rPr>
          <w:rFonts w:ascii="Arial;sans-serif" w:hAnsi="Arial;sans-serif"/>
          <w:b w:val="false"/>
          <w:sz w:val="16"/>
        </w:rPr>
      </w:pPr>
      <w:r>
        <w:rPr>
          <w:rFonts w:ascii="Arial;sans-serif" w:hAnsi="Arial;sans-serif"/>
          <w:b w:val="false"/>
          <w:sz w:val="16"/>
        </w:rPr>
        <w:t>Includes directors, nominees and current executive officers.</w:t>
      </w:r>
    </w:p>
    <w:p>
      <w:pPr>
        <w:pStyle w:val="TextBody"/>
        <w:spacing w:before="120" w:after="240"/>
        <w:jc w:val="left"/>
        <w:rPr>
          <w:rFonts w:ascii="Times New Roman" w:hAnsi="Times New Roman"/>
          <w:sz w:val="20"/>
        </w:rPr>
      </w:pPr>
      <w:r>
        <w:rPr>
          <w:rFonts w:ascii="Arial;sans-serif" w:hAnsi="Arial;sans-serif"/>
          <w:b/>
          <w:sz w:val="20"/>
        </w:rPr>
        <w:t>Securities Authorized for Issuance under Equity Incentive Compensation Plans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following table provides information as of December 31, 2022, regarding shares of our common stock that may be issued under our equity compensation plans.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39"/>
        <w:gridCol w:w="146"/>
        <w:gridCol w:w="2723"/>
        <w:gridCol w:w="146"/>
        <w:gridCol w:w="1799"/>
        <w:gridCol w:w="146"/>
        <w:gridCol w:w="1906"/>
      </w:tblGrid>
      <w:tr>
        <w:trPr/>
        <w:tc>
          <w:tcPr>
            <w:tcW w:w="33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r>
      <w:tr>
        <w:trPr/>
        <w:tc>
          <w:tcPr>
            <w:tcW w:w="333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2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9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3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Plan Category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23"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securities to be issued upon exercise of</w:t>
              <w:br/>
              <w:t>outstanding options,</w:t>
              <w:br/>
              <w:t>warrants and rights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 average exercise</w:t>
              <w:br/>
              <w:t>price of outstanding options,</w:t>
              <w:br/>
              <w:t>warrants and rights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remaining</w:t>
              <w:br/>
              <w:t>available securities for future</w:t>
              <w:br/>
              <w:t>issuance under equity</w:t>
              <w:br/>
              <w:t>compensation plans</w:t>
            </w:r>
          </w:p>
        </w:tc>
      </w:tr>
      <w:tr>
        <w:trPr/>
        <w:tc>
          <w:tcPr>
            <w:tcW w:w="333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Equity compensation plans approved by stockholders</w:t>
            </w:r>
            <w:r>
              <w:rPr>
                <w:rFonts w:ascii="Arial;sans-serif" w:hAnsi="Arial;sans-serif"/>
                <w:b w:val="false"/>
                <w:sz w:val="13"/>
              </w:rPr>
              <w:t>(1)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2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val="false"/>
                <w:sz w:val="20"/>
              </w:rPr>
              <w:t>16,848,385</w:t>
            </w:r>
            <w:r>
              <w:rPr>
                <w:rFonts w:ascii="Arial;sans-serif" w:hAnsi="Arial;sans-serif"/>
                <w:b w:val="false"/>
                <w:sz w:val="13"/>
              </w:rPr>
              <w:t>(2)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val="false"/>
                <w:sz w:val="20"/>
              </w:rPr>
              <w:t>$16.78</w:t>
            </w:r>
            <w:r>
              <w:rPr>
                <w:rFonts w:ascii="Arial;sans-serif" w:hAnsi="Arial;sans-serif"/>
                <w:b w:val="false"/>
                <w:sz w:val="13"/>
              </w:rPr>
              <w:t>(3)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9,799,563</w:t>
            </w:r>
          </w:p>
        </w:tc>
      </w:tr>
      <w:tr>
        <w:trPr/>
        <w:tc>
          <w:tcPr>
            <w:tcW w:w="333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compensation plans not approved by stockholders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72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N/A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N/A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N/A</w:t>
            </w:r>
          </w:p>
        </w:tc>
      </w:tr>
    </w:tbl>
    <w:p>
      <w:pPr>
        <w:pStyle w:val="TextBody"/>
        <w:spacing w:before="240" w:after="200"/>
        <w:jc w:val="left"/>
        <w:rPr>
          <w:rFonts w:ascii="Arial" w:hAnsi="Arial"/>
          <w:b w:val="false"/>
          <w:sz w:val="16"/>
        </w:rPr>
      </w:pPr>
      <w:r>
        <w:rPr>
          <w:rFonts w:ascii="Arial" w:hAnsi="Arial"/>
          <w:b w:val="false"/>
          <w:sz w:val="16"/>
        </w:rPr>
        <w:t>(1)</w:t>
      </w:r>
    </w:p>
    <w:p>
      <w:pPr>
        <w:pStyle w:val="TextBody"/>
        <w:spacing w:before="240" w:after="200"/>
        <w:jc w:val="left"/>
        <w:rPr>
          <w:rFonts w:ascii="Arial;sans-serif" w:hAnsi="Arial;sans-serif"/>
          <w:b w:val="false"/>
          <w:sz w:val="16"/>
        </w:rPr>
      </w:pPr>
      <w:r>
        <w:rPr>
          <w:rFonts w:ascii="Arial;sans-serif" w:hAnsi="Arial;sans-serif"/>
          <w:b w:val="false"/>
          <w:sz w:val="16"/>
        </w:rPr>
        <w:t>As December 31, 2022, the maximum number of shares available for issuance under the 2021 Plan was not permitted to exceed 26,647,948 shares. The number of shares available for issuance under the 2021 Plan will be increased on January 1 of each calendar year, beginning in 2022 and ending in and including 2031, by an amount equal to the lesser of (a) 4% of the shares of common stock outstanding on the final day of the immediately preceding calendar year and (b) a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w:t>
      </w:r>
    </w:p>
    <w:p>
      <w:pPr>
        <w:pStyle w:val="TextBody"/>
        <w:spacing w:before="0" w:after="200"/>
        <w:jc w:val="left"/>
        <w:rPr>
          <w:rFonts w:ascii="Arial" w:hAnsi="Arial"/>
          <w:b w:val="false"/>
          <w:sz w:val="16"/>
        </w:rPr>
      </w:pPr>
      <w:r>
        <w:rPr>
          <w:rFonts w:ascii="Arial" w:hAnsi="Arial"/>
          <w:b w:val="false"/>
          <w:sz w:val="16"/>
        </w:rPr>
        <w:t>(2)</w:t>
      </w:r>
    </w:p>
    <w:p>
      <w:pPr>
        <w:pStyle w:val="TextBody"/>
        <w:spacing w:before="0" w:after="200"/>
        <w:jc w:val="left"/>
        <w:rPr>
          <w:rFonts w:ascii="Arial;sans-serif" w:hAnsi="Arial;sans-serif"/>
          <w:b w:val="false"/>
          <w:sz w:val="16"/>
        </w:rPr>
      </w:pPr>
      <w:r>
        <w:rPr>
          <w:rFonts w:ascii="Arial;sans-serif" w:hAnsi="Arial;sans-serif"/>
          <w:b w:val="false"/>
          <w:sz w:val="16"/>
        </w:rPr>
        <w:t xml:space="preserve">Includes 8,128,024 shares issuable upon the exercise of outstanding stock options and 8,720,361 shares issuable upon the vesting of outstanding RSUs. </w:t>
      </w:r>
    </w:p>
    <w:p>
      <w:pPr>
        <w:pStyle w:val="TextBody"/>
        <w:spacing w:before="0" w:after="200"/>
        <w:jc w:val="left"/>
        <w:rPr>
          <w:rFonts w:ascii="Arial" w:hAnsi="Arial"/>
          <w:b w:val="false"/>
          <w:sz w:val="16"/>
        </w:rPr>
      </w:pPr>
      <w:r>
        <w:rPr>
          <w:rFonts w:ascii="Arial" w:hAnsi="Arial"/>
          <w:b w:val="false"/>
          <w:sz w:val="16"/>
        </w:rPr>
        <w:t>(3)</w:t>
      </w:r>
    </w:p>
    <w:p>
      <w:pPr>
        <w:pStyle w:val="TextBody"/>
        <w:spacing w:before="0" w:after="200"/>
        <w:jc w:val="left"/>
        <w:rPr>
          <w:rFonts w:ascii="Arial;sans-serif" w:hAnsi="Arial;sans-serif"/>
          <w:b w:val="false"/>
          <w:sz w:val="16"/>
        </w:rPr>
      </w:pPr>
      <w:r>
        <w:rPr>
          <w:rFonts w:ascii="Arial;sans-serif" w:hAnsi="Arial;sans-serif"/>
          <w:b w:val="false"/>
          <w:sz w:val="16"/>
        </w:rPr>
        <w:t>As RSUs do not have any exercise price, such units are not included in the weighted average exercise price calculation.</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77</w:t>
      </w:r>
    </w:p>
    <w:p>
      <w:pPr>
        <w:pStyle w:val="HorizontalLine"/>
        <w:rPr/>
      </w:pPr>
      <w:r>
        <w:rPr/>
      </w:r>
    </w:p>
    <w:p>
      <w:pPr>
        <w:pStyle w:val="TextBody"/>
        <w:spacing w:before="0" w:after="0"/>
        <w:jc w:val="left"/>
        <w:rPr/>
      </w:pPr>
      <w:r>
        <w:rPr/>
        <w:t> </w:t>
      </w:r>
    </w:p>
    <w:p>
      <w:pPr>
        <w:pStyle w:val="TextBody"/>
        <w:spacing w:before="0" w:after="200"/>
        <w:jc w:val="center"/>
        <w:rPr>
          <w:rFonts w:ascii="Times New Roman" w:hAnsi="Times New Roman"/>
          <w:sz w:val="20"/>
        </w:rPr>
      </w:pPr>
      <w:bookmarkStart w:id="37" w:name="proposal_2"/>
      <w:bookmarkEnd w:id="37"/>
      <w:r>
        <w:rPr>
          <w:rFonts w:ascii="Arial;sans-serif" w:hAnsi="Arial;sans-serif"/>
          <w:b/>
          <w:sz w:val="20"/>
        </w:rPr>
        <w:t>PROPOSAL 2 – RATIFICATION OF APPOINTMENT OF INDEPENDENT</w:t>
        <w:br/>
        <w:t>REGISTERED PUBLIC ACCOUNTING FIRM</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Audit Committee has appointed Deloitte &amp; Touche LLP as our independent registered public accounting firm for the year ending December 31, 2023. Services provided to the Company and its subsidiaries by Deloitte &amp; Touche LLP for the year ended December 31, 2022 are described below.</w:t>
      </w:r>
    </w:p>
    <w:p>
      <w:pPr>
        <w:pStyle w:val="TextBody"/>
        <w:spacing w:before="240" w:after="0"/>
        <w:jc w:val="left"/>
        <w:rPr>
          <w:rFonts w:ascii="Times New Roman" w:hAnsi="Times New Roman"/>
          <w:sz w:val="20"/>
        </w:rPr>
      </w:pPr>
      <w:r>
        <w:rPr>
          <w:rFonts w:ascii="Arial;sans-serif" w:hAnsi="Arial;sans-serif"/>
          <w:b/>
          <w:sz w:val="20"/>
        </w:rPr>
        <w:t>Fees and Services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following table summarizes the aggregate fees for professional audit services and other services rendered by Deloitte &amp; Touche LLP for the years ended December 31, 2022 and 2021:</w:t>
      </w:r>
      <w:r>
        <w:rPr>
          <w:rFonts w:ascii="Times New Roman" w:hAnsi="Times New Roman"/>
          <w:sz w:val="20"/>
        </w:rPr>
        <w:t xml:space="preserve"> </w:t>
      </w:r>
    </w:p>
    <w:tbl>
      <w:tblPr>
        <w:tblW w:w="4609" w:type="dxa"/>
        <w:jc w:val="left"/>
        <w:tblInd w:w="0" w:type="dxa"/>
        <w:tblCellMar>
          <w:top w:w="28" w:type="dxa"/>
          <w:left w:w="28" w:type="dxa"/>
          <w:bottom w:w="28" w:type="dxa"/>
          <w:right w:w="28" w:type="dxa"/>
        </w:tblCellMar>
      </w:tblPr>
      <w:tblGrid>
        <w:gridCol w:w="1696"/>
        <w:gridCol w:w="146"/>
        <w:gridCol w:w="211"/>
        <w:gridCol w:w="931"/>
        <w:gridCol w:w="146"/>
        <w:gridCol w:w="146"/>
        <w:gridCol w:w="211"/>
        <w:gridCol w:w="931"/>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2021</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Audit Fees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1,883,663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1,243,000</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Audit-Related Fees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65,000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190,000</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Tax Fees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155,293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142,126</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All Other Fees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529,995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381,900</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Arial;sans-serif" w:hAnsi="Arial;sans-serif"/>
          <w:b w:val="false"/>
          <w:sz w:val="20"/>
        </w:rPr>
      </w:pPr>
      <w:r>
        <w:rPr>
          <w:rFonts w:ascii="Arial;sans-serif" w:hAnsi="Arial;sans-serif"/>
          <w:b w:val="false"/>
          <w:sz w:val="20"/>
        </w:rPr>
        <w:t>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registration statements.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w:t>
      </w:r>
    </w:p>
    <w:p>
      <w:pPr>
        <w:pStyle w:val="TextBody"/>
        <w:spacing w:before="240" w:after="0"/>
        <w:jc w:val="left"/>
        <w:rPr>
          <w:rFonts w:ascii="Times New Roman" w:hAnsi="Times New Roman"/>
          <w:sz w:val="20"/>
        </w:rPr>
      </w:pPr>
      <w:r>
        <w:rPr>
          <w:rFonts w:ascii="Arial;sans-serif" w:hAnsi="Arial;sans-serif"/>
          <w:b w:val="false"/>
          <w:sz w:val="20"/>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w:t>
      </w:r>
    </w:p>
    <w:p>
      <w:pPr>
        <w:pStyle w:val="TextBody"/>
        <w:spacing w:before="240" w:after="0"/>
        <w:jc w:val="left"/>
        <w:rPr>
          <w:rFonts w:ascii="Times New Roman" w:hAnsi="Times New Roman"/>
          <w:sz w:val="20"/>
        </w:rPr>
      </w:pPr>
      <w:r>
        <w:rPr>
          <w:rFonts w:ascii="Arial;sans-serif" w:hAnsi="Arial;sans-serif"/>
          <w:b w:val="false"/>
          <w:sz w:val="20"/>
        </w:rPr>
        <w:t>The Audit Committee approved all services provided by Deloitte &amp; Touche LLP. Representatives of Deloitte &amp; Touche LLP are expected to be present at the Annual Meeting. They will have the opportunity to make a statement if they desire to do so, and we expect that they will be available to respond to questions.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78</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Vote Required and Recommendation of the Board of Directors</w:t>
      </w:r>
    </w:p>
    <w:p>
      <w:pPr>
        <w:pStyle w:val="TextBody"/>
        <w:spacing w:before="240" w:after="0"/>
        <w:jc w:val="left"/>
        <w:rPr>
          <w:rFonts w:ascii="Arial;sans-serif" w:hAnsi="Arial;sans-serif"/>
          <w:b w:val="false"/>
          <w:sz w:val="20"/>
        </w:rPr>
      </w:pPr>
      <w:r>
        <w:rPr>
          <w:rFonts w:ascii="Arial;sans-serif" w:hAnsi="Arial;sans-serif"/>
          <w:b w:val="false"/>
          <w:sz w:val="20"/>
        </w:rPr>
        <w:t>Ratification of the appointment of Deloitte &amp; Touche LLP requires affirmative votes from the holders of a majority of the voting power present in person or represented by proxy at the Annual Meeting and entitled to vote on 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w:t>
      </w:r>
    </w:p>
    <w:p>
      <w:pPr>
        <w:pStyle w:val="TextBody"/>
        <w:spacing w:before="240" w:after="360"/>
        <w:jc w:val="left"/>
        <w:rPr>
          <w:rFonts w:ascii="Arial;sans-serif" w:hAnsi="Arial;sans-serif"/>
          <w:b w:val="false"/>
          <w:sz w:val="20"/>
        </w:rPr>
      </w:pPr>
      <w:r>
        <w:rPr>
          <w:rFonts w:ascii="Arial;sans-serif" w:hAnsi="Arial;sans-serif"/>
          <w:b w:val="false"/>
          <w:sz w:val="20"/>
        </w:rPr>
        <w:t>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w:t>
      </w:r>
    </w:p>
    <w:tbl>
      <w:tblPr>
        <w:tblW w:w="7171" w:type="dxa"/>
        <w:jc w:val="left"/>
        <w:tblInd w:w="0" w:type="dxa"/>
        <w:tblCellMar>
          <w:top w:w="28" w:type="dxa"/>
          <w:left w:w="28" w:type="dxa"/>
          <w:bottom w:w="28" w:type="dxa"/>
          <w:right w:w="28" w:type="dxa"/>
        </w:tblCellMar>
      </w:tblPr>
      <w:tblGrid>
        <w:gridCol w:w="7171"/>
      </w:tblGrid>
      <w:tr>
        <w:trPr/>
        <w:tc>
          <w:tcPr>
            <w:tcW w:w="7171" w:type="dxa"/>
            <w:tcBorders/>
            <w:shd w:fill="auto" w:val="clear"/>
            <w:vAlign w:val="center"/>
          </w:tcPr>
          <w:p>
            <w:pPr>
              <w:pStyle w:val="TableContents"/>
              <w:spacing w:before="0" w:after="283"/>
              <w:rPr>
                <w:sz w:val="4"/>
                <w:szCs w:val="4"/>
              </w:rPr>
            </w:pPr>
            <w:r>
              <w:rPr>
                <w:sz w:val="4"/>
                <w:szCs w:val="4"/>
              </w:rPr>
            </w:r>
          </w:p>
        </w:tc>
      </w:tr>
      <w:tr>
        <w:trPr/>
        <w:tc>
          <w:tcPr>
            <w:tcW w:w="717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240" w:after="240"/>
              <w:ind w:left="0" w:right="0" w:hanging="0"/>
              <w:jc w:val="center"/>
              <w:rPr>
                <w:rFonts w:ascii="Arial;sans-serif" w:hAnsi="Arial;sans-serif"/>
                <w:b/>
                <w:sz w:val="20"/>
              </w:rPr>
            </w:pPr>
            <w:r>
              <w:rPr>
                <w:rFonts w:ascii="Arial;sans-serif" w:hAnsi="Arial;sans-serif"/>
                <w:b/>
                <w:sz w:val="20"/>
              </w:rPr>
              <w:t xml:space="preserve">THE AUDIT COMMITTEE AND BOARD OF DIRECTORS RECOMMEND THAT </w:t>
              <w:br/>
              <w:t xml:space="preserve">YOU VOTE “FOR” THE RATIFICATION OF THE APPOINTMENT OF </w:t>
              <w:br/>
              <w:t xml:space="preserve">DELOITTE &amp; TOUCHE LLP AS THE INDEPENDENT REGISTERED PUBLIC </w:t>
              <w:br/>
              <w:t>ACCOUNTING FIRM FOR THE YEAR ENDING DECEMBER 31, 2023.</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79</w:t>
      </w:r>
    </w:p>
    <w:p>
      <w:pPr>
        <w:pStyle w:val="HorizontalLine"/>
        <w:rPr/>
      </w:pPr>
      <w:r>
        <w:rPr/>
      </w:r>
    </w:p>
    <w:p>
      <w:pPr>
        <w:pStyle w:val="TextBody"/>
        <w:spacing w:before="0" w:after="0"/>
        <w:jc w:val="left"/>
        <w:rPr/>
      </w:pPr>
      <w:r>
        <w:rPr/>
        <w:t> </w:t>
      </w:r>
    </w:p>
    <w:p>
      <w:pPr>
        <w:pStyle w:val="TextBody"/>
        <w:spacing w:before="0" w:after="200"/>
        <w:jc w:val="center"/>
        <w:rPr>
          <w:rFonts w:ascii="Times New Roman" w:hAnsi="Times New Roman"/>
          <w:sz w:val="20"/>
        </w:rPr>
      </w:pPr>
      <w:bookmarkStart w:id="38" w:name="audit_committee_report"/>
      <w:bookmarkEnd w:id="38"/>
      <w:r>
        <w:rPr>
          <w:rFonts w:ascii="Arial;sans-serif" w:hAnsi="Arial;sans-serif"/>
          <w:b/>
          <w:sz w:val="20"/>
        </w:rPr>
        <w:t>AUDIT COMMITTEE REPORT</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The Audit Committee oversees our financial reporting process on behalf of the Board. The Audit Committee is composed of three independent directors and met four times in 2022. Our Audit Committee operates under a written charter, which is posted on our website at https://ir.alignmenthealth.com/.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its assessment of our systems of internal controls over financial reporting. In fulfilling its oversight responsibilities, the Audit Committee:</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reviewed and discussed the audited financial statements for the year ended </w:t>
        <w:br/>
        <w:t xml:space="preserve">December 31, 2022 with our management; </w:t>
      </w:r>
    </w:p>
    <w:p>
      <w:pPr>
        <w:pStyle w:val="TextBody"/>
        <w:spacing w:before="200" w:after="200"/>
        <w:jc w:val="left"/>
        <w:rPr/>
      </w:pPr>
      <w:r>
        <w:rPr/>
        <w:t>•</w:t>
      </w:r>
    </w:p>
    <w:p>
      <w:pPr>
        <w:pStyle w:val="TextBody"/>
        <w:spacing w:before="200" w:after="200"/>
        <w:jc w:val="left"/>
        <w:rPr>
          <w:rFonts w:ascii="Arial;sans-serif" w:hAnsi="Arial;sans-serif"/>
          <w:b w:val="false"/>
          <w:sz w:val="20"/>
        </w:rPr>
      </w:pPr>
      <w:r>
        <w:rPr>
          <w:rFonts w:ascii="Arial;sans-serif" w:hAnsi="Arial;sans-serif"/>
          <w:b w:val="false"/>
          <w:sz w:val="20"/>
        </w:rPr>
        <w:t xml:space="preserve">discussed with our independent auditors, Deloitte &amp; Touche LLP, the matters required to be discussed by the applicable requirements of the Public Company Accounting Oversight Board (“PCAOB”) and the SEC; and </w:t>
      </w:r>
    </w:p>
    <w:p>
      <w:pPr>
        <w:pStyle w:val="TextBody"/>
        <w:spacing w:before="240" w:after="0"/>
        <w:jc w:val="left"/>
        <w:rPr/>
      </w:pPr>
      <w:r>
        <w:rPr/>
        <w:t>•</w:t>
      </w:r>
    </w:p>
    <w:p>
      <w:pPr>
        <w:pStyle w:val="TextBody"/>
        <w:spacing w:before="240" w:after="283"/>
        <w:jc w:val="left"/>
        <w:rPr>
          <w:rFonts w:ascii="Arial;sans-serif" w:hAnsi="Arial;sans-serif"/>
          <w:b w:val="false"/>
          <w:sz w:val="20"/>
        </w:rPr>
      </w:pPr>
      <w:r>
        <w:rPr>
          <w:rFonts w:ascii="Arial;sans-serif" w:hAnsi="Arial;sans-serif"/>
          <w:b w:val="false"/>
          <w:sz w:val="20"/>
        </w:rPr>
        <w:t>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w:t>
      </w:r>
    </w:p>
    <w:p>
      <w:pPr>
        <w:pStyle w:val="TextBody"/>
        <w:spacing w:before="240" w:after="0"/>
        <w:jc w:val="left"/>
        <w:rPr>
          <w:rFonts w:ascii="Times New Roman" w:hAnsi="Times New Roman"/>
          <w:sz w:val="20"/>
        </w:rPr>
      </w:pPr>
      <w:r>
        <w:rPr>
          <w:rFonts w:ascii="Arial;sans-serif" w:hAnsi="Arial;sans-serif"/>
          <w:b w:val="false"/>
          <w:sz w:val="20"/>
        </w:rPr>
        <w:t>Based on the Audit Committee’s review and discussions noted above, the Audit Committee recommended to the Board that the audited financial statements be included in our Annual Report on Form 10-K for the year ended December 31,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sz w:val="20"/>
        </w:rPr>
        <w:t>Respectfully submitted by:</w:t>
      </w:r>
      <w:r>
        <w:rPr>
          <w:rFonts w:ascii="Times New Roman" w:hAnsi="Times New Roman"/>
          <w:sz w:val="20"/>
        </w:rPr>
        <w:t xml:space="preserve"> </w:t>
      </w:r>
    </w:p>
    <w:p>
      <w:pPr>
        <w:pStyle w:val="TextBody"/>
        <w:spacing w:before="0" w:after="0"/>
        <w:jc w:val="left"/>
        <w:rPr>
          <w:rFonts w:ascii="Arial;sans-serif" w:hAnsi="Arial;sans-serif"/>
          <w:b w:val="false"/>
          <w:sz w:val="20"/>
        </w:rPr>
      </w:pPr>
      <w:r>
        <w:rPr>
          <w:rFonts w:ascii="Arial;sans-serif" w:hAnsi="Arial;sans-serif"/>
          <w:b w:val="false"/>
          <w:sz w:val="20"/>
        </w:rPr>
        <w:t>Jeffrey Margolis</w:t>
      </w:r>
    </w:p>
    <w:p>
      <w:pPr>
        <w:pStyle w:val="TextBody"/>
        <w:spacing w:before="0" w:after="0"/>
        <w:jc w:val="left"/>
        <w:rPr>
          <w:rFonts w:ascii="Arial;sans-serif" w:hAnsi="Arial;sans-serif"/>
          <w:b w:val="false"/>
          <w:sz w:val="20"/>
        </w:rPr>
      </w:pPr>
      <w:r>
        <w:rPr>
          <w:rFonts w:ascii="Arial;sans-serif" w:hAnsi="Arial;sans-serif"/>
          <w:b w:val="false"/>
          <w:sz w:val="20"/>
        </w:rPr>
        <w:t>Yon Jorden</w:t>
      </w:r>
    </w:p>
    <w:p>
      <w:pPr>
        <w:pStyle w:val="TextBody"/>
        <w:spacing w:before="0" w:after="0"/>
        <w:jc w:val="left"/>
        <w:rPr>
          <w:rFonts w:ascii="Arial;sans-serif" w:hAnsi="Arial;sans-serif"/>
          <w:b w:val="false"/>
          <w:sz w:val="20"/>
        </w:rPr>
      </w:pPr>
      <w:r>
        <w:rPr>
          <w:rFonts w:ascii="Arial;sans-serif" w:hAnsi="Arial;sans-serif"/>
          <w:b w:val="false"/>
          <w:sz w:val="20"/>
        </w:rPr>
        <w:t>Margaret McCarthy</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i/>
          <w:sz w:val="20"/>
        </w:rPr>
      </w:pPr>
      <w:r>
        <w:rPr>
          <w:rFonts w:ascii="Arial;sans-serif" w:hAnsi="Arial;sans-serif"/>
          <w:b w:val="false"/>
          <w:i/>
          <w:sz w:val="20"/>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80</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39" w:name="proposal_3"/>
      <w:bookmarkEnd w:id="39"/>
      <w:r>
        <w:rPr>
          <w:rFonts w:ascii="Arial;sans-serif" w:hAnsi="Arial;sans-serif"/>
          <w:b/>
          <w:sz w:val="20"/>
        </w:rPr>
        <w:t>PROPOSAL 3 – NON-BINDING ADVISORY VOTE ON EXECUTIVE COMPENSATION</w:t>
      </w:r>
    </w:p>
    <w:p>
      <w:pPr>
        <w:pStyle w:val="TextBody"/>
        <w:spacing w:before="0" w:after="200"/>
        <w:jc w:val="left"/>
        <w:rPr>
          <w:rFonts w:ascii="Times New Roman" w:hAnsi="Times New Roman"/>
          <w:sz w:val="20"/>
        </w:rPr>
      </w:pPr>
      <w:r>
        <w:rPr>
          <w:rFonts w:ascii="Arial;sans-serif" w:hAnsi="Arial;sans-serif"/>
          <w:b w:val="false"/>
          <w:sz w:val="20"/>
        </w:rPr>
        <w:t>In accordance with the requirements of Section 14A of the Exchange Act and the related rules of the SEC and as a matter of good corporate governance, we are providing our stockholders with a non-binding, advisory vote on the compensation paid to the Company’s NEOs. This stockholder vote, commonly known as a “say-on-pay” vote, provides stockholders with the opportunity to endorse or not endorse the Company’s fiscal year 2022 executive compensation programs and policies and the compensation paid to our NEOs as discussed in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of this proxy statement beginning on page 39, the accompanying compensation tables and the related narrative disclosure. At our 2022 Annual Meeting, held on June 14, 2022, our stockholders recommended an annual “say-on-pay” vote, and our Board of Directors subsequently adopted that recommendation. Our next say-on-pay vote will take place at our 2024 annual meeting of stockholders.</w:t>
      </w:r>
    </w:p>
    <w:p>
      <w:pPr>
        <w:pStyle w:val="TextBody"/>
        <w:spacing w:before="0" w:after="200"/>
        <w:jc w:val="left"/>
        <w:rPr>
          <w:rFonts w:ascii="Times New Roman" w:hAnsi="Times New Roman"/>
          <w:sz w:val="20"/>
        </w:rPr>
      </w:pPr>
      <w:r>
        <w:rPr>
          <w:rFonts w:ascii="Arial;sans-serif" w:hAnsi="Arial;sans-serif"/>
          <w:b w:val="false"/>
          <w:sz w:val="20"/>
        </w:rPr>
        <w:t>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summarizes our executive compensation program. Our Board and the Compensation Committee have implemented an executive compensation program that is intended to align the interests of our executive officers with those of our stockholders. The vast majority of our NEOs’ compensation is in the form of variable, at-risk compensation. Our cash annual incentive plan utilizes metrics that are tied to strategic goals that we believe will enhance stockholder value.</w:t>
      </w:r>
      <w:r>
        <w:rPr>
          <w:rFonts w:ascii="Times New Roman" w:hAnsi="Times New Roman"/>
          <w:sz w:val="20"/>
        </w:rPr>
        <w:t xml:space="preserve"> </w:t>
      </w:r>
    </w:p>
    <w:p>
      <w:pPr>
        <w:pStyle w:val="TextBody"/>
        <w:spacing w:before="0" w:after="200"/>
        <w:jc w:val="left"/>
        <w:rPr>
          <w:rFonts w:ascii="Arial;sans-serif" w:hAnsi="Arial;sans-serif"/>
          <w:b w:val="false"/>
          <w:sz w:val="20"/>
        </w:rPr>
      </w:pPr>
      <w:r>
        <w:rPr>
          <w:rFonts w:ascii="Arial;sans-serif" w:hAnsi="Arial;sans-serif"/>
          <w:b w:val="false"/>
          <w:sz w:val="20"/>
        </w:rPr>
        <w:t>We are asking our stockholders to vote on the following resolution:</w:t>
      </w:r>
    </w:p>
    <w:p>
      <w:pPr>
        <w:pStyle w:val="TextBody"/>
        <w:spacing w:before="0" w:after="200"/>
        <w:jc w:val="left"/>
        <w:rPr>
          <w:rFonts w:ascii="Times New Roman" w:hAnsi="Times New Roman"/>
          <w:sz w:val="20"/>
        </w:rPr>
      </w:pPr>
      <w:r>
        <w:rPr>
          <w:rFonts w:ascii="Arial;sans-serif" w:hAnsi="Arial;sans-serif"/>
          <w:b w:val="false"/>
          <w:sz w:val="20"/>
        </w:rPr>
        <w:t>RESOLVED, that the stockholders of Alignment Healthcare, Inc. approve, on an advisory basis, the compensation of the Company’s Named Executive Officers, as described in the “</w:t>
      </w:r>
      <w:r>
        <w:rPr>
          <w:rFonts w:ascii="Arial;sans-serif" w:hAnsi="Arial;sans-serif"/>
          <w:b w:val="false"/>
          <w:i/>
          <w:sz w:val="20"/>
        </w:rPr>
        <w:t>Compensation Discussion and Analysis</w:t>
      </w:r>
      <w:r>
        <w:rPr>
          <w:rFonts w:ascii="Times New Roman" w:hAnsi="Times New Roman"/>
          <w:sz w:val="20"/>
        </w:rPr>
        <w:t xml:space="preserve">” </w:t>
      </w:r>
      <w:r>
        <w:rPr>
          <w:rFonts w:ascii="Arial;sans-serif" w:hAnsi="Arial;sans-serif"/>
          <w:b w:val="false"/>
          <w:sz w:val="20"/>
        </w:rPr>
        <w:t>section, the accompanying compensation tables and the related narrative disclosure, set forth in the Company’s proxy statement.</w:t>
      </w:r>
    </w:p>
    <w:p>
      <w:pPr>
        <w:pStyle w:val="TextBody"/>
        <w:spacing w:before="0" w:after="200"/>
        <w:jc w:val="left"/>
        <w:rPr>
          <w:rFonts w:ascii="Arial;sans-serif" w:hAnsi="Arial;sans-serif"/>
          <w:b w:val="false"/>
          <w:sz w:val="20"/>
        </w:rPr>
      </w:pPr>
      <w:r>
        <w:rPr>
          <w:rFonts w:ascii="Arial;sans-serif" w:hAnsi="Arial;sans-serif"/>
          <w:b w:val="false"/>
          <w:sz w:val="20"/>
        </w:rPr>
        <w:t>Although this advisory vote on the compensation of our NEOs is non-binding, the Board of Directors and the Compensation Committee will carefully review and consider the outcome of the vote when considering future compensation arrangements our NEOs.</w:t>
      </w:r>
    </w:p>
    <w:p>
      <w:pPr>
        <w:pStyle w:val="TextBody"/>
        <w:spacing w:before="0" w:after="200"/>
        <w:jc w:val="left"/>
        <w:rPr>
          <w:rFonts w:ascii="Arial;sans-serif" w:hAnsi="Arial;sans-serif"/>
          <w:b/>
          <w:sz w:val="20"/>
        </w:rPr>
      </w:pPr>
      <w:r>
        <w:rPr>
          <w:rFonts w:ascii="Arial;sans-serif" w:hAnsi="Arial;sans-serif"/>
          <w:b/>
          <w:sz w:val="20"/>
        </w:rPr>
        <w:t>Vote Required and Recommendation of the Board of Directors</w:t>
      </w:r>
    </w:p>
    <w:p>
      <w:pPr>
        <w:pStyle w:val="TextBody"/>
        <w:spacing w:before="240" w:after="200"/>
        <w:jc w:val="left"/>
        <w:rPr>
          <w:rFonts w:ascii="Arial;sans-serif" w:hAnsi="Arial;sans-serif"/>
          <w:b w:val="false"/>
          <w:sz w:val="20"/>
        </w:rPr>
      </w:pPr>
      <w:r>
        <w:rPr>
          <w:rFonts w:ascii="Arial;sans-serif" w:hAnsi="Arial;sans-serif"/>
          <w:b w:val="false"/>
          <w:sz w:val="20"/>
        </w:rPr>
        <w:t>Approval of the non-binding, advisory resolution approving the compensation of our NEOs requires affirmative votes from the holders of a majority of the voting power present in person or represented by proxy at the Annual Meeting and entitled to vote on such matter. Shares not present at the meeting and broker-non votes have no effect on the approval of this matter, while abstentions will count as votes “against.” Pursuant to current NYSE regulations, brokers and other NYSE member organizations do not have discretionary voting power over the approval of the non-binding, advisory vote on the compensation of the Company’s Named Executive Officers. Therefore, if you hold shares through a broker or other NYSE member organization and do not provide voting instructions to your, broker or other NYSE member organization, your shares will not be entitled to vote with respect to this proposal. If you timely submit a signed proxy card but fail to specify instructions to vote with respect to this proposal, the proxy card will be voted “FOR” the resolution.</w:t>
      </w:r>
    </w:p>
    <w:tbl>
      <w:tblPr>
        <w:tblW w:w="6706" w:type="dxa"/>
        <w:jc w:val="left"/>
        <w:tblInd w:w="0" w:type="dxa"/>
        <w:tblCellMar>
          <w:top w:w="28" w:type="dxa"/>
          <w:left w:w="28" w:type="dxa"/>
          <w:bottom w:w="28" w:type="dxa"/>
          <w:right w:w="28" w:type="dxa"/>
        </w:tblCellMar>
      </w:tblPr>
      <w:tblGrid>
        <w:gridCol w:w="6706"/>
      </w:tblGrid>
      <w:tr>
        <w:trPr/>
        <w:tc>
          <w:tcPr>
            <w:tcW w:w="6706" w:type="dxa"/>
            <w:tcBorders/>
            <w:shd w:fill="auto" w:val="clear"/>
            <w:vAlign w:val="center"/>
          </w:tcPr>
          <w:p>
            <w:pPr>
              <w:pStyle w:val="TableContents"/>
              <w:spacing w:before="0" w:after="283"/>
              <w:rPr>
                <w:sz w:val="4"/>
                <w:szCs w:val="4"/>
              </w:rPr>
            </w:pPr>
            <w:r>
              <w:rPr>
                <w:sz w:val="4"/>
                <w:szCs w:val="4"/>
              </w:rPr>
            </w:r>
          </w:p>
        </w:tc>
      </w:tr>
      <w:tr>
        <w:trPr/>
        <w:tc>
          <w:tcPr>
            <w:tcW w:w="670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240" w:after="240"/>
              <w:ind w:left="0" w:right="0" w:hanging="0"/>
              <w:jc w:val="center"/>
              <w:rPr>
                <w:rFonts w:ascii="Arial;sans-serif" w:hAnsi="Arial;sans-serif"/>
                <w:b/>
                <w:sz w:val="20"/>
              </w:rPr>
            </w:pPr>
            <w:r>
              <w:rPr>
                <w:rFonts w:ascii="Arial;sans-serif" w:hAnsi="Arial;sans-serif"/>
                <w:b/>
                <w:sz w:val="20"/>
              </w:rPr>
              <w:t xml:space="preserve">THE BOARD OF DIRECTORS RECOMMENDS THAT YOU VOTE “FOR” </w:t>
              <w:br/>
              <w:t>THE NON-BINDING, ADVISORY RESOLUTION</w:t>
              <w:br/>
              <w:t>APPROVING THE COMPENSATON OF OUR NEOs.</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81</w:t>
      </w:r>
    </w:p>
    <w:p>
      <w:pPr>
        <w:pStyle w:val="HorizontalLine"/>
        <w:rPr/>
      </w:pPr>
      <w:r>
        <w:rPr/>
      </w:r>
    </w:p>
    <w:p>
      <w:pPr>
        <w:pStyle w:val="TextBody"/>
        <w:spacing w:before="0" w:after="0"/>
        <w:jc w:val="left"/>
        <w:rPr/>
      </w:pPr>
      <w:r>
        <w:rPr/>
        <w:t> </w:t>
      </w:r>
    </w:p>
    <w:p>
      <w:pPr>
        <w:pStyle w:val="TextBody"/>
        <w:spacing w:before="0" w:after="200"/>
        <w:jc w:val="center"/>
        <w:rPr>
          <w:rFonts w:ascii="Times New Roman" w:hAnsi="Times New Roman"/>
          <w:sz w:val="20"/>
        </w:rPr>
      </w:pPr>
      <w:bookmarkStart w:id="40" w:name="other_matters"/>
      <w:bookmarkEnd w:id="40"/>
      <w:r>
        <w:rPr>
          <w:rFonts w:ascii="Arial;sans-serif" w:hAnsi="Arial;sans-serif"/>
          <w:b/>
          <w:sz w:val="20"/>
        </w:rPr>
        <w:t>OTHER MATTERS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sz w:val="20"/>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r>
        <w:rPr>
          <w:rFonts w:ascii="Times New Roman" w:hAnsi="Times New Roman"/>
          <w:sz w:val="20"/>
        </w:rPr>
        <w:t xml:space="preserve"> </w:t>
      </w:r>
    </w:p>
    <w:p>
      <w:pPr>
        <w:pStyle w:val="TextBody"/>
        <w:spacing w:before="0" w:after="200"/>
        <w:jc w:val="center"/>
        <w:rPr>
          <w:rFonts w:ascii="Times New Roman" w:hAnsi="Times New Roman"/>
          <w:sz w:val="20"/>
        </w:rPr>
      </w:pPr>
      <w:bookmarkStart w:id="41" w:name="availability_of_sec_filings"/>
      <w:bookmarkEnd w:id="41"/>
      <w:r>
        <w:rPr>
          <w:rFonts w:ascii="Arial;sans-serif" w:hAnsi="Arial;sans-serif"/>
          <w:b/>
          <w:sz w:val="20"/>
        </w:rPr>
        <w:t>AVAILABILITY OF SEC FILINGS, CODE OF CONDUCT AND COMMITTEE CHARTERS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sz w:val="20"/>
        </w:rPr>
        <w:t>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https://ir.alignmenthealth.com/, or may be requested in print, at no cost, by mail at Alignment Healthcare, Inc., 1100 W. Town &amp; Country Rd., Suite 1600, Orange, CA 92868, Attention: Investor Relations.</w:t>
      </w:r>
      <w:r>
        <w:rPr>
          <w:rFonts w:ascii="Times New Roman" w:hAnsi="Times New Roman"/>
          <w:sz w:val="20"/>
        </w:rPr>
        <w:t xml:space="preserve"> </w:t>
      </w:r>
    </w:p>
    <w:p>
      <w:pPr>
        <w:pStyle w:val="TextBody"/>
        <w:spacing w:before="0" w:after="200"/>
        <w:jc w:val="center"/>
        <w:rPr>
          <w:rFonts w:ascii="Times New Roman" w:hAnsi="Times New Roman"/>
          <w:sz w:val="20"/>
        </w:rPr>
      </w:pPr>
      <w:bookmarkStart w:id="42" w:name="where_to_find_additional_information"/>
      <w:bookmarkEnd w:id="42"/>
      <w:r>
        <w:rPr>
          <w:rFonts w:ascii="Arial;sans-serif" w:hAnsi="Arial;sans-serif"/>
          <w:b/>
          <w:sz w:val="20"/>
        </w:rPr>
        <w:t>WHERE TO FIND ADDITIONAL INFORMATION</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Arial;sans-serif" w:hAnsi="Arial;sans-serif"/>
          <w:b w:val="false"/>
          <w:sz w:val="20"/>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 corporate website may be found at https://ir.alignmenthealth.com/.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r>
        <w:rPr>
          <w:rFonts w:ascii="Times New Roman" w:hAnsi="Times New Roman"/>
          <w:sz w:val="20"/>
        </w:rPr>
        <w:t xml:space="preserve"> </w:t>
      </w:r>
    </w:p>
    <w:p>
      <w:pPr>
        <w:pStyle w:val="TextBody"/>
        <w:spacing w:before="0" w:after="200"/>
        <w:jc w:val="center"/>
        <w:rPr>
          <w:rFonts w:ascii="Times New Roman" w:hAnsi="Times New Roman"/>
          <w:sz w:val="20"/>
        </w:rPr>
      </w:pPr>
      <w:bookmarkStart w:id="43" w:name="cost_of_proxy_solicitation"/>
      <w:bookmarkEnd w:id="43"/>
      <w:r>
        <w:rPr>
          <w:rFonts w:ascii="Arial;sans-serif" w:hAnsi="Arial;sans-serif"/>
          <w:b/>
          <w:sz w:val="20"/>
        </w:rPr>
        <w:t>COST OF PROXY SOLICITATION</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82</w:t>
      </w:r>
    </w:p>
    <w:p>
      <w:pPr>
        <w:pStyle w:val="HorizontalLine"/>
        <w:rPr/>
      </w:pPr>
      <w:r>
        <w:rPr/>
      </w:r>
    </w:p>
    <w:p>
      <w:pPr>
        <w:pStyle w:val="TextBody"/>
        <w:spacing w:before="0" w:after="0"/>
        <w:jc w:val="left"/>
        <w:rPr/>
      </w:pPr>
      <w:r>
        <w:rPr/>
        <w:t> </w:t>
      </w:r>
    </w:p>
    <w:p>
      <w:pPr>
        <w:pStyle w:val="TextBody"/>
        <w:spacing w:before="0" w:after="200"/>
        <w:jc w:val="center"/>
        <w:rPr>
          <w:rFonts w:ascii="Arial;sans-serif" w:hAnsi="Arial;sans-serif"/>
          <w:b/>
          <w:sz w:val="20"/>
        </w:rPr>
      </w:pPr>
      <w:bookmarkStart w:id="44" w:name="appendix_non_gaap_financial_measures"/>
      <w:bookmarkEnd w:id="44"/>
      <w:r>
        <w:rPr>
          <w:rFonts w:ascii="Arial;sans-serif" w:hAnsi="Arial;sans-serif"/>
          <w:b/>
          <w:sz w:val="20"/>
        </w:rPr>
        <w:t>APPENDIX – NON-GAAP FINANCIAL MEASURES</w:t>
      </w:r>
    </w:p>
    <w:p>
      <w:pPr>
        <w:pStyle w:val="TextBody"/>
        <w:spacing w:before="0" w:after="200"/>
        <w:jc w:val="left"/>
        <w:rPr>
          <w:rFonts w:ascii="Arial;sans-serif" w:hAnsi="Arial;sans-serif"/>
          <w:b/>
          <w:sz w:val="20"/>
        </w:rPr>
      </w:pPr>
      <w:r>
        <w:rPr>
          <w:rFonts w:ascii="Arial;sans-serif" w:hAnsi="Arial;sans-serif"/>
          <w:b/>
          <w:sz w:val="20"/>
        </w:rPr>
        <w:t>Adjusted Gross Profit and Medical Benefits Ratio, or MBR</w:t>
      </w:r>
    </w:p>
    <w:p>
      <w:pPr>
        <w:pStyle w:val="TextBody"/>
        <w:spacing w:before="0" w:after="200"/>
        <w:jc w:val="left"/>
        <w:rPr>
          <w:rFonts w:ascii="Arial;sans-serif" w:hAnsi="Arial;sans-serif"/>
          <w:b w:val="false"/>
          <w:sz w:val="20"/>
        </w:rPr>
      </w:pPr>
      <w:r>
        <w:rPr>
          <w:rFonts w:ascii="Arial;sans-serif" w:hAnsi="Arial;sans-serif"/>
          <w:b w:val="false"/>
          <w:sz w:val="20"/>
        </w:rPr>
        <w:t>Adjusted gross profit is a non-GAAP financial measure that we define as loss from operations before depreciation and amortization, clinical equity-based compensation expense, and selling, general, and administrative expenses. Adjusted gross profit is a key measure used by our management and Board of Directors to understand and evaluate our operating performance and trends before the impact of our consolidated selling, general and administrative expenses.</w:t>
      </w:r>
    </w:p>
    <w:p>
      <w:pPr>
        <w:pStyle w:val="TextBody"/>
        <w:spacing w:before="0" w:after="200"/>
        <w:jc w:val="left"/>
        <w:rPr>
          <w:rFonts w:ascii="Arial;sans-serif" w:hAnsi="Arial;sans-serif"/>
          <w:b w:val="false"/>
          <w:sz w:val="20"/>
        </w:rPr>
      </w:pPr>
      <w:r>
        <w:rPr>
          <w:rFonts w:ascii="Arial;sans-serif" w:hAnsi="Arial;sans-serif"/>
          <w:b w:val="false"/>
          <w:sz w:val="20"/>
        </w:rPr>
        <w:t>Adjusted gross profit should not be considered in isolation of, or as an alternative to, measures prepared in accordance with GAAP. There are a number of limitations related to the use of adjusted gross profit in lieu of loss from operations, which is the most directly comparable financial measure calculated in accordance with GAAP.</w:t>
      </w:r>
    </w:p>
    <w:p>
      <w:pPr>
        <w:pStyle w:val="TextBody"/>
        <w:spacing w:before="0" w:after="200"/>
        <w:jc w:val="left"/>
        <w:rPr>
          <w:rFonts w:ascii="Arial;sans-serif" w:hAnsi="Arial;sans-serif"/>
          <w:b w:val="false"/>
          <w:sz w:val="20"/>
        </w:rPr>
      </w:pPr>
      <w:r>
        <w:rPr>
          <w:rFonts w:ascii="Arial;sans-serif" w:hAnsi="Arial;sans-serif"/>
          <w:b w:val="false"/>
          <w:sz w:val="20"/>
        </w:rPr>
        <w:t>Our use of the term adjusted gross profit may vary from the use of similar terms by other companies in our industry and accordingly may not be comparable to similarly titled measures used by other companies.</w:t>
      </w:r>
    </w:p>
    <w:p>
      <w:pPr>
        <w:pStyle w:val="TextBody"/>
        <w:spacing w:before="0" w:after="200"/>
        <w:jc w:val="left"/>
        <w:rPr>
          <w:rFonts w:ascii="Arial;sans-serif" w:hAnsi="Arial;sans-serif"/>
          <w:b w:val="false"/>
          <w:sz w:val="20"/>
        </w:rPr>
      </w:pPr>
      <w:r>
        <w:rPr>
          <w:rFonts w:ascii="Arial;sans-serif" w:hAnsi="Arial;sans-serif"/>
          <w:b w:val="false"/>
          <w:sz w:val="20"/>
        </w:rPr>
        <w:t>Adjusted gross profit is reconciled as follows:</w:t>
      </w:r>
    </w:p>
    <w:tbl>
      <w:tblPr>
        <w:tblW w:w="7334" w:type="dxa"/>
        <w:jc w:val="left"/>
        <w:tblInd w:w="0" w:type="dxa"/>
        <w:tblCellMar>
          <w:top w:w="28" w:type="dxa"/>
          <w:left w:w="28" w:type="dxa"/>
          <w:bottom w:w="28" w:type="dxa"/>
          <w:right w:w="28" w:type="dxa"/>
        </w:tblCellMar>
      </w:tblPr>
      <w:tblGrid>
        <w:gridCol w:w="4291"/>
        <w:gridCol w:w="146"/>
        <w:gridCol w:w="211"/>
        <w:gridCol w:w="856"/>
        <w:gridCol w:w="286"/>
        <w:gridCol w:w="146"/>
        <w:gridCol w:w="211"/>
        <w:gridCol w:w="856"/>
        <w:gridCol w:w="331"/>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 Ended December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(dollars in thousands)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(128,639</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(178,072</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Add back:</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Equity-based compensation (medical expenses)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9,128</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15,418</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Depreciation (medical expenses)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r>
              <w:rPr>
                <w:rFonts w:ascii="Arial;sans-serif" w:hAnsi="Arial;sans-serif"/>
                <w:b w:val="false"/>
                <w:sz w:val="20"/>
              </w:rPr>
              <w:t>17,273</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15,813</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 expenses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r>
              <w:rPr>
                <w:rFonts w:ascii="Arial;sans-serif" w:hAnsi="Arial;sans-serif"/>
                <w:b w:val="false"/>
                <w:sz w:val="20"/>
              </w:rPr>
              <w:t>295,646</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290,991</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add back</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5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r>
              <w:rPr>
                <w:rFonts w:ascii="Arial;sans-serif" w:hAnsi="Arial;sans-serif"/>
                <w:b w:val="false"/>
                <w:sz w:val="20"/>
              </w:rPr>
              <w:t>322,260</w:t>
            </w:r>
          </w:p>
        </w:tc>
        <w:tc>
          <w:tcPr>
            <w:tcW w:w="28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85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r>
              <w:rPr>
                <w:rFonts w:ascii="Arial;sans-serif" w:hAnsi="Arial;sans-serif"/>
                <w:b w:val="false"/>
                <w:sz w:val="20"/>
              </w:rPr>
              <w:t>322,442</w:t>
            </w:r>
          </w:p>
        </w:tc>
        <w:tc>
          <w:tcPr>
            <w:tcW w:w="3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profit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193,621</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144,370</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gross profit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12.4</w:t>
            </w:r>
          </w:p>
        </w:tc>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200"/>
        <w:jc w:val="left"/>
        <w:rPr>
          <w:rFonts w:ascii="Arial;sans-serif" w:hAnsi="Arial;sans-serif"/>
          <w:b w:val="false"/>
          <w:sz w:val="20"/>
        </w:rPr>
      </w:pPr>
      <w:r>
        <w:rPr>
          <w:rFonts w:ascii="Arial;sans-serif" w:hAnsi="Arial;sans-serif"/>
          <w:b w:val="false"/>
          <w:sz w:val="20"/>
        </w:rPr>
        <w:t>We calculate our medical benefits ratio (“MBR”) by dividing total medical expenses, excluding depreciation and equity-based compensation, by total revenues in a given period. We believe our MBR is an indicator of our gross profit for our Medicare Advantage plans and demonstrates the ability of our clinical model to produce superior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pStyle w:val="TextBody"/>
        <w:spacing w:before="0" w:after="200"/>
        <w:jc w:val="left"/>
        <w:rPr>
          <w:rFonts w:ascii="Arial;sans-serif" w:hAnsi="Arial;sans-serif"/>
          <w:b w:val="false"/>
          <w:sz w:val="20"/>
        </w:rPr>
      </w:pPr>
      <w:r>
        <w:rPr>
          <w:rFonts w:ascii="Arial;sans-serif" w:hAnsi="Arial;sans-serif"/>
          <w:b w:val="false"/>
          <w:sz w:val="20"/>
        </w:rPr>
        <w:t>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w:t>
      </w:r>
    </w:p>
    <w:p>
      <w:pPr>
        <w:pStyle w:val="TextBody"/>
        <w:spacing w:before="0" w:after="200"/>
        <w:jc w:val="left"/>
        <w:rPr>
          <w:rFonts w:ascii="Arial;sans-serif" w:hAnsi="Arial;sans-serif"/>
          <w:b/>
          <w:sz w:val="20"/>
        </w:rPr>
      </w:pPr>
      <w:r>
        <w:rPr>
          <w:rFonts w:ascii="Arial;sans-serif" w:hAnsi="Arial;sans-serif"/>
          <w:b/>
          <w:sz w:val="20"/>
        </w:rPr>
        <w:t>Adjusted EBITDA</w:t>
      </w:r>
    </w:p>
    <w:p>
      <w:pPr>
        <w:pStyle w:val="TextBody"/>
        <w:spacing w:before="0" w:after="200"/>
        <w:jc w:val="left"/>
        <w:rPr>
          <w:rFonts w:ascii="Times New Roman" w:hAnsi="Times New Roman"/>
          <w:sz w:val="20"/>
        </w:rPr>
      </w:pPr>
      <w:r>
        <w:rPr>
          <w:rFonts w:ascii="Arial;sans-serif" w:hAnsi="Arial;sans-serif"/>
          <w:b w:val="false"/>
          <w:sz w:val="20"/>
        </w:rPr>
        <w:t>Adjusted EBITDA is a non-GAAP financial measure that we define as net loss before interest expense, income taxes, depreciation and amortization expense, reorganization and transaction-related expenses and equity-based compensation expense. Adjusted EBITDA is a key measure used by our management and our Board of Directors to understand and evaluate our operating performance and trends, to prepare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83</w:t>
      </w:r>
    </w:p>
    <w:p>
      <w:pPr>
        <w:pStyle w:val="HorizontalLine"/>
        <w:rPr/>
      </w:pPr>
      <w:r>
        <w:rPr/>
      </w:r>
    </w:p>
    <w:p>
      <w:pPr>
        <w:pStyle w:val="TextBody"/>
        <w:spacing w:before="0" w:after="0"/>
        <w:jc w:val="left"/>
        <w:rPr/>
      </w:pPr>
      <w:r>
        <w:rPr/>
        <w:t> </w:t>
      </w:r>
    </w:p>
    <w:p>
      <w:pPr>
        <w:pStyle w:val="TextBody"/>
        <w:spacing w:before="0" w:after="200"/>
        <w:jc w:val="left"/>
        <w:rPr>
          <w:rFonts w:ascii="Times New Roman" w:hAnsi="Times New Roman"/>
          <w:sz w:val="20"/>
        </w:rPr>
      </w:pPr>
      <w:r>
        <w:rPr>
          <w:rFonts w:ascii="Arial;sans-serif" w:hAnsi="Arial;sans-serif"/>
          <w:b w:val="false"/>
          <w:sz w:val="20"/>
        </w:rPr>
        <w:t>and approve our annual budget and to develop short and long-term operating plans. In particular, we believe that the exclusion of the amounts eliminated in calculating Adjusted EBITDA provides useful measures for period-to-period comparisons of our business. Given our intent to continue to invest in our platform and the scalability of our business in the short to medium-term, we believe Adjusted EBITDA over the long term will be an important indicator of value creation.</w:t>
      </w:r>
      <w:r>
        <w:rPr>
          <w:rFonts w:ascii="Times New Roman" w:hAnsi="Times New Roman"/>
          <w:sz w:val="20"/>
        </w:rPr>
        <w:t xml:space="preserve"> </w:t>
      </w:r>
    </w:p>
    <w:p>
      <w:pPr>
        <w:pStyle w:val="TextBody"/>
        <w:spacing w:before="0" w:after="200"/>
        <w:jc w:val="left"/>
        <w:rPr>
          <w:rFonts w:ascii="Arial;sans-serif" w:hAnsi="Arial;sans-serif"/>
          <w:b w:val="false"/>
          <w:sz w:val="20"/>
        </w:rPr>
      </w:pPr>
      <w:r>
        <w:rPr>
          <w:rFonts w:ascii="Arial;sans-serif" w:hAnsi="Arial;sans-serif"/>
          <w:b w:val="false"/>
          <w:sz w:val="20"/>
        </w:rPr>
        <w:t>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w:t>
      </w:r>
    </w:p>
    <w:p>
      <w:pPr>
        <w:pStyle w:val="TextBody"/>
        <w:spacing w:before="0" w:after="200"/>
        <w:jc w:val="left"/>
        <w:rPr>
          <w:rFonts w:ascii="Arial;sans-serif" w:hAnsi="Arial;sans-serif"/>
          <w:b w:val="false"/>
          <w:sz w:val="20"/>
        </w:rPr>
      </w:pPr>
      <w:r>
        <w:rPr>
          <w:rFonts w:ascii="Arial;sans-serif" w:hAnsi="Arial;sans-serif"/>
          <w:b w:val="false"/>
          <w:sz w:val="20"/>
        </w:rPr>
        <w:t>Our use of the term Adjusted EBITDA may vary from the use of similar terms by other companies in our industry and accordingly may not be comparable to similarly titled measures used by other companies.</w:t>
      </w:r>
    </w:p>
    <w:p>
      <w:pPr>
        <w:pStyle w:val="TextBody"/>
        <w:spacing w:before="0" w:after="0"/>
        <w:jc w:val="left"/>
        <w:rPr>
          <w:rFonts w:ascii="Arial;sans-serif" w:hAnsi="Arial;sans-serif"/>
          <w:b w:val="false"/>
          <w:sz w:val="20"/>
        </w:rPr>
      </w:pPr>
      <w:r>
        <w:rPr>
          <w:rFonts w:ascii="Arial;sans-serif" w:hAnsi="Arial;sans-serif"/>
          <w:b w:val="false"/>
          <w:sz w:val="20"/>
        </w:rPr>
        <w:t>Adjusted EBITDA is reconciled as follows:</w:t>
      </w:r>
    </w:p>
    <w:p>
      <w:pPr>
        <w:pStyle w:val="TextBody"/>
        <w:spacing w:before="0" w:after="0"/>
        <w:jc w:val="left"/>
        <w:rPr/>
      </w:pPr>
      <w:r>
        <w:rPr/>
        <w:t> </w:t>
      </w:r>
    </w:p>
    <w:tbl>
      <w:tblPr>
        <w:tblW w:w="7394" w:type="dxa"/>
        <w:jc w:val="left"/>
        <w:tblInd w:w="0" w:type="dxa"/>
        <w:tblCellMar>
          <w:top w:w="28" w:type="dxa"/>
          <w:left w:w="28" w:type="dxa"/>
          <w:bottom w:w="28" w:type="dxa"/>
          <w:right w:w="28" w:type="dxa"/>
        </w:tblCellMar>
      </w:tblPr>
      <w:tblGrid>
        <w:gridCol w:w="4591"/>
        <w:gridCol w:w="146"/>
        <w:gridCol w:w="211"/>
        <w:gridCol w:w="856"/>
        <w:gridCol w:w="166"/>
        <w:gridCol w:w="146"/>
        <w:gridCol w:w="211"/>
        <w:gridCol w:w="856"/>
        <w:gridCol w:w="211"/>
      </w:tblGrid>
      <w:tr>
        <w:trPr/>
        <w:tc>
          <w:tcPr>
            <w:tcW w:w="4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i/>
                <w:sz w:val="16"/>
              </w:rPr>
            </w:pPr>
            <w:r>
              <w:rPr>
                <w:rFonts w:ascii="Arial;sans-serif" w:hAnsi="Arial;sans-serif"/>
                <w:b/>
                <w:i/>
                <w:sz w:val="16"/>
              </w:rPr>
              <w:t>(dollars in thousands)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(149,639</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(195,286</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Net loss attributable to noncontrolling interest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Add back:</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18,289</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17,443</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17,486</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16,033</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Income taxes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339</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EBITDA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(113,433</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(161,810</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Equity-based compensation</w:t>
            </w:r>
            <w:r>
              <w:rPr>
                <w:rFonts w:ascii="Arial;sans-serif" w:hAnsi="Arial;sans-serif"/>
                <w:b w:val="false"/>
                <w:sz w:val="13"/>
              </w:rPr>
              <w:t>(1)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81,718</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121,999</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Reorganization and transaction-related expenses</w:t>
            </w:r>
            <w:r>
              <w:rPr>
                <w:rFonts w:ascii="Arial;sans-serif" w:hAnsi="Arial;sans-serif"/>
                <w:b w:val="false"/>
                <w:sz w:val="13"/>
              </w:rPr>
              <w:t>(2)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579</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4,585</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Acquisition expenses</w:t>
            </w:r>
            <w:r>
              <w:rPr>
                <w:rFonts w:ascii="Arial;sans-serif" w:hAnsi="Arial;sans-serif"/>
                <w:b w:val="false"/>
                <w:sz w:val="13"/>
              </w:rPr>
              <w:t>(3)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1,614</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2,110</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Loss on sublease and disposal of assets</w:t>
            </w:r>
            <w:r>
              <w:rPr>
                <w:rFonts w:ascii="Arial;sans-serif" w:hAnsi="Arial;sans-serif"/>
                <w:b w:val="false"/>
                <w:sz w:val="13"/>
              </w:rPr>
              <w:t>(4)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611</w:t>
            </w:r>
          </w:p>
        </w:tc>
        <w:tc>
          <w:tcPr>
            <w:tcW w:w="1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on extinguishment of debt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EBITDA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(26,715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(33,116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200"/>
        <w:jc w:val="left"/>
        <w:rPr>
          <w:rFonts w:ascii="Arial" w:hAnsi="Arial"/>
          <w:b w:val="false"/>
          <w:sz w:val="18"/>
        </w:rPr>
      </w:pPr>
      <w:r>
        <w:rPr>
          <w:rFonts w:ascii="Arial" w:hAnsi="Arial"/>
          <w:b w:val="false"/>
          <w:sz w:val="18"/>
        </w:rPr>
        <w:t>(1)</w:t>
      </w:r>
    </w:p>
    <w:p>
      <w:pPr>
        <w:pStyle w:val="TextBody"/>
        <w:spacing w:before="0" w:after="200"/>
        <w:jc w:val="left"/>
        <w:rPr>
          <w:rFonts w:ascii="Arial;sans-serif" w:hAnsi="Arial;sans-serif"/>
          <w:b w:val="false"/>
          <w:sz w:val="18"/>
        </w:rPr>
      </w:pPr>
      <w:r>
        <w:rPr>
          <w:rFonts w:ascii="Arial;sans-serif" w:hAnsi="Arial;sans-serif"/>
          <w:b w:val="false"/>
          <w:sz w:val="18"/>
        </w:rPr>
        <w:t xml:space="preserve">2022 represents equity-based compensation related to grants made in the current year, as well as equity-based compensation related to the timing of the IPO, which includes previously issued stock appreciation rights ("SARs") liability awards, modifications related to transaction vesting units, and grants made in conjunction with the IPO. 2021 represents equity-based compensation related to the timing of the IPO. Equity-based compensation expense for the year ended December 31, 2021 includes $11.4 million related to the cash settlement of SARs. </w:t>
      </w:r>
    </w:p>
    <w:p>
      <w:pPr>
        <w:pStyle w:val="TextBody"/>
        <w:spacing w:before="0" w:after="200"/>
        <w:jc w:val="left"/>
        <w:rPr>
          <w:rFonts w:ascii="Arial" w:hAnsi="Arial"/>
          <w:b w:val="false"/>
          <w:sz w:val="18"/>
        </w:rPr>
      </w:pPr>
      <w:r>
        <w:rPr>
          <w:rFonts w:ascii="Arial" w:hAnsi="Arial"/>
          <w:b w:val="false"/>
          <w:sz w:val="18"/>
        </w:rPr>
        <w:t>(2)</w:t>
      </w:r>
    </w:p>
    <w:p>
      <w:pPr>
        <w:pStyle w:val="TextBody"/>
        <w:spacing w:before="0" w:after="200"/>
        <w:jc w:val="left"/>
        <w:rPr>
          <w:rFonts w:ascii="Arial;sans-serif" w:hAnsi="Arial;sans-serif"/>
          <w:b w:val="false"/>
          <w:sz w:val="18"/>
        </w:rPr>
      </w:pPr>
      <w:r>
        <w:rPr>
          <w:rFonts w:ascii="Arial;sans-serif" w:hAnsi="Arial;sans-serif"/>
          <w:b w:val="false"/>
          <w:sz w:val="18"/>
        </w:rPr>
        <w:t>Represents legal, professional, accounting and other advisory fees related to our pre-IPO corporate reorganization and the IPO that are considered non-recurring and non-capitalizable.</w:t>
      </w:r>
    </w:p>
    <w:p>
      <w:pPr>
        <w:pStyle w:val="TextBody"/>
        <w:spacing w:before="0" w:after="200"/>
        <w:jc w:val="left"/>
        <w:rPr>
          <w:rFonts w:ascii="Arial" w:hAnsi="Arial"/>
          <w:b w:val="false"/>
          <w:sz w:val="18"/>
        </w:rPr>
      </w:pPr>
      <w:r>
        <w:rPr>
          <w:rFonts w:ascii="Arial" w:hAnsi="Arial"/>
          <w:b w:val="false"/>
          <w:sz w:val="18"/>
        </w:rPr>
        <w:t>(3)</w:t>
      </w:r>
    </w:p>
    <w:p>
      <w:pPr>
        <w:pStyle w:val="TextBody"/>
        <w:spacing w:before="0" w:after="200"/>
        <w:jc w:val="left"/>
        <w:rPr>
          <w:rFonts w:ascii="Arial;sans-serif" w:hAnsi="Arial;sans-serif"/>
          <w:b w:val="false"/>
          <w:sz w:val="18"/>
        </w:rPr>
      </w:pPr>
      <w:r>
        <w:rPr>
          <w:rFonts w:ascii="Arial;sans-serif" w:hAnsi="Arial;sans-serif"/>
          <w:b w:val="false"/>
          <w:sz w:val="18"/>
        </w:rPr>
        <w:t>Represents acquisition-related fees, such as legal and advisory fees, that are non-capitalizable.</w:t>
      </w:r>
    </w:p>
    <w:p>
      <w:pPr>
        <w:pStyle w:val="TextBody"/>
        <w:spacing w:before="0" w:after="200"/>
        <w:jc w:val="left"/>
        <w:rPr>
          <w:rFonts w:ascii="Arial" w:hAnsi="Arial"/>
          <w:b w:val="false"/>
          <w:sz w:val="18"/>
        </w:rPr>
      </w:pPr>
      <w:r>
        <w:rPr>
          <w:rFonts w:ascii="Arial" w:hAnsi="Arial"/>
          <w:b w:val="false"/>
          <w:sz w:val="18"/>
        </w:rPr>
        <w:t>(4)</w:t>
      </w:r>
    </w:p>
    <w:p>
      <w:pPr>
        <w:pStyle w:val="TextBody"/>
        <w:spacing w:before="0" w:after="200"/>
        <w:jc w:val="left"/>
        <w:rPr>
          <w:rFonts w:ascii="Arial;sans-serif" w:hAnsi="Arial;sans-serif"/>
          <w:b w:val="false"/>
          <w:sz w:val="18"/>
        </w:rPr>
      </w:pPr>
      <w:r>
        <w:rPr>
          <w:rFonts w:ascii="Arial;sans-serif" w:hAnsi="Arial;sans-serif"/>
          <w:b w:val="false"/>
          <w:sz w:val="18"/>
        </w:rPr>
        <w:t>Represents loss related to right of use (“ROU”) assets that were subleased in the second quarter of 2022 and loss related to disposal of assets.</w:t>
      </w:r>
    </w:p>
    <w:p>
      <w:pPr>
        <w:pStyle w:val="TextBody"/>
        <w:spacing w:before="240" w:after="0"/>
        <w:jc w:val="center"/>
        <w:rPr>
          <w:rFonts w:ascii="Arial;sans-serif" w:hAnsi="Arial;sans-serif"/>
          <w:b w:val="false"/>
          <w:sz w:val="20"/>
        </w:rPr>
      </w:pPr>
      <w:r>
        <w:rPr>
          <w:rFonts w:ascii="Arial;sans-serif" w:hAnsi="Arial;sans-serif"/>
          <w:b w:val="false"/>
          <w:sz w:val="20"/>
        </w:rPr>
        <w:t>84</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7038975" cy="91059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038975" cy="9105900"/>
                    </a:xfrm>
                    <a:prstGeom prst="rect">
                      <a:avLst/>
                    </a:prstGeom>
                  </pic:spPr>
                </pic:pic>
              </a:graphicData>
            </a:graphic>
          </wp:inline>
        </w:drawing>
      </w: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drawing>
          <wp:inline distT="0" distB="0" distL="0" distR="0">
            <wp:extent cx="6219825" cy="8048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219825" cy="8048625"/>
                    </a:xfrm>
                    <a:prstGeom prst="rect">
                      <a:avLst/>
                    </a:prstGeom>
                  </pic:spPr>
                </pic:pic>
              </a:graphicData>
            </a:graphic>
          </wp:inline>
        </w:drawing>
      </w:r>
      <w:r>
        <w:rPr/>
        <w:t> </w:t>
      </w:r>
    </w:p>
    <w:p>
      <w:pPr>
        <w:pStyle w:val="TextBody"/>
        <w:spacing w:before="0" w:after="0"/>
        <w:jc w:val="left"/>
        <w:rPr>
          <w:rFonts w:ascii="Times New Roman;serif" w:hAnsi="Times New Roman;serif"/>
          <w:b w:val="false"/>
          <w:sz w:val="2"/>
        </w:rPr>
      </w:pPr>
      <w:r>
        <w:rPr>
          <w:rFonts w:ascii="Times New Roman;serif" w:hAnsi="Times New Roman;serif"/>
          <w:b w:val="false"/>
          <w:sz w:val="2"/>
        </w:rPr>
        <w:t>YOUR VOTE IS IMPORTANT! PLEASE VOTE BY: INTERNET Go To: www.proxypush.com/ALHC Cast your vote online Have your Proxy Card ready Follow the simple instructions to record your vote PHONE Call 1-866-314-3346 Use any touch-tone telephone Have your Proxy Card ready Follow the simple recorded instructions MAIL Mark, sign and date your Proxy Card Fold and return your Proxy Card in the postage-paid envelope provided You must register to attend the meeting online and/or participate at www.proxydocs.com/ALHC P.O. BOX 8016, CARY, NC 27512-9903 Alignment Healthcare, Inc. Annual Meeting of Stockholders For Stockholders of record as of April 10, 2023 TIME: Tuesday, June 6, 2023, 8:00 AM Pacific Time PLACE: Annual Meeting to be held live via the Internet Please visit www.proxydocs.com/ALHC for more details. This proxy is being solicited on behalf of the Board of Directors The undersigned hereby appoints John Kao and Thomas Freeman (the "Named Proxies"), and each or either of them, as the true and lawful attorneys of the undersigned, with full power of substitution and revocation, and authorizes them, and each of them, to vote all the shares of capital stock of Alignment Healthcare,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drawing>
          <wp:inline distT="0" distB="0" distL="0" distR="0">
            <wp:extent cx="6219825" cy="8048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219825" cy="80486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serif" w:hAnsi="Times New Roman;serif"/>
          <w:b w:val="false"/>
          <w:sz w:val="2"/>
        </w:rPr>
      </w:pPr>
      <w:r>
        <w:rPr>
          <w:rFonts w:ascii="Times New Roman;serif" w:hAnsi="Times New Roman;serif"/>
          <w:b w:val="false"/>
          <w:sz w:val="2"/>
        </w:rPr>
        <w:t>Alignment Healthcare, Inc. Annual Meeting of Stockholders Please make your marks like this: THE BOARD OF DIRECTORS RECOMMENDS A VOTE: FOR EACH DIRECTOR NOMINEE UNDER PROPOSAL 1 AND FOR PROPOSALS 2 AND 3 PROPOSAL YOUR VOTE BOARD OF DIRECTORS RECOMMENDS 1. Election of Directors FOR WITHHOLD 1.01 Jody Bilney P2 P2 FOR 1.02 David Hodgson P3 P3 FOR 1.03 Jacqueline Kosecoff P4 P4 FOR 1.04 Jeffrey Margolis P5 P5 FOR FOR AGAINST ABSTAIN 2. Ratify the appointment of Deloitte &amp; Touche LLP as our independent registered public accounting firm for the year ending December 31, 2023. P6 P6 P6 FOR 3. Approve, on an advisory basis, the compensation of our Named Executive Officers. P7 P7 P7 FOR</w:t>
      </w:r>
    </w:p>
    <w:p>
      <w:pPr>
        <w:pStyle w:val="TextBody"/>
        <w:spacing w:before="0" w:after="0"/>
        <w:jc w:val="left"/>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43498</Words>
  <CharactersWithSpaces>281386</CharactersWithSpaces>
  <Paragraphs>4680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