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(Mark One)</w:t>
      </w:r>
    </w:p>
    <w:tbl>
      <w:tblPr>
        <w:tblW w:w="9432" w:type="dxa"/>
        <w:jc w:val="left"/>
        <w:tblInd w:w="0" w:type="dxa"/>
        <w:tblLayout w:type="fixed"/>
        <w:tblCellMar>
          <w:top w:w="28" w:type="dxa"/>
          <w:left w:w="28" w:type="dxa"/>
          <w:bottom w:w="28" w:type="dxa"/>
          <w:right w:w="28" w:type="dxa"/>
        </w:tblCellMar>
      </w:tblPr>
      <w:tblGrid>
        <w:gridCol w:w="124"/>
        <w:gridCol w:w="109"/>
        <w:gridCol w:w="109"/>
        <w:gridCol w:w="2657"/>
        <w:gridCol w:w="2657"/>
        <w:gridCol w:w="37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18"/>
              </w:rPr>
            </w:pPr>
            <w:r>
              <w:rPr>
                <w:rFonts w:ascii="Wingdings;sans-serif" w:hAnsi="Wingdings;sans-serif"/>
                <w:b/>
                <w:color w:val="000000"/>
                <w:sz w:val="18"/>
              </w:rPr>
              <w:t>x</w:t>
            </w:r>
          </w:p>
        </w:tc>
        <w:tc>
          <w:tcPr>
            <w:tcW w:w="90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ANNUAL REPORT PURSUANT TO SECTION 13 OR 15(d) OF THE SECURITIES EXCHANGE ACT OF 1934 </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For the fiscal year ended December 31, 2025</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18"/>
              </w:rPr>
            </w:pPr>
            <w:r>
              <w:rPr>
                <w:rFonts w:ascii="Wingdings;sans-serif" w:hAnsi="Wingdings;sans-serif"/>
                <w:b/>
                <w:color w:val="000000"/>
                <w:sz w:val="18"/>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 FOR THE TRANSITION PERIOD FROM                     TO                     </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001-40295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ALIGNMENT HEALTHCARE,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tbl>
      <w:tblPr>
        <w:tblW w:w="5174" w:type="dxa"/>
        <w:jc w:val="left"/>
        <w:tblInd w:w="0" w:type="dxa"/>
        <w:tblLayout w:type="fixed"/>
        <w:tblCellMar>
          <w:top w:w="28" w:type="dxa"/>
          <w:left w:w="28" w:type="dxa"/>
          <w:bottom w:w="28" w:type="dxa"/>
          <w:right w:w="28" w:type="dxa"/>
        </w:tblCellMar>
      </w:tblPr>
      <w:tblGrid>
        <w:gridCol w:w="1420"/>
        <w:gridCol w:w="1247"/>
        <w:gridCol w:w="1263"/>
        <w:gridCol w:w="363"/>
        <w:gridCol w:w="363"/>
        <w:gridCol w:w="518"/>
      </w:tblGrid>
      <w:tr>
        <w:trPr/>
        <w:tc>
          <w:tcPr>
            <w:tcW w:w="142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46-5596242</w:t>
            </w:r>
          </w:p>
        </w:tc>
      </w:tr>
      <w:tr>
        <w:trPr/>
        <w:tc>
          <w:tcPr>
            <w:tcW w:w="39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76" w:before="0" w:after="15"/>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Identification No.)</w:t>
            </w:r>
          </w:p>
        </w:tc>
      </w:tr>
      <w:tr>
        <w:trPr/>
        <w:tc>
          <w:tcPr>
            <w:tcW w:w="39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1100 W. Town and Country Road, Suite 1600</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Orange, California</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92868</w:t>
            </w:r>
          </w:p>
        </w:tc>
      </w:tr>
      <w:tr>
        <w:trPr/>
        <w:tc>
          <w:tcPr>
            <w:tcW w:w="39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 (844) 310-2247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20" w:after="283"/>
        <w:jc w:val="left"/>
        <w:rPr/>
      </w:pPr>
      <w:r>
        <w:rPr>
          <w:rFonts w:ascii="Times New Roman;serif" w:hAnsi="Times New Roman;serif"/>
          <w:b w:val="false"/>
          <w:color w:val="000000"/>
          <w:sz w:val="17"/>
        </w:rPr>
        <w:t>Securities registered pursuant to Section 12(b) of the Act:</w:t>
      </w:r>
      <w:r>
        <w:rPr>
          <w:color w:val="000000"/>
        </w:rPr>
        <w:t xml:space="preserve"> </w:t>
      </w:r>
    </w:p>
    <w:tbl>
      <w:tblPr>
        <w:tblW w:w="7942" w:type="dxa"/>
        <w:jc w:val="left"/>
        <w:tblInd w:w="0" w:type="dxa"/>
        <w:tblLayout w:type="fixed"/>
        <w:tblCellMar>
          <w:top w:w="28" w:type="dxa"/>
          <w:left w:w="28" w:type="dxa"/>
          <w:bottom w:w="28" w:type="dxa"/>
          <w:right w:w="28" w:type="dxa"/>
        </w:tblCellMar>
      </w:tblPr>
      <w:tblGrid>
        <w:gridCol w:w="1139"/>
        <w:gridCol w:w="999"/>
        <w:gridCol w:w="1012"/>
        <w:gridCol w:w="109"/>
        <w:gridCol w:w="109"/>
        <w:gridCol w:w="109"/>
        <w:gridCol w:w="274"/>
        <w:gridCol w:w="274"/>
        <w:gridCol w:w="276"/>
        <w:gridCol w:w="109"/>
        <w:gridCol w:w="109"/>
        <w:gridCol w:w="109"/>
        <w:gridCol w:w="970"/>
        <w:gridCol w:w="970"/>
        <w:gridCol w:w="1374"/>
      </w:tblGrid>
      <w:tr>
        <w:trPr/>
        <w:tc>
          <w:tcPr>
            <w:tcW w:w="113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7"/>
              </w:rPr>
            </w:pPr>
            <w:r>
              <w:rPr>
                <w:rFonts w:ascii="Times New Roman;serif" w:hAnsi="Times New Roman;serif"/>
                <w:b/>
                <w:color w:val="000000"/>
                <w:sz w:val="17"/>
              </w:rPr>
              <w:t>ALHC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7"/>
              </w:rPr>
            </w:pPr>
            <w:r>
              <w:rPr>
                <w:rFonts w:ascii="Times New Roman;serif" w:hAnsi="Times New Roman;serif"/>
                <w:b w:val="false"/>
                <w:color w:val="000000"/>
                <w:sz w:val="17"/>
              </w:rPr>
              <w:t>The Nasdaq Stock Market LLC</w:t>
            </w:r>
          </w:p>
        </w:tc>
      </w:tr>
    </w:tbl>
    <w:p>
      <w:pPr>
        <w:pStyle w:val="TextBody"/>
        <w:bidi w:val="0"/>
        <w:spacing w:lineRule="auto" w:line="288" w:before="60" w:after="283"/>
        <w:jc w:val="left"/>
        <w:rPr/>
      </w:pPr>
      <w:r>
        <w:rPr>
          <w:rFonts w:ascii="Times New Roman;serif" w:hAnsi="Times New Roman;serif"/>
          <w:b w:val="false"/>
          <w:color w:val="000000"/>
          <w:sz w:val="16"/>
        </w:rPr>
        <w:t xml:space="preserve">Securities registered pursuant to Section 12(g) of the Act: </w:t>
      </w:r>
      <w:r>
        <w:rPr>
          <w:rFonts w:ascii="Times New Roman;serif" w:hAnsi="Times New Roman;serif"/>
          <w:b/>
          <w:color w:val="000000"/>
          <w:sz w:val="16"/>
        </w:rPr>
        <w:t>None</w:t>
      </w:r>
    </w:p>
    <w:p>
      <w:pPr>
        <w:pStyle w:val="TextBody"/>
        <w:bidi w:val="0"/>
        <w:spacing w:lineRule="auto" w:line="288" w:before="60" w:after="283"/>
        <w:jc w:val="left"/>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60" w:after="283"/>
        <w:jc w:val="left"/>
        <w:rPr/>
      </w:pPr>
      <w:r>
        <w:rPr>
          <w:rFonts w:ascii="Times New Roman;serif" w:hAnsi="Times New Roman;serif"/>
          <w:b w:val="false"/>
          <w:color w:val="000000"/>
          <w:sz w:val="16"/>
        </w:rPr>
        <w:t xml:space="preserve">Indicate by check mark if the Registrant is not required to file reports pursuant to Section 13 or 15(d) of the Act.  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60" w:after="283"/>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49"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bl>
    <w:p>
      <w:pPr>
        <w:pStyle w:val="TextBody"/>
        <w:bidi w:val="0"/>
        <w:spacing w:lineRule="auto" w:line="288" w:before="60" w:after="283"/>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60" w:after="283"/>
        <w:jc w:val="left"/>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p>
    <w:p>
      <w:pPr>
        <w:pStyle w:val="TextBody"/>
        <w:bidi w:val="0"/>
        <w:spacing w:lineRule="auto" w:line="288" w:before="60" w:after="283"/>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No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voting shares held by non-affiliates of the Registrant was $2,060,116,814 as of June 30, 2025, the last business day of the Registrant’s most recently completed second fiscal quarter (based on a closing price of $14.00 per share). This determination of affiliate status is not necessarily a conclusive determination for other purposes. The registrant has no non-voting common stock.</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As of February 23, 2026, the registrant had 204,296,493 shares of common stock, $0.001 par value per share, outstanding.</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DOCUMENTS INCORPORATED BY REFERENCE</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The information required by Part III of this Annual Report, to the extent not set forth herein, is incorporated herein by reference from the registrant’s definitive proxy statement relating to the Annual Meeting of Shareholders to be held in 2026, which definitive proxy statement shall be filed with the Securities and Exchange Commission within 120 days after the end of the fiscal year to which this Annual Report relates.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65760"/>
                <wp:effectExtent l="0" t="0" r="0" b="0"/>
                <wp:wrapNone/>
                <wp:docPr id="1" name="Frame1"/>
                <a:graphic xmlns:a="http://schemas.openxmlformats.org/drawingml/2006/main">
                  <a:graphicData uri="http://schemas.microsoft.com/office/word/2010/wordprocessingShape">
                    <wps:wsp>
                      <wps:cNvSpPr txBox="1"/>
                      <wps:spPr>
                        <a:xfrm>
                          <a:off x="0" y="0"/>
                          <a:ext cx="6480175" cy="365760"/>
                        </a:xfrm>
                        <a:prstGeom prst="rect"/>
                        <a:solidFill>
                          <a:srgbClr val="FFFFFF"/>
                        </a:solidFill>
                      </wps:spPr>
                      <wps:txbx>
                        <w:txbxContent>
                          <w:p>
                            <w:pPr>
                              <w:pStyle w:val="TextBody"/>
                              <w:bidi w:val="0"/>
                              <w:spacing w:before="30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720"/>
                        <w:jc w:val="center"/>
                        <w:rPr/>
                      </w:pPr>
                      <w:r>
                        <w:rPr/>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9466" w:type="dxa"/>
        <w:jc w:val="left"/>
        <w:tblInd w:w="0" w:type="dxa"/>
        <w:tblLayout w:type="fixed"/>
        <w:tblCellMar>
          <w:top w:w="28" w:type="dxa"/>
          <w:left w:w="28" w:type="dxa"/>
          <w:bottom w:w="28" w:type="dxa"/>
          <w:right w:w="28" w:type="dxa"/>
        </w:tblCellMar>
      </w:tblPr>
      <w:tblGrid>
        <w:gridCol w:w="320"/>
        <w:gridCol w:w="282"/>
        <w:gridCol w:w="283"/>
        <w:gridCol w:w="2684"/>
        <w:gridCol w:w="2684"/>
        <w:gridCol w:w="2702"/>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3">
              <w:r>
                <w:rPr>
                  <w:rStyle w:val="InternetLink"/>
                  <w:rFonts w:ascii="Times New Roman;serif" w:hAnsi="Times New Roman;serif"/>
                  <w:b/>
                  <w:strike w:val="false"/>
                  <w:dstrike w:val="false"/>
                  <w:color w:val="000000"/>
                  <w:sz w:val="18"/>
                  <w:u w:val="none"/>
                  <w:effect w:val="none"/>
                </w:rPr>
                <w:t>PART I</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6">
              <w:r>
                <w:rPr>
                  <w:rStyle w:val="InternetLink"/>
                  <w:rFonts w:ascii="Times New Roman;serif" w:hAnsi="Times New Roman;serif"/>
                  <w:b w:val="false"/>
                  <w:strike w:val="false"/>
                  <w:dstrike w:val="false"/>
                  <w:color w:val="000000"/>
                  <w:sz w:val="18"/>
                  <w:u w:val="none"/>
                  <w:effect w:val="none"/>
                </w:rPr>
                <w:t>Item 1.</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6">
              <w:r>
                <w:rPr>
                  <w:rStyle w:val="InternetLink"/>
                  <w:rFonts w:ascii="Times New Roman;serif" w:hAnsi="Times New Roman;serif"/>
                  <w:b w:val="false"/>
                  <w:color w:val="0000FF"/>
                  <w:sz w:val="18"/>
                  <w:u w:val="single"/>
                </w:rPr>
                <w:t>Business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16">
              <w:r>
                <w:rPr>
                  <w:rStyle w:val="InternetLink"/>
                  <w:rFonts w:ascii="Times New Roman;serif" w:hAnsi="Times New Roman;serif"/>
                  <w:b w:val="false"/>
                  <w:strike w:val="false"/>
                  <w:dstrike w:val="false"/>
                  <w:color w:val="000000"/>
                  <w:sz w:val="18"/>
                  <w:u w:val="none"/>
                  <w:effect w:val="none"/>
                </w:rPr>
                <w:t>3</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9">
              <w:r>
                <w:rPr>
                  <w:rStyle w:val="InternetLink"/>
                  <w:rFonts w:ascii="Times New Roman;serif" w:hAnsi="Times New Roman;serif"/>
                  <w:b w:val="false"/>
                  <w:strike w:val="false"/>
                  <w:dstrike w:val="false"/>
                  <w:color w:val="000000"/>
                  <w:sz w:val="18"/>
                  <w:u w:val="none"/>
                  <w:effect w:val="none"/>
                </w:rPr>
                <w:t>Item 1A.</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9">
              <w:r>
                <w:rPr>
                  <w:rStyle w:val="InternetLink"/>
                  <w:rFonts w:ascii="Times New Roman;serif" w:hAnsi="Times New Roman;serif"/>
                  <w:b w:val="false"/>
                  <w:color w:val="0000FF"/>
                  <w:sz w:val="18"/>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19">
              <w:r>
                <w:rPr>
                  <w:rStyle w:val="InternetLink"/>
                  <w:rFonts w:ascii="Times New Roman;serif" w:hAnsi="Times New Roman;serif"/>
                  <w:b w:val="false"/>
                  <w:strike w:val="false"/>
                  <w:dstrike w:val="false"/>
                  <w:color w:val="000000"/>
                  <w:sz w:val="18"/>
                  <w:u w:val="none"/>
                  <w:effect w:val="none"/>
                </w:rPr>
                <w:t>13</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22">
              <w:r>
                <w:rPr>
                  <w:rStyle w:val="InternetLink"/>
                  <w:rFonts w:ascii="Times New Roman;serif" w:hAnsi="Times New Roman;serif"/>
                  <w:b w:val="false"/>
                  <w:strike w:val="false"/>
                  <w:dstrike w:val="false"/>
                  <w:color w:val="000000"/>
                  <w:sz w:val="18"/>
                  <w:u w:val="none"/>
                  <w:effect w:val="none"/>
                </w:rPr>
                <w:t>Item 1B.</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22">
              <w:r>
                <w:rPr>
                  <w:rStyle w:val="InternetLink"/>
                  <w:rFonts w:ascii="Times New Roman;serif" w:hAnsi="Times New Roman;serif"/>
                  <w:b w:val="false"/>
                  <w:color w:val="0000FF"/>
                  <w:sz w:val="18"/>
                  <w:u w:val="single"/>
                </w:rPr>
                <w:t>Unresolved Staff Comments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22">
              <w:r>
                <w:rPr>
                  <w:rStyle w:val="InternetLink"/>
                  <w:rFonts w:ascii="Times New Roman;serif" w:hAnsi="Times New Roman;serif"/>
                  <w:b w:val="false"/>
                  <w:strike w:val="false"/>
                  <w:dstrike w:val="false"/>
                  <w:color w:val="000000"/>
                  <w:sz w:val="18"/>
                  <w:u w:val="none"/>
                  <w:effect w:val="none"/>
                </w:rPr>
                <w:t>47</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25">
              <w:r>
                <w:rPr>
                  <w:rStyle w:val="InternetLink"/>
                  <w:rFonts w:ascii="Times New Roman;serif" w:hAnsi="Times New Roman;serif"/>
                  <w:b w:val="false"/>
                  <w:strike w:val="false"/>
                  <w:dstrike w:val="false"/>
                  <w:color w:val="000000"/>
                  <w:sz w:val="18"/>
                  <w:u w:val="none"/>
                  <w:effect w:val="none"/>
                </w:rPr>
                <w:t>Item 1C.</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25">
              <w:r>
                <w:rPr>
                  <w:rStyle w:val="InternetLink"/>
                  <w:rFonts w:ascii="Times New Roman;serif" w:hAnsi="Times New Roman;serif"/>
                  <w:b w:val="false"/>
                  <w:color w:val="0000FF"/>
                  <w:sz w:val="18"/>
                  <w:u w:val="single"/>
                </w:rPr>
                <w:t>Cybersecurity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25">
              <w:r>
                <w:rPr>
                  <w:rStyle w:val="InternetLink"/>
                  <w:rFonts w:ascii="Times New Roman;serif" w:hAnsi="Times New Roman;serif"/>
                  <w:b w:val="false"/>
                  <w:strike w:val="false"/>
                  <w:dstrike w:val="false"/>
                  <w:color w:val="000000"/>
                  <w:sz w:val="18"/>
                  <w:u w:val="none"/>
                  <w:effect w:val="none"/>
                </w:rPr>
                <w:t>47</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28">
              <w:r>
                <w:rPr>
                  <w:rStyle w:val="InternetLink"/>
                  <w:rFonts w:ascii="Times New Roman;serif" w:hAnsi="Times New Roman;serif"/>
                  <w:b w:val="false"/>
                  <w:strike w:val="false"/>
                  <w:dstrike w:val="false"/>
                  <w:color w:val="000000"/>
                  <w:sz w:val="18"/>
                  <w:u w:val="none"/>
                  <w:effect w:val="none"/>
                </w:rPr>
                <w:t>Item 2.</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28">
              <w:r>
                <w:rPr>
                  <w:rStyle w:val="InternetLink"/>
                  <w:rFonts w:ascii="Times New Roman;serif" w:hAnsi="Times New Roman;serif"/>
                  <w:b w:val="false"/>
                  <w:color w:val="0000FF"/>
                  <w:sz w:val="18"/>
                  <w:u w:val="single"/>
                </w:rPr>
                <w:t>Properties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28">
              <w:r>
                <w:rPr>
                  <w:rStyle w:val="InternetLink"/>
                  <w:rFonts w:ascii="Times New Roman;serif" w:hAnsi="Times New Roman;serif"/>
                  <w:b w:val="false"/>
                  <w:strike w:val="false"/>
                  <w:dstrike w:val="false"/>
                  <w:color w:val="000000"/>
                  <w:sz w:val="18"/>
                  <w:u w:val="none"/>
                  <w:effect w:val="none"/>
                </w:rPr>
                <w:t>48</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31">
              <w:r>
                <w:rPr>
                  <w:rStyle w:val="InternetLink"/>
                  <w:rFonts w:ascii="Times New Roman;serif" w:hAnsi="Times New Roman;serif"/>
                  <w:b w:val="false"/>
                  <w:strike w:val="false"/>
                  <w:dstrike w:val="false"/>
                  <w:color w:val="000000"/>
                  <w:sz w:val="18"/>
                  <w:u w:val="none"/>
                  <w:effect w:val="none"/>
                </w:rPr>
                <w:t>Item 3.</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31">
              <w:r>
                <w:rPr>
                  <w:rStyle w:val="InternetLink"/>
                  <w:rFonts w:ascii="Times New Roman;serif" w:hAnsi="Times New Roman;serif"/>
                  <w:b w:val="false"/>
                  <w:color w:val="0000FF"/>
                  <w:sz w:val="18"/>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31">
              <w:r>
                <w:rPr>
                  <w:rStyle w:val="InternetLink"/>
                  <w:rFonts w:ascii="Times New Roman;serif" w:hAnsi="Times New Roman;serif"/>
                  <w:b w:val="false"/>
                  <w:strike w:val="false"/>
                  <w:dstrike w:val="false"/>
                  <w:color w:val="000000"/>
                  <w:sz w:val="18"/>
                  <w:u w:val="none"/>
                  <w:effect w:val="none"/>
                </w:rPr>
                <w:t>49</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34">
              <w:r>
                <w:rPr>
                  <w:rStyle w:val="InternetLink"/>
                  <w:rFonts w:ascii="Times New Roman;serif" w:hAnsi="Times New Roman;serif"/>
                  <w:b w:val="false"/>
                  <w:strike w:val="false"/>
                  <w:dstrike w:val="false"/>
                  <w:color w:val="000000"/>
                  <w:sz w:val="18"/>
                  <w:u w:val="none"/>
                  <w:effect w:val="none"/>
                </w:rPr>
                <w:t>Item 4.</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34">
              <w:r>
                <w:rPr>
                  <w:rStyle w:val="InternetLink"/>
                  <w:rFonts w:ascii="Times New Roman;serif" w:hAnsi="Times New Roman;serif"/>
                  <w:b w:val="false"/>
                  <w:color w:val="0000FF"/>
                  <w:sz w:val="18"/>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34">
              <w:r>
                <w:rPr>
                  <w:rStyle w:val="InternetLink"/>
                  <w:rFonts w:ascii="Times New Roman;serif" w:hAnsi="Times New Roman;serif"/>
                  <w:b w:val="false"/>
                  <w:strike w:val="false"/>
                  <w:dstrike w:val="false"/>
                  <w:color w:val="000000"/>
                  <w:sz w:val="18"/>
                  <w:u w:val="none"/>
                  <w:effect w:val="none"/>
                </w:rPr>
                <w:t>49</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37">
              <w:r>
                <w:rPr>
                  <w:rStyle w:val="InternetLink"/>
                  <w:rFonts w:ascii="Times New Roman;serif" w:hAnsi="Times New Roman;serif"/>
                  <w:b/>
                  <w:strike w:val="false"/>
                  <w:dstrike w:val="false"/>
                  <w:color w:val="000000"/>
                  <w:sz w:val="18"/>
                  <w:u w:val="none"/>
                  <w:effect w:val="none"/>
                </w:rPr>
                <w:t>PART II</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40">
              <w:r>
                <w:rPr>
                  <w:rStyle w:val="InternetLink"/>
                  <w:rFonts w:ascii="Times New Roman;serif" w:hAnsi="Times New Roman;serif"/>
                  <w:b w:val="false"/>
                  <w:strike w:val="false"/>
                  <w:dstrike w:val="false"/>
                  <w:color w:val="000000"/>
                  <w:sz w:val="18"/>
                  <w:u w:val="none"/>
                  <w:effect w:val="none"/>
                </w:rPr>
                <w:t>Item 5.</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40">
              <w:r>
                <w:rPr>
                  <w:rStyle w:val="InternetLink"/>
                  <w:rFonts w:ascii="Times New Roman;serif" w:hAnsi="Times New Roman;serif"/>
                  <w:b w:val="false"/>
                  <w:color w:val="0000FF"/>
                  <w:sz w:val="18"/>
                  <w:u w:val="single"/>
                </w:rPr>
                <w:t>Market for Registrant’s Common Equity, Related Stockholder Matters and Issuer Purchases of Equity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40">
              <w:r>
                <w:rPr>
                  <w:rStyle w:val="InternetLink"/>
                  <w:rFonts w:ascii="Times New Roman;serif" w:hAnsi="Times New Roman;serif"/>
                  <w:b w:val="false"/>
                  <w:strike w:val="false"/>
                  <w:dstrike w:val="false"/>
                  <w:color w:val="000000"/>
                  <w:sz w:val="18"/>
                  <w:u w:val="none"/>
                  <w:effect w:val="none"/>
                </w:rPr>
                <w:t>50</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43">
              <w:r>
                <w:rPr>
                  <w:rStyle w:val="InternetLink"/>
                  <w:rFonts w:ascii="Times New Roman;serif" w:hAnsi="Times New Roman;serif"/>
                  <w:b w:val="false"/>
                  <w:strike w:val="false"/>
                  <w:dstrike w:val="false"/>
                  <w:color w:val="000000"/>
                  <w:sz w:val="18"/>
                  <w:u w:val="none"/>
                  <w:effect w:val="none"/>
                </w:rPr>
                <w:t>Item 6.</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43">
              <w:r>
                <w:rPr>
                  <w:rStyle w:val="InternetLink"/>
                  <w:rFonts w:ascii="Times New Roman;serif" w:hAnsi="Times New Roman;serif"/>
                  <w:b w:val="false"/>
                  <w:color w:val="0000FF"/>
                  <w:sz w:val="18"/>
                  <w:u w:val="single"/>
                </w:rPr>
                <w:t>[Reserved]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43">
              <w:r>
                <w:rPr>
                  <w:rStyle w:val="InternetLink"/>
                  <w:rFonts w:ascii="Times New Roman;serif" w:hAnsi="Times New Roman;serif"/>
                  <w:b w:val="false"/>
                  <w:strike w:val="false"/>
                  <w:dstrike w:val="false"/>
                  <w:color w:val="000000"/>
                  <w:sz w:val="18"/>
                  <w:u w:val="none"/>
                  <w:effect w:val="none"/>
                </w:rPr>
                <w:t>51</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46">
              <w:r>
                <w:rPr>
                  <w:rStyle w:val="InternetLink"/>
                  <w:rFonts w:ascii="Times New Roman;serif" w:hAnsi="Times New Roman;serif"/>
                  <w:b w:val="false"/>
                  <w:strike w:val="false"/>
                  <w:dstrike w:val="false"/>
                  <w:color w:val="000000"/>
                  <w:sz w:val="18"/>
                  <w:u w:val="none"/>
                  <w:effect w:val="none"/>
                </w:rPr>
                <w:t>Item 7.</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46">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46">
              <w:r>
                <w:rPr>
                  <w:rStyle w:val="InternetLink"/>
                  <w:rFonts w:ascii="Times New Roman;serif" w:hAnsi="Times New Roman;serif"/>
                  <w:b w:val="false"/>
                  <w:strike w:val="false"/>
                  <w:dstrike w:val="false"/>
                  <w:color w:val="000000"/>
                  <w:sz w:val="18"/>
                  <w:u w:val="none"/>
                  <w:effect w:val="none"/>
                </w:rPr>
                <w:t>52</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76">
              <w:r>
                <w:rPr>
                  <w:rStyle w:val="InternetLink"/>
                  <w:rFonts w:ascii="Times New Roman;serif" w:hAnsi="Times New Roman;serif"/>
                  <w:b w:val="false"/>
                  <w:strike w:val="false"/>
                  <w:dstrike w:val="false"/>
                  <w:color w:val="000000"/>
                  <w:sz w:val="18"/>
                  <w:u w:val="none"/>
                  <w:effect w:val="none"/>
                </w:rPr>
                <w:t>Item 7A.</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76">
              <w:r>
                <w:rPr>
                  <w:rStyle w:val="InternetLink"/>
                  <w:rFonts w:ascii="Times New Roman;serif" w:hAnsi="Times New Roman;serif"/>
                  <w:b w:val="false"/>
                  <w:color w:val="0000FF"/>
                  <w:sz w:val="18"/>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76">
              <w:r>
                <w:rPr>
                  <w:rStyle w:val="InternetLink"/>
                  <w:rFonts w:ascii="Times New Roman;serif" w:hAnsi="Times New Roman;serif"/>
                  <w:b w:val="false"/>
                  <w:strike w:val="false"/>
                  <w:dstrike w:val="false"/>
                  <w:color w:val="000000"/>
                  <w:sz w:val="18"/>
                  <w:u w:val="none"/>
                  <w:effect w:val="none"/>
                </w:rPr>
                <w:t>64</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79">
              <w:r>
                <w:rPr>
                  <w:rStyle w:val="InternetLink"/>
                  <w:rFonts w:ascii="Times New Roman;serif" w:hAnsi="Times New Roman;serif"/>
                  <w:b w:val="false"/>
                  <w:strike w:val="false"/>
                  <w:dstrike w:val="false"/>
                  <w:color w:val="000000"/>
                  <w:sz w:val="18"/>
                  <w:u w:val="none"/>
                  <w:effect w:val="none"/>
                </w:rPr>
                <w:t>Item 8.</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79">
              <w:r>
                <w:rPr>
                  <w:rStyle w:val="InternetLink"/>
                  <w:rFonts w:ascii="Times New Roman;serif" w:hAnsi="Times New Roman;serif"/>
                  <w:b w:val="false"/>
                  <w:color w:val="0000FF"/>
                  <w:sz w:val="18"/>
                  <w:u w:val="single"/>
                </w:rPr>
                <w:t>Financial Statements and Supplementary Data</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79">
              <w:r>
                <w:rPr>
                  <w:rStyle w:val="InternetLink"/>
                  <w:rFonts w:ascii="Times New Roman;serif" w:hAnsi="Times New Roman;serif"/>
                  <w:b w:val="false"/>
                  <w:strike w:val="false"/>
                  <w:dstrike w:val="false"/>
                  <w:color w:val="000000"/>
                  <w:sz w:val="18"/>
                  <w:u w:val="none"/>
                  <w:effect w:val="none"/>
                </w:rPr>
                <w:t>65</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66">
              <w:r>
                <w:rPr>
                  <w:rStyle w:val="InternetLink"/>
                  <w:rFonts w:ascii="Times New Roman;serif" w:hAnsi="Times New Roman;serif"/>
                  <w:b w:val="false"/>
                  <w:strike w:val="false"/>
                  <w:dstrike w:val="false"/>
                  <w:color w:val="000000"/>
                  <w:sz w:val="18"/>
                  <w:u w:val="none"/>
                  <w:effect w:val="none"/>
                </w:rPr>
                <w:t>Item 9.</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66">
              <w:r>
                <w:rPr>
                  <w:rStyle w:val="InternetLink"/>
                  <w:rFonts w:ascii="Times New Roman;serif" w:hAnsi="Times New Roman;serif"/>
                  <w:b w:val="false"/>
                  <w:color w:val="0000FF"/>
                  <w:sz w:val="18"/>
                  <w:u w:val="single"/>
                </w:rPr>
                <w:t>Changes in and Disagreements with Accountants on Accounting and Financial Disclosure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166">
              <w:r>
                <w:rPr>
                  <w:rStyle w:val="InternetLink"/>
                  <w:rFonts w:ascii="Times New Roman;serif" w:hAnsi="Times New Roman;serif"/>
                  <w:b w:val="false"/>
                  <w:strike w:val="false"/>
                  <w:dstrike w:val="false"/>
                  <w:color w:val="000000"/>
                  <w:sz w:val="18"/>
                  <w:u w:val="none"/>
                  <w:effect w:val="none"/>
                </w:rPr>
                <w:t>99</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69">
              <w:r>
                <w:rPr>
                  <w:rStyle w:val="InternetLink"/>
                  <w:rFonts w:ascii="Times New Roman;serif" w:hAnsi="Times New Roman;serif"/>
                  <w:b w:val="false"/>
                  <w:strike w:val="false"/>
                  <w:dstrike w:val="false"/>
                  <w:color w:val="000000"/>
                  <w:sz w:val="18"/>
                  <w:u w:val="none"/>
                  <w:effect w:val="none"/>
                </w:rPr>
                <w:t>Item 9A.</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69">
              <w:r>
                <w:rPr>
                  <w:rStyle w:val="InternetLink"/>
                  <w:rFonts w:ascii="Times New Roman;serif" w:hAnsi="Times New Roman;serif"/>
                  <w:b w:val="false"/>
                  <w:color w:val="0000FF"/>
                  <w:sz w:val="18"/>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169">
              <w:r>
                <w:rPr>
                  <w:rStyle w:val="InternetLink"/>
                  <w:rFonts w:ascii="Times New Roman;serif" w:hAnsi="Times New Roman;serif"/>
                  <w:b w:val="false"/>
                  <w:strike w:val="false"/>
                  <w:dstrike w:val="false"/>
                  <w:color w:val="000000"/>
                  <w:sz w:val="18"/>
                  <w:u w:val="none"/>
                  <w:effect w:val="none"/>
                </w:rPr>
                <w:t>99</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72">
              <w:r>
                <w:rPr>
                  <w:rStyle w:val="InternetLink"/>
                  <w:rFonts w:ascii="Times New Roman;serif" w:hAnsi="Times New Roman;serif"/>
                  <w:b w:val="false"/>
                  <w:strike w:val="false"/>
                  <w:dstrike w:val="false"/>
                  <w:color w:val="000000"/>
                  <w:sz w:val="18"/>
                  <w:u w:val="none"/>
                  <w:effect w:val="none"/>
                </w:rPr>
                <w:t>Item 9B.</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72">
              <w:r>
                <w:rPr>
                  <w:rStyle w:val="InternetLink"/>
                  <w:rFonts w:ascii="Times New Roman;serif" w:hAnsi="Times New Roman;serif"/>
                  <w:b w:val="false"/>
                  <w:color w:val="0000FF"/>
                  <w:sz w:val="18"/>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172">
              <w:r>
                <w:rPr>
                  <w:rStyle w:val="InternetLink"/>
                  <w:rFonts w:ascii="Times New Roman;serif" w:hAnsi="Times New Roman;serif"/>
                  <w:b w:val="false"/>
                  <w:strike w:val="false"/>
                  <w:dstrike w:val="false"/>
                  <w:color w:val="000000"/>
                  <w:sz w:val="18"/>
                  <w:u w:val="none"/>
                  <w:effect w:val="none"/>
                </w:rPr>
                <w:t>100</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78">
              <w:r>
                <w:rPr>
                  <w:rStyle w:val="InternetLink"/>
                  <w:rFonts w:ascii="Times New Roman;serif" w:hAnsi="Times New Roman;serif"/>
                  <w:b w:val="false"/>
                  <w:strike w:val="false"/>
                  <w:dstrike w:val="false"/>
                  <w:color w:val="000000"/>
                  <w:sz w:val="18"/>
                  <w:u w:val="none"/>
                  <w:effect w:val="none"/>
                </w:rPr>
                <w:t>Item 9C.</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78">
              <w:r>
                <w:rPr>
                  <w:rStyle w:val="InternetLink"/>
                  <w:rFonts w:ascii="Times New Roman;serif" w:hAnsi="Times New Roman;serif"/>
                  <w:b w:val="false"/>
                  <w:color w:val="0000FF"/>
                  <w:sz w:val="18"/>
                  <w:u w:val="single"/>
                </w:rPr>
                <w:t>Disclosure Regarding Foreign Jurisdictions that Prevent Inspections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178">
              <w:r>
                <w:rPr>
                  <w:rStyle w:val="InternetLink"/>
                  <w:rFonts w:ascii="Times New Roman;serif" w:hAnsi="Times New Roman;serif"/>
                  <w:b w:val="false"/>
                  <w:strike w:val="false"/>
                  <w:dstrike w:val="false"/>
                  <w:color w:val="000000"/>
                  <w:sz w:val="18"/>
                  <w:u w:val="none"/>
                  <w:effect w:val="none"/>
                </w:rPr>
                <w:t>102</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79">
              <w:r>
                <w:rPr>
                  <w:rStyle w:val="InternetLink"/>
                  <w:rFonts w:ascii="Times New Roman;serif" w:hAnsi="Times New Roman;serif"/>
                  <w:b/>
                  <w:strike w:val="false"/>
                  <w:dstrike w:val="false"/>
                  <w:color w:val="000000"/>
                  <w:sz w:val="18"/>
                  <w:u w:val="none"/>
                  <w:effect w:val="none"/>
                </w:rPr>
                <w:t>PART III</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84">
              <w:r>
                <w:rPr>
                  <w:rStyle w:val="InternetLink"/>
                  <w:rFonts w:ascii="Times New Roman;serif" w:hAnsi="Times New Roman;serif"/>
                  <w:b w:val="false"/>
                  <w:strike w:val="false"/>
                  <w:dstrike w:val="false"/>
                  <w:color w:val="000000"/>
                  <w:sz w:val="18"/>
                  <w:u w:val="none"/>
                  <w:effect w:val="none"/>
                </w:rPr>
                <w:t>Item 10.</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84">
              <w:r>
                <w:rPr>
                  <w:rStyle w:val="InternetLink"/>
                  <w:rFonts w:ascii="Times New Roman;serif" w:hAnsi="Times New Roman;serif"/>
                  <w:b w:val="false"/>
                  <w:color w:val="0000FF"/>
                  <w:sz w:val="18"/>
                  <w:u w:val="single"/>
                </w:rPr>
                <w:t>Directors, Executive Officers and Corporate Governance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184">
              <w:r>
                <w:rPr>
                  <w:rStyle w:val="InternetLink"/>
                  <w:rFonts w:ascii="Times New Roman;serif" w:hAnsi="Times New Roman;serif"/>
                  <w:b w:val="false"/>
                  <w:strike w:val="false"/>
                  <w:dstrike w:val="false"/>
                  <w:color w:val="000000"/>
                  <w:sz w:val="18"/>
                  <w:u w:val="none"/>
                  <w:effect w:val="none"/>
                </w:rPr>
                <w:t>103</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87">
              <w:r>
                <w:rPr>
                  <w:rStyle w:val="InternetLink"/>
                  <w:rFonts w:ascii="Times New Roman;serif" w:hAnsi="Times New Roman;serif"/>
                  <w:b w:val="false"/>
                  <w:strike w:val="false"/>
                  <w:dstrike w:val="false"/>
                  <w:color w:val="000000"/>
                  <w:sz w:val="18"/>
                  <w:u w:val="none"/>
                  <w:effect w:val="none"/>
                </w:rPr>
                <w:t>Item 11.</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87">
              <w:r>
                <w:rPr>
                  <w:rStyle w:val="InternetLink"/>
                  <w:rFonts w:ascii="Times New Roman;serif" w:hAnsi="Times New Roman;serif"/>
                  <w:b w:val="false"/>
                  <w:color w:val="0000FF"/>
                  <w:sz w:val="18"/>
                  <w:u w:val="single"/>
                </w:rPr>
                <w:t>Executive Compensation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187">
              <w:r>
                <w:rPr>
                  <w:rStyle w:val="InternetLink"/>
                  <w:rFonts w:ascii="Times New Roman;serif" w:hAnsi="Times New Roman;serif"/>
                  <w:b w:val="false"/>
                  <w:strike w:val="false"/>
                  <w:dstrike w:val="false"/>
                  <w:color w:val="000000"/>
                  <w:sz w:val="18"/>
                  <w:u w:val="none"/>
                  <w:effect w:val="none"/>
                </w:rPr>
                <w:t>103</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90">
              <w:r>
                <w:rPr>
                  <w:rStyle w:val="InternetLink"/>
                  <w:rFonts w:ascii="Times New Roman;serif" w:hAnsi="Times New Roman;serif"/>
                  <w:b w:val="false"/>
                  <w:strike w:val="false"/>
                  <w:dstrike w:val="false"/>
                  <w:color w:val="000000"/>
                  <w:sz w:val="18"/>
                  <w:u w:val="none"/>
                  <w:effect w:val="none"/>
                </w:rPr>
                <w:t>Item 12.</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90">
              <w:r>
                <w:rPr>
                  <w:rStyle w:val="InternetLink"/>
                  <w:rFonts w:ascii="Times New Roman;serif" w:hAnsi="Times New Roman;serif"/>
                  <w:b w:val="false"/>
                  <w:color w:val="0000FF"/>
                  <w:sz w:val="18"/>
                  <w:u w:val="single"/>
                </w:rPr>
                <w:t>Security Ownership of Certain Beneficial Owners and Management and Related Stockholder Matters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190">
              <w:r>
                <w:rPr>
                  <w:rStyle w:val="InternetLink"/>
                  <w:rFonts w:ascii="Times New Roman;serif" w:hAnsi="Times New Roman;serif"/>
                  <w:b w:val="false"/>
                  <w:strike w:val="false"/>
                  <w:dstrike w:val="false"/>
                  <w:color w:val="000000"/>
                  <w:sz w:val="18"/>
                  <w:u w:val="none"/>
                  <w:effect w:val="none"/>
                </w:rPr>
                <w:t>103</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93">
              <w:r>
                <w:rPr>
                  <w:rStyle w:val="InternetLink"/>
                  <w:rFonts w:ascii="Times New Roman;serif" w:hAnsi="Times New Roman;serif"/>
                  <w:b w:val="false"/>
                  <w:strike w:val="false"/>
                  <w:dstrike w:val="false"/>
                  <w:color w:val="000000"/>
                  <w:sz w:val="18"/>
                  <w:u w:val="none"/>
                  <w:effect w:val="none"/>
                </w:rPr>
                <w:t>Item 13.</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93">
              <w:r>
                <w:rPr>
                  <w:rStyle w:val="InternetLink"/>
                  <w:rFonts w:ascii="Times New Roman;serif" w:hAnsi="Times New Roman;serif"/>
                  <w:b w:val="false"/>
                  <w:color w:val="0000FF"/>
                  <w:sz w:val="18"/>
                  <w:u w:val="single"/>
                </w:rPr>
                <w:t>Certain Relationships and Related Transactions, and Director Independence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193">
              <w:r>
                <w:rPr>
                  <w:rStyle w:val="InternetLink"/>
                  <w:rFonts w:ascii="Times New Roman;serif" w:hAnsi="Times New Roman;serif"/>
                  <w:b w:val="false"/>
                  <w:strike w:val="false"/>
                  <w:dstrike w:val="false"/>
                  <w:color w:val="000000"/>
                  <w:sz w:val="18"/>
                  <w:u w:val="none"/>
                  <w:effect w:val="none"/>
                </w:rPr>
                <w:t>103</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96">
              <w:r>
                <w:rPr>
                  <w:rStyle w:val="InternetLink"/>
                  <w:rFonts w:ascii="Times New Roman;serif" w:hAnsi="Times New Roman;serif"/>
                  <w:b w:val="false"/>
                  <w:strike w:val="false"/>
                  <w:dstrike w:val="false"/>
                  <w:color w:val="000000"/>
                  <w:sz w:val="18"/>
                  <w:u w:val="none"/>
                  <w:effect w:val="none"/>
                </w:rPr>
                <w:t>Item 14.</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96">
              <w:r>
                <w:rPr>
                  <w:rStyle w:val="InternetLink"/>
                  <w:rFonts w:ascii="Times New Roman;serif" w:hAnsi="Times New Roman;serif"/>
                  <w:b w:val="false"/>
                  <w:color w:val="0000FF"/>
                  <w:sz w:val="18"/>
                  <w:u w:val="single"/>
                </w:rPr>
                <w:t>Principal Accounting Fees and Services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196">
              <w:r>
                <w:rPr>
                  <w:rStyle w:val="InternetLink"/>
                  <w:rFonts w:ascii="Times New Roman;serif" w:hAnsi="Times New Roman;serif"/>
                  <w:b w:val="false"/>
                  <w:strike w:val="false"/>
                  <w:dstrike w:val="false"/>
                  <w:color w:val="000000"/>
                  <w:sz w:val="18"/>
                  <w:u w:val="none"/>
                  <w:effect w:val="none"/>
                </w:rPr>
                <w:t>103</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199">
              <w:r>
                <w:rPr>
                  <w:rStyle w:val="InternetLink"/>
                  <w:rFonts w:ascii="Times New Roman;serif" w:hAnsi="Times New Roman;serif"/>
                  <w:b/>
                  <w:strike w:val="false"/>
                  <w:dstrike w:val="false"/>
                  <w:color w:val="000000"/>
                  <w:sz w:val="18"/>
                  <w:u w:val="none"/>
                  <w:effect w:val="none"/>
                </w:rPr>
                <w:t>PART IV</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202">
              <w:r>
                <w:rPr>
                  <w:rStyle w:val="InternetLink"/>
                  <w:rFonts w:ascii="Times New Roman;serif" w:hAnsi="Times New Roman;serif"/>
                  <w:b w:val="false"/>
                  <w:strike w:val="false"/>
                  <w:dstrike w:val="false"/>
                  <w:color w:val="000000"/>
                  <w:sz w:val="18"/>
                  <w:u w:val="none"/>
                  <w:effect w:val="none"/>
                </w:rPr>
                <w:t>Item 15.</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202">
              <w:r>
                <w:rPr>
                  <w:rStyle w:val="InternetLink"/>
                  <w:rFonts w:ascii="Times New Roman;serif" w:hAnsi="Times New Roman;serif"/>
                  <w:b w:val="false"/>
                  <w:color w:val="0000FF"/>
                  <w:sz w:val="18"/>
                  <w:u w:val="single"/>
                </w:rPr>
                <w:t>Exhibits, Financial Statement Schedules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202">
              <w:r>
                <w:rPr>
                  <w:rStyle w:val="InternetLink"/>
                  <w:rFonts w:ascii="Times New Roman;serif" w:hAnsi="Times New Roman;serif"/>
                  <w:b w:val="false"/>
                  <w:strike w:val="false"/>
                  <w:dstrike w:val="false"/>
                  <w:color w:val="000000"/>
                  <w:sz w:val="18"/>
                  <w:u w:val="none"/>
                  <w:effect w:val="none"/>
                </w:rPr>
                <w:t>104</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205">
              <w:r>
                <w:rPr>
                  <w:rStyle w:val="InternetLink"/>
                  <w:rFonts w:ascii="Times New Roman;serif" w:hAnsi="Times New Roman;serif"/>
                  <w:b w:val="false"/>
                  <w:strike w:val="false"/>
                  <w:dstrike w:val="false"/>
                  <w:color w:val="000000"/>
                  <w:sz w:val="18"/>
                  <w:u w:val="none"/>
                  <w:effect w:val="none"/>
                </w:rPr>
                <w:t>Item 16.</w:t>
              </w:r>
            </w:hyperlink>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205">
              <w:r>
                <w:rPr>
                  <w:rStyle w:val="InternetLink"/>
                  <w:rFonts w:ascii="Times New Roman;serif" w:hAnsi="Times New Roman;serif"/>
                  <w:b w:val="false"/>
                  <w:color w:val="0000FF"/>
                  <w:sz w:val="18"/>
                  <w:u w:val="single"/>
                </w:rPr>
                <w:t>Form 10-K Summary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205">
              <w:r>
                <w:rPr>
                  <w:rStyle w:val="InternetLink"/>
                  <w:rFonts w:ascii="Times New Roman;serif" w:hAnsi="Times New Roman;serif"/>
                  <w:b w:val="false"/>
                  <w:strike w:val="false"/>
                  <w:dstrike w:val="false"/>
                  <w:color w:val="000000"/>
                  <w:sz w:val="18"/>
                  <w:u w:val="none"/>
                  <w:effect w:val="none"/>
                </w:rPr>
                <w:t>105</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208">
              <w:r>
                <w:rPr>
                  <w:rStyle w:val="InternetLink"/>
                  <w:rFonts w:ascii="Times New Roman;serif" w:hAnsi="Times New Roman;serif"/>
                  <w:b w:val="false"/>
                  <w:color w:val="0000FF"/>
                  <w:sz w:val="18"/>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208">
              <w:r>
                <w:rPr>
                  <w:rStyle w:val="InternetLink"/>
                  <w:rFonts w:ascii="Times New Roman;serif" w:hAnsi="Times New Roman;serif"/>
                  <w:b w:val="false"/>
                  <w:strike w:val="false"/>
                  <w:dstrike w:val="false"/>
                  <w:color w:val="000000"/>
                  <w:sz w:val="18"/>
                  <w:u w:val="none"/>
                  <w:effect w:val="none"/>
                </w:rPr>
                <w:t>106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FORWARD-LOOKING STATEMENTS</w:t>
      </w:r>
    </w:p>
    <w:p>
      <w:pPr>
        <w:pStyle w:val="TextBody"/>
        <w:bidi w:val="0"/>
        <w:spacing w:lineRule="auto" w:line="288" w:before="200" w:after="283"/>
        <w:jc w:val="left"/>
        <w:rPr/>
      </w:pPr>
      <w:r>
        <w:rPr>
          <w:rFonts w:ascii="Times New Roman;serif" w:hAnsi="Times New Roman;serif"/>
          <w:b w:val="false"/>
          <w:color w:val="000000"/>
          <w:sz w:val="18"/>
        </w:rPr>
        <w:t xml:space="preserve">Throughout this annual report on Form 10-K (this “Annual Report”), we make “forward-looking statements” within the meaning of the U.S. Private Securities Litigation Reform Act of 1995. All statements other than statements of historical fact included in this Annual Report are forward-looking statements. Forward-looking statements give our current expectations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The forward-looking statements contained in this Annual Report are generally located in the material set forth under the heading </w:t>
      </w:r>
      <w:r>
        <w:rPr>
          <w:color w:val="000000"/>
        </w:rPr>
        <w:t>“</w:t>
      </w:r>
      <w:r>
        <w:rPr>
          <w:rFonts w:ascii="Times New Roman;serif" w:hAnsi="Times New Roman;serif"/>
          <w:b w:val="false"/>
          <w:i/>
          <w:color w:val="000000"/>
          <w:sz w:val="18"/>
        </w:rPr>
        <w:t>Management’s Discussion and Analysis of Financial Condition and Results of Operations”</w:t>
      </w:r>
      <w:r>
        <w:rPr>
          <w:color w:val="000000"/>
        </w:rPr>
        <w:t xml:space="preserve"> </w:t>
      </w:r>
      <w:r>
        <w:rPr>
          <w:rFonts w:ascii="Times New Roman;serif" w:hAnsi="Times New Roman;serif"/>
          <w:b w:val="false"/>
          <w:color w:val="000000"/>
          <w:sz w:val="18"/>
        </w:rPr>
        <w:t>but may be found in other locations as well. These statements are based upon management’s current expectations, assumptions and estimates and are not guarantees of timing, future results or performance. All forward-looking statements are subject to risks and uncertainties that may cause actual results to differ materially from those that we expected, including:</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our history of net losses and our ability to achieve or maintain profitability in an environment of increasing expenses;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the viability of our growth strategy and our ability to realize expected results;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our ability to attract new members and to successfully enter into new markets;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the quality and pricing of our products and services;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our ability to maintain a high rating for our plans on the Five Star Quality Rating System;</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our ability to develop and maintain satisfactory relationships with care providers that service our members;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our ability to manage our growth effectively, execute our business plan, maintain high levels of service and member satisfaction or adequately address competitive challenges;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our ability to compete in the healthcare industry;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the impact on our business of cybersecurity breaches, loss of data or other disruptions causing the compromise of sensitive information or preventing us from accessing critical information;</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the impact on our business of disruptions in our disaster recovery systems or management continuity planning;</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our dependence on reimbursements by the Centers for Medicare and Medicaid Services ("CMS") and premium payments by individuals;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other risks associated with being a government contractor;</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the impact on our business of the healthcare services industry becoming more cyclical;</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our ability to manage acquisitions, divestitures and other significant transactions successfully;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our ability to maintain, enhance and protect our reputation and brand recognition;</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our ability to effectively invest in, implement improvements to and properly maintain the uninterrupted operation and data integrity of our information technology and other business systems;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our ability to obtain, maintain, protect and enforce intellectual property protection for our technology;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the impact of any restrictions on our use of or ability to license data or our failure to license data and integrate third-party technologies;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the cost and other potential adverse impacts of legal proceedings and litigation, including intellectual property and privacy disputes;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our dependence on our senior management team and other key employees;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the concentration of our health plans in a limited number of U.S. states;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our ability to generate sufficient cash flow to service all of our indebtedness and the potential impact of certain affirmative and negative covenants in our credit agreement on our business;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the impact of shortages of qualified personnel and related increases in our labor costs;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the risk that our records may contain inaccurate or unsupportable information regarding risk adjustment scores of members;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our ability to accurately estimate incurred but not reported medical expenses;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the impact of negative publicity regarding the managed healthcare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the impact of weather and other factors beyond our control on our clinics, the centers out of which our external providers operate, and the facilities that host our AVA platform (as defined below);</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the impact on our business of renegotiation, non-renewal or termination of risk agreements with hospitals, physicians, nurses, pharmacists and medical support staff;</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risks associated with estimating the amount of liabilities that we recognize under our risk agreements with providers;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 xml:space="preserve">our ability to respond to general economic conditions, including but not limited to, increased inflation and higher interest rates; </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risks associated with an economic downturn, including pressure on governmental budgets and reduced spending for health and human service programs;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our ability to develop and maintain proper and effective internal control over financial reporting;</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the impact of state and federal efforts to reduce Medicare spending;</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our ability to comply with applicable federal, state and local rules and regulations, including those relating to data privacy and security; and</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18"/>
        </w:rPr>
        <w:t>other factors disclosed in the section entitled “Risk Factors” and elsewhere in this Annual Report.</w:t>
      </w:r>
    </w:p>
    <w:p>
      <w:pPr>
        <w:pStyle w:val="TextBody"/>
        <w:bidi w:val="0"/>
        <w:spacing w:lineRule="auto" w:line="288" w:before="200" w:after="283"/>
        <w:jc w:val="left"/>
        <w:rPr/>
      </w:pPr>
      <w:r>
        <w:rPr>
          <w:rFonts w:ascii="Times New Roman;serif" w:hAnsi="Times New Roman;serif"/>
          <w:b w:val="false"/>
          <w:color w:val="000000"/>
          <w:sz w:val="18"/>
        </w:rPr>
        <w:t xml:space="preserve">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the sections entitled </w:t>
      </w:r>
      <w:r>
        <w:rPr>
          <w:color w:val="000000"/>
        </w:rPr>
        <w:t>“</w:t>
      </w:r>
      <w:r>
        <w:rPr>
          <w:rFonts w:ascii="Times New Roman;serif" w:hAnsi="Times New Roman;serif"/>
          <w:b w:val="false"/>
          <w:i/>
          <w:color w:val="000000"/>
          <w:sz w:val="18"/>
        </w:rPr>
        <w:t>Risk Factors”</w:t>
      </w:r>
      <w:r>
        <w:rPr>
          <w:color w:val="000000"/>
        </w:rPr>
        <w:t xml:space="preserve"> </w:t>
      </w:r>
      <w:r>
        <w:rPr>
          <w:rFonts w:ascii="Times New Roman;serif" w:hAnsi="Times New Roman;serif"/>
          <w:b w:val="false"/>
          <w:color w:val="000000"/>
          <w:sz w:val="18"/>
        </w:rPr>
        <w:t xml:space="preserve">and </w:t>
      </w:r>
      <w:r>
        <w:rPr>
          <w:color w:val="000000"/>
        </w:rPr>
        <w:t>“</w:t>
      </w:r>
      <w:r>
        <w:rPr>
          <w:rFonts w:ascii="Times New Roman;serif" w:hAnsi="Times New Roman;serif"/>
          <w:b w:val="false"/>
          <w:i/>
          <w:color w:val="000000"/>
          <w:sz w:val="18"/>
        </w:rPr>
        <w:t>Management’s Discussion and Analysis of Financial Condition and Results of Operations”</w:t>
      </w:r>
      <w:r>
        <w:rPr>
          <w:color w:val="000000"/>
        </w:rPr>
        <w:t xml:space="preserve"> </w:t>
      </w:r>
      <w:r>
        <w:rPr>
          <w:rFonts w:ascii="Times New Roman;serif" w:hAnsi="Times New Roman;serif"/>
          <w:b w:val="false"/>
          <w:color w:val="000000"/>
          <w:sz w:val="18"/>
        </w:rPr>
        <w:t>in this Annual Report.</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All written and oral forward-looking statements attributable to us, or persons acting on our behalf, are expressly qualified in their entirety by these cautionary statements as well as other cautionary statements that are made from time to time in our other SEC filings and public communications. You should evaluate all forward-looking statements made in this Annual Report in the context of these risks and uncertainties.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Annual Report are made only as of the date hereof. We undertake no obligation to update or revise any forward-looking statement as a result of new information, future events or otherwise, except as otherwise required by law.</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MARKET AND INDUSTRY DATA</w:t>
      </w:r>
    </w:p>
    <w:p>
      <w:pPr>
        <w:pStyle w:val="TextBody"/>
        <w:bidi w:val="0"/>
        <w:spacing w:lineRule="auto" w:line="288" w:before="200" w:after="283"/>
        <w:jc w:val="left"/>
        <w:rPr/>
      </w:pPr>
      <w:r>
        <w:rPr>
          <w:rFonts w:ascii="Times New Roman;serif" w:hAnsi="Times New Roman;serif"/>
          <w:b w:val="false"/>
          <w:color w:val="000000"/>
          <w:sz w:val="18"/>
        </w:rPr>
        <w:t xml:space="preserve">Unless otherwise indicated, information in this Annual Report concerning economic conditions, our industry, our markets and our competitive position is based on a variety of sources, including information from independent industry analysts and publications, as well as our own estimates and research. This information involves a number of assumptions and limitations, and you are cautioned not to give undue weight to such estimates. While we believe the information presented in this Annual Report is generally reliable, forecasts, assumptions, expectations, beliefs, estimates and projects involve risk and uncertainties and are subject to change based on various factors, including those described under </w:t>
      </w:r>
      <w:r>
        <w:rPr>
          <w:color w:val="000000"/>
        </w:rPr>
        <w:t>“</w:t>
      </w:r>
      <w:r>
        <w:rPr>
          <w:rFonts w:ascii="Times New Roman;serif" w:hAnsi="Times New Roman;serif"/>
          <w:b w:val="false"/>
          <w:i/>
          <w:color w:val="000000"/>
          <w:sz w:val="18"/>
        </w:rPr>
        <w:t xml:space="preserve">Forward-Looking Statements” </w:t>
      </w:r>
      <w:r>
        <w:rPr>
          <w:rFonts w:ascii="Times New Roman;serif" w:hAnsi="Times New Roman;serif"/>
          <w:b w:val="false"/>
          <w:color w:val="000000"/>
          <w:sz w:val="18"/>
        </w:rPr>
        <w:t xml:space="preserve">and </w:t>
      </w:r>
      <w:r>
        <w:rPr>
          <w:color w:val="000000"/>
        </w:rPr>
        <w:t>“</w:t>
      </w:r>
      <w:r>
        <w:rPr>
          <w:rFonts w:ascii="Times New Roman;serif" w:hAnsi="Times New Roman;serif"/>
          <w:b w:val="false"/>
          <w:i/>
          <w:color w:val="000000"/>
          <w:sz w:val="18"/>
        </w:rPr>
        <w:t>Risk Factors.”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Throughout this Annual Report, all references to the “Five-Star Rating System” or “Star rating” are to a measure used by the CMS to rate the performance of Medicare Advantage and Part D plans. Although subject to change, Medicare Advantage Plans are currently rated on how well they perform in five different categories: (1) staying healthy: screenings, tests, and vaccines, (2) managing chronic (long-term) conditions, (3) member experience with health plan, (4) member complaints and changes in the health plan’s performance, and (5) health plan customer service. Similarly, Part D plans are currently rated on how well they perform in four different categories: (1) drug plan customer service, (2) member complaints and changes in the drug plan’s performance, (3) member experience with the drug plan, and (4) drug safety and accuracy of drug pricing. Ratings range from one to five stars, with five being the highest and one being the lowest. Plans are rated in each individual measure within the categories noted above and also at the category level. Medicare also assigns Medicare Advantage plans one summary star rating to summarize the plan’s performance on the Medicare Advantage measures, and assigns Part D plans a similar summary star rating. Medicare Advantage-Part D combined plans are also given an overall rating, which combines performance all measures. All ratings are reported at the contract level.</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BASIS OF PRESENTATION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Unless the context otherwise requires, the terms “Alignment,” the “Company,” “our company,” “we,” “us” and “our” in this annual report refer to Alignment Healthcare, Inc., its consolidated subsidiaries and its affiliated medical groups. We are a holding company and our sole asset is the capital stock of our wholly owned subsidiaries, including Alignment Healthcare USA,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Item 1. Business.</w:t>
      </w: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Our Mission: Improve Healthcare, One Senior at a Time</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Alignment Healthcare was founded in 2013 with one mission: improve healthcare, one senior at a time. We pursue this mission by focusing on our core values:</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18"/>
        </w:rPr>
        <w:t>always put the senior first;</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18"/>
        </w:rPr>
        <w:t>support the doctor;</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18"/>
        </w:rPr>
        <w:t>use data and technology to revolutionize care; and</w:t>
      </w:r>
    </w:p>
    <w:p>
      <w:pPr>
        <w:pStyle w:val="TextBody"/>
        <w:bidi w:val="0"/>
        <w:spacing w:lineRule="auto" w:line="288" w:before="200" w:after="200"/>
        <w:ind w:left="0" w:right="0" w:hanging="360"/>
        <w:jc w:val="left"/>
        <w:rPr/>
      </w:pPr>
      <w:r>
        <w:rPr>
          <w:color w:val="000000"/>
        </w:rPr>
        <w:t>•</w:t>
      </w:r>
      <w:r>
        <w:rPr>
          <w:rFonts w:ascii="Times New Roman;serif" w:hAnsi="Times New Roman;serif"/>
          <w:b w:val="false"/>
          <w:color w:val="000000"/>
          <w:sz w:val="18"/>
        </w:rPr>
        <w:t>act with a serving heart.</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created Alignment after our own families faced frustrating experiences within the fragmented healthcare system. Without an advocate to create an integrated, high quality healthcare experience for them, our loved ones were left to navigate a care delivery and insurance landscape fraught with confusion and complexity. Seniors across the country are systemically and disproportionately impacted by the lack of care coordination, transparency and clear information. Furthermore, they are disadvantaged by misaligned incentives that dominate today’s healthcare system. As one of our most vulnerable populations, seniors across America need and deserve better. We put our combined decades of healthcare experience to work to create the Alignment model, incorporating best practices learned over our years serving seniors. Through the combination of this experienced, mission-driven team with purpose-built technology, we have found a way to address the unmet health and wellness needs of seniors. We aim to bring this senior-first healthcare experience to millions in the United States, become the most trusted senior healthcare brand in the country, and ultimately “do well by doing good.” </w:t>
      </w: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Business Overview</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Alignment is a next generation, consumer-centric and clinically focused platform designed to improve the healthcare experience for seniors enrolled in Medicare who choose a private Medicare Advantage plan. Our goal is to provide seniors with easier access to care, better coordination among providers, fewer gaps in care and avoidable hospital visits, and support that meets them where they are—at home, online, or in their community. We deliver this experience through our wide variety of Medicare Advantage plans, which offer varied benefits tailored to the diverse needs, preferences, and lifestyles of seniors. We believe our plans are differentiated because of our unique ability to manage costs by delivering proactive care and manage chronic conditions through an integrated clinical and technology model.</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Our licensed Medicare Advantage plans contract directly with the Centers for Medicare &amp; Medicaid Services. In exchange for a capitated, fixed monthly payment for each enrolled member (i.e., revenue per member per month or “PMPM”) , we take responsibility for coordinating and managing our members’ healthcare—both their health outcomes and the total costs of their care. The PMPM payment varies based on the geography where members live, the health needs and risks of the population we serve, and the quality performance of our plans based on CMS Star Ratings.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Most members enroll with Alignment for a one-year period that can be renewed annually. Because a large majority of our members choose to stay with Alignment after their initial selection year, this model provides meaningful visibility into our short-term financial performance and supports long-term stability and growth.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have grown Health Plan Membership, which we define as members enrolled in our health maintenance organization ("HMO") and preferred provider organization ("PPO") contracts (the "Alignment Health Plan"), from approximately 13,000 at inception to 236,300 as of December 31, 2025, representing a 30% compound annual growth rate.</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For the 2025 plan year, Alignment offered Medicare Advantage plans in 45 markets across California (22 markets), North Carolina (16 markets), Nevada (2 markets), Arizona (3 markets) and Texas (2 markets). These markets collectively include approximately 8.4 million Medicare-eligible seniors.</w:t>
      </w: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How the Medicare Advantage Model Works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Under Medicare Advantage’s capitated PMPM value-based payment model, we are responsible for delivering and coordinating all covered healthcare services for our members. This obligation includes hospital and physician care under Medicare Parts A and B, prescription drugs under Medicare Part D (with a separate PMPM payment from CMS), the supplemental benefits, such as dental and vision, we offer under certain of our plans, and related administration costs and services.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Unlike the original Medicare program administered by CMS, which we refer to herein as “Traditional Medicare,” which typically pays providers separately for each service delivered (i.e., “fee-for-service”), the Medicare Advantage program rewards value rather than volume. By taking responsibility for the overall cost and quality of care for our members, plans like Alignment are incentivized to focus on prevention, care coordination and timely intervention. We meet this challenge by providing proactive, cross-disciplinary 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targeted at reducing avoidable emergency room visits, managing and promoting access to high-value prescription drugs and supporting care transitions after hospital stays, all of which can reduce the need for more expensive institutional treatments and services.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Medicare Advantage regulatory framework is designed to reward plans that achieve the triple aim of high-quality care, low costs and better experience. CMS payments to Medicare Advantage plans are allocated in each county or region based on a bidding system. Each year, Medicare Advantage plans submit bids based on estimated costs per enrollee for services covered under Medicare Parts A and B. CMS compares those bids to local, county-level benchmarks that reflect what it would cost Traditional Medicare to cover the same population. Plans that have a lower cost structure and are able to deliver care more efficiently generate savings, a portion of which is returned to the plan in the form of rebates with the remainder accruing to CMS and the federal government.</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These savings allow high-performing plans to offer enhanced supplemental benefits—such as lower cost sharing, $0 premium Part D coverage, and additional supplemental services—at no additional cost to the senior.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CMS also evaluates Medicare Advantage plans through a Five Star Quality Rating System, which measures clinical outcomes, patient experience, and operational performance. Medicare Advantage plans with higher Star Ratings receive additional economic incentives and payments. In practice, this means that only plans that consistently deliver better care and better member experience at lower cost can sustainably offer richer benefits and grow membership on a long-term basis.</w:t>
      </w: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Our Differentiated Model: Approach Medicare Advantage as a Care Management Business and Lower Costs by Delivering More Care</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approach Medicare Advantage as a care management business. Unlike traditional health insurers, which rely heavily on actuarially underwriting and administrative and medical management tools like prior authorization, our model and core competencies emphasize clinical excellence, data-driven and evidence-based decision making and active care management. This approach is designed to reduce friction for seniors and providers, improve the quality of our member experience and improve health outcomes for our members, particularly for those with multiple chronic conditions.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have invested heavily in care delivery for our members, with more than 450 full-time clinical employees comprising approximately 25% of our full-time workforce. By insourcing certain components of care delivery, identifying health issues earlier, supporting members between doctor visits and intervening quickly when health risks arise, we aim to reduce hospitalizations, shorten lengths of stay and improve post-discharge follow up—lowering costs across the enterprise while improving quality of care. In short, we focus on providing more care, not less, to our chronic and high-risk members to achieve superior results.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Our care model is built around a scalable, capital-efficient, hybrid approach that combines virtual care with in-home services. Through multichannel communications, we engage our members in ways that are most convenient and effective for them. Because this hybrid approach does not rely on capital-intensive brick-and-mortar operations, it minimizes start-up costs and enables us to efficiently manage care across both dense urban markets and lower population density geographies.</w:t>
      </w: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Aligning Incentives Across the Healthcare Ecosystem</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In acting as both the payor and active care manager, we believe that Alignment is uniquely positioned to align incentives across stakeholders and the healthcare ecosystem. This includes: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18"/>
          <w:u w:val="single"/>
        </w:rPr>
        <w:t>Members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 xml:space="preserve">We support better health through proactive chronic care management and targeted clinical intervention, delivered by our in-home clinical teams, a key feature of our model which we refer to as </w:t>
      </w:r>
      <w:r>
        <w:rPr>
          <w:rFonts w:ascii="Times New Roman;serif" w:hAnsi="Times New Roman;serif"/>
          <w:b w:val="false"/>
          <w:i/>
          <w:color w:val="000000"/>
          <w:sz w:val="18"/>
        </w:rPr>
        <w:t>Care Anywhere</w:t>
      </w:r>
      <w:r>
        <w:rPr>
          <w:rFonts w:ascii="Times New Roman;serif" w:hAnsi="Times New Roman;serif"/>
          <w:b w:val="false"/>
          <w:color w:val="000000"/>
          <w:sz w:val="18"/>
        </w:rPr>
        <w:t>. We enrich the quality of life of our seniors by offering supplemental benefits such as gym access and fitness programs, caregiver services and support and non-emergency transportation. And we create a premium member experience through our 24/7 concierge member services.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18"/>
          <w:u w:val="single"/>
        </w:rPr>
        <w:t>Providers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We work to empower—not compete with—community physicians by supplementing their care with additional clinical resources at no cost to the provider. When improved outcomes lead to lower costs, we share in the upside through surplus gainsharing arrangements with providers. And we align incentives while helping providers grow and retain patient panels through our strong product offerings and high CMS Star Ratings.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18"/>
          <w:u w:val="single"/>
        </w:rPr>
        <w:t>Brokers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We believe our investments in member experience and clinical outcomes create satisfied seniors, reducing friction during annual enrollment and renewal process. Stable benefit designs and consistently strong Star Ratings enable brokers to grow confidently with our products. And the high and consistent Star Ratings of our plans support brokers’ sales efforts to new members.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18"/>
          <w:u w:val="single"/>
        </w:rPr>
        <w:t>CMS</w:t>
      </w:r>
      <w:r>
        <w:rPr>
          <w:rFonts w:ascii="Times New Roman;serif" w:hAnsi="Times New Roman;serif"/>
          <w:b w:val="false"/>
          <w:color w:val="000000"/>
          <w:sz w:val="18"/>
        </w:rPr>
        <w:t>: By emphasizing prevention, care coordination, and timely intervention, we help reduce costly downstream hospital visits and utilization and overall health care spending. We aim to advance CMS’s goals of better care for individuals, better health for populations, and lower system-wide costs and reduced costs for taxpayers.</w:t>
      </w: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Our Clinical Model: Proactively Managing Member Care to Improve Outcomes and Reduce Cost</w:t>
      </w:r>
    </w:p>
    <w:p>
      <w:pPr>
        <w:pStyle w:val="TextBody"/>
        <w:bidi w:val="0"/>
        <w:spacing w:lineRule="auto" w:line="288" w:before="0" w:after="200"/>
        <w:jc w:val="left"/>
        <w:rPr>
          <w:rFonts w:ascii="Times New Roman;serif" w:hAnsi="Times New Roman;serif"/>
          <w:b w:val="false"/>
          <w:i/>
          <w:color w:val="000000"/>
          <w:sz w:val="18"/>
        </w:rPr>
      </w:pPr>
      <w:r>
        <w:rPr>
          <w:rFonts w:ascii="Times New Roman;serif" w:hAnsi="Times New Roman;serif"/>
          <w:b w:val="false"/>
          <w:i/>
          <w:color w:val="000000"/>
          <w:sz w:val="18"/>
        </w:rPr>
        <w:t>We engage regularly with members as part of their daily lives and proactively manage their chronic conditions to improve outcomes and reduce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Our clinical model is designed specifically for seniors and managed across multiple disciplines (medical, social, psychological, pharmaceutical and functional) and sites of care (home, inpatient, outpatient, virtual and others). Our internal care teams and external providers use AVA, our proprietary technology platform, to coordinate high-quality care for members and manage the complexity of the healthcare system. Given the prevalence of comorbidities within our chronically ill members, coordination across a multi-disciplinary care team is vital to providing a medical and behavioral care plan that drives improved outcomes.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Our care delivery model creates a highly personalized experience that is unique to each member. Using insights from AVA, we organize members into four categories to provide optimized care: healthy, healthy utilizer, pre-chronic and chronic. The data below represents a sample of our population stratification from 2025.</w:t>
      </w:r>
    </w:p>
    <w:p>
      <w:pPr>
        <w:pStyle w:val="TextBody"/>
        <w:bidi w:val="0"/>
        <w:spacing w:lineRule="auto" w:line="288" w:before="0" w:after="200"/>
        <w:jc w:val="left"/>
        <w:rPr/>
      </w:pPr>
      <w:r>
        <w:rPr>
          <w:rFonts w:ascii="Times New Roman;serif" w:hAnsi="Times New Roman;serif"/>
          <w:b/>
          <w:color w:val="000000"/>
          <w:sz w:val="18"/>
          <w:u w:val="single"/>
        </w:rPr>
        <w:t>Healthy</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The typical member in the “healthy” category requires low levels of medical care. Healthy members comprise approximately 74% of our membership base but account for only 5% of the institutional claims submitted.</w:t>
      </w:r>
    </w:p>
    <w:p>
      <w:pPr>
        <w:pStyle w:val="TextBody"/>
        <w:bidi w:val="0"/>
        <w:spacing w:lineRule="auto" w:line="288" w:before="0" w:after="200"/>
        <w:jc w:val="left"/>
        <w:rPr/>
      </w:pPr>
      <w:r>
        <w:rPr>
          <w:rFonts w:ascii="Times New Roman;serif" w:hAnsi="Times New Roman;serif"/>
          <w:b/>
          <w:color w:val="000000"/>
          <w:sz w:val="18"/>
          <w:u w:val="single"/>
        </w:rPr>
        <w:t>Healthy Utilizer</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The typical member in the “healthy utilizer” category is an otherwise healthy senior who has had isolated or unexpected health challenges requiring significant medical care. Healthy utilizers comprise approximately 6% of our membership base and account for 16% of the institutional claims submitted.</w:t>
      </w:r>
    </w:p>
    <w:p>
      <w:pPr>
        <w:pStyle w:val="TextBody"/>
        <w:bidi w:val="0"/>
        <w:spacing w:lineRule="auto" w:line="288" w:before="0" w:after="200"/>
        <w:jc w:val="left"/>
        <w:rPr/>
      </w:pPr>
      <w:r>
        <w:rPr>
          <w:rFonts w:ascii="Times New Roman;serif" w:hAnsi="Times New Roman;serif"/>
          <w:b/>
          <w:color w:val="000000"/>
          <w:sz w:val="18"/>
          <w:u w:val="single"/>
        </w:rPr>
        <w:t>Pre-Chronic</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The typical member in the “pre-chronic category” is identified as high-risk by AVA but has yet to incur significant healthcare expenditures. We also refer to these members as on the “launching pad,” and by deploying our targeted care programs towards this population we work to prevent or slow their increasing acuity levels. Pre-chronic members comprise approximately 6% of our membership but account for only 1% of the institutional claims submitted. Our active approach to monitoring gaps in care and acting before emerging health problems worsen is reflective of the culture of care embedded in our organization, and our focus on being a persistent advocate for our members.</w:t>
      </w:r>
    </w:p>
    <w:p>
      <w:pPr>
        <w:pStyle w:val="TextBody"/>
        <w:bidi w:val="0"/>
        <w:spacing w:lineRule="auto" w:line="288" w:before="0" w:after="200"/>
        <w:jc w:val="left"/>
        <w:rPr/>
      </w:pPr>
      <w:r>
        <w:rPr>
          <w:rFonts w:ascii="Times New Roman;serif" w:hAnsi="Times New Roman;serif"/>
          <w:b/>
          <w:color w:val="000000"/>
          <w:sz w:val="18"/>
          <w:u w:val="single"/>
        </w:rPr>
        <w:t>Chronic</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The typical member in the “chronic” category is generally a complex patient with multiple chronic conditions in need of significant, coordinated care. Chronic members comprise 14% of our membership but account for 78% of the institutional claims submitted.</w:t>
      </w:r>
    </w:p>
    <w:p>
      <w:pPr>
        <w:pStyle w:val="TextBody"/>
        <w:bidi w:val="0"/>
        <w:spacing w:lineRule="auto" w:line="288" w:before="0" w:after="200"/>
        <w:jc w:val="left"/>
        <w:rPr>
          <w:rFonts w:ascii="Times New Roman;serif" w:hAnsi="Times New Roman;serif"/>
          <w:b/>
          <w:i/>
          <w:color w:val="000000"/>
          <w:sz w:val="18"/>
        </w:rPr>
      </w:pPr>
      <w:r>
        <w:rPr>
          <w:rFonts w:ascii="Times New Roman;serif" w:hAnsi="Times New Roman;serif"/>
          <w:b/>
          <w:i/>
          <w:color w:val="000000"/>
          <w:sz w:val="18"/>
        </w:rPr>
        <w:t>Care Anywhere: Proactive, Coordinated Care Delivers Results</w:t>
      </w:r>
    </w:p>
    <w:p>
      <w:pPr>
        <w:pStyle w:val="TextBody"/>
        <w:bidi w:val="0"/>
        <w:spacing w:lineRule="auto" w:line="288" w:before="0" w:after="200"/>
        <w:jc w:val="left"/>
        <w:rPr/>
      </w:pPr>
      <w:r>
        <w:rPr>
          <w:rFonts w:ascii="Times New Roman;serif" w:hAnsi="Times New Roman;serif"/>
          <w:b w:val="false"/>
          <w:color w:val="000000"/>
          <w:sz w:val="18"/>
        </w:rPr>
        <w:t xml:space="preserve">While the majority of healthy and healthy utilizer members’ care needs are managed by our network of local community providers in conjunction with our support and oversight, our pre-chronic and chronic members are in our </w:t>
      </w:r>
      <w:r>
        <w:rPr>
          <w:rFonts w:ascii="Times New Roman;serif" w:hAnsi="Times New Roman;serif"/>
          <w:b w:val="false"/>
          <w:i/>
          <w:color w:val="000000"/>
          <w:sz w:val="18"/>
        </w:rPr>
        <w:t>Care Anywhere</w:t>
      </w:r>
      <w:r>
        <w:rPr>
          <w:color w:val="000000"/>
        </w:rPr>
        <w:t xml:space="preserve"> </w:t>
      </w:r>
      <w:r>
        <w:rPr>
          <w:rFonts w:ascii="Times New Roman;serif" w:hAnsi="Times New Roman;serif"/>
          <w:b w:val="false"/>
          <w:color w:val="000000"/>
          <w:sz w:val="18"/>
        </w:rPr>
        <w:t xml:space="preserve">program. </w:t>
      </w:r>
      <w:r>
        <w:rPr>
          <w:rFonts w:ascii="Times New Roman;serif" w:hAnsi="Times New Roman;serif"/>
          <w:b w:val="false"/>
          <w:i/>
          <w:color w:val="000000"/>
          <w:sz w:val="18"/>
        </w:rPr>
        <w:t>Care Anywhere</w:t>
      </w:r>
      <w:r>
        <w:rPr>
          <w:color w:val="000000"/>
        </w:rPr>
        <w:t xml:space="preserve"> </w:t>
      </w:r>
      <w:r>
        <w:rPr>
          <w:rFonts w:ascii="Times New Roman;serif" w:hAnsi="Times New Roman;serif"/>
          <w:b w:val="false"/>
          <w:color w:val="000000"/>
          <w:sz w:val="18"/>
        </w:rPr>
        <w:t>is an advanced clinician-driven model of care that is staffed by Alignment-employed physicians, advanced practice clinicians, case managers, social workers and behavioral health coaches to assure execution of cross-functional care plans. Unlike many managed care plans, we have built these services in-house to provide valuable, high-quality care to members for free, which complement the care provided by our provider partners for their most challenging and resource-intensive patients.</w:t>
      </w:r>
    </w:p>
    <w:p>
      <w:pPr>
        <w:pStyle w:val="TextBody"/>
        <w:bidi w:val="0"/>
        <w:spacing w:lineRule="auto" w:line="288" w:before="0" w:after="200"/>
        <w:jc w:val="left"/>
        <w:rPr/>
      </w:pPr>
      <w:r>
        <w:rPr>
          <w:rFonts w:ascii="Times New Roman;serif" w:hAnsi="Times New Roman;serif"/>
          <w:b w:val="false"/>
          <w:color w:val="000000"/>
          <w:sz w:val="18"/>
        </w:rPr>
        <w:t xml:space="preserve">Key features of the </w:t>
      </w:r>
      <w:r>
        <w:rPr>
          <w:rFonts w:ascii="Times New Roman;serif" w:hAnsi="Times New Roman;serif"/>
          <w:b w:val="false"/>
          <w:i/>
          <w:color w:val="000000"/>
          <w:sz w:val="18"/>
        </w:rPr>
        <w:t>Care Anywhere</w:t>
      </w:r>
      <w:r>
        <w:rPr>
          <w:color w:val="000000"/>
        </w:rPr>
        <w:t xml:space="preserve"> </w:t>
      </w:r>
      <w:r>
        <w:rPr>
          <w:rFonts w:ascii="Times New Roman;serif" w:hAnsi="Times New Roman;serif"/>
          <w:b w:val="false"/>
          <w:color w:val="000000"/>
          <w:sz w:val="18"/>
        </w:rPr>
        <w:t xml:space="preserve">program include proactive outreach; 24/7 access; highly detailed personalized care plans; and enhanced coordination of care and social needs. Standardized care programs are targeted to seniors based on their underlying conditions, such as chronic heart failure or chronic obstructive pulmonary disorder, which are then personally tailored based on each individual’s underlying circumstances. We proactively engage with this high-risk group of seniors based on their preferences for care delivery, which is typically in their homes or through telephonic and video consultations. </w:t>
      </w:r>
    </w:p>
    <w:p>
      <w:pPr>
        <w:pStyle w:val="TextBody"/>
        <w:bidi w:val="0"/>
        <w:spacing w:lineRule="auto" w:line="288" w:before="0" w:after="200"/>
        <w:jc w:val="left"/>
        <w:rPr/>
      </w:pPr>
      <w:r>
        <w:rPr>
          <w:rFonts w:ascii="Times New Roman;serif" w:hAnsi="Times New Roman;serif"/>
          <w:b w:val="false"/>
          <w:color w:val="000000"/>
          <w:sz w:val="18"/>
        </w:rPr>
        <w:t xml:space="preserve">We believe, based on data gathered and analyzed using AVA, that our </w:t>
      </w:r>
      <w:r>
        <w:rPr>
          <w:rFonts w:ascii="Times New Roman;serif" w:hAnsi="Times New Roman;serif"/>
          <w:b w:val="false"/>
          <w:i/>
          <w:color w:val="000000"/>
          <w:sz w:val="18"/>
        </w:rPr>
        <w:t>Care Anywhere</w:t>
      </w:r>
      <w:r>
        <w:rPr>
          <w:color w:val="000000"/>
        </w:rPr>
        <w:t xml:space="preserve"> </w:t>
      </w:r>
      <w:r>
        <w:rPr>
          <w:rFonts w:ascii="Times New Roman;serif" w:hAnsi="Times New Roman;serif"/>
          <w:b w:val="false"/>
          <w:color w:val="000000"/>
          <w:sz w:val="18"/>
        </w:rPr>
        <w:t>program creates several benefits for our high-risk, complex members: improved quality of life, high patient satisfaction, reductions in unnecessary emergency room visits and inpatient care, and lower re-admission rates. This also allows us to establish a more direct relationship with seniors, building member loyalty and brand recognition.</w:t>
      </w: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Alignment’s Virtuous Cycle Aims to Enable Strong Membership Growth while Expanding Margins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model is based on a flywheel concept, referred to as our “virtuous cycle”. This cycle is a reflection of our differentiated model designed to manage care to reduce healthcare expenditures to lower costs. These cost savings are then reinvested back into our product benefits for our seniors to drive above-industry-average membership growth while managing our margin objectives. We believe this is a distinct and sustainable competitive advantage.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To execute upon this concept, we ingest medical and demographic data through our proprietary technology platform, which we refer to as AVA. AVA’s predictive algorithms provide unique insights into each member and identify those most at risk of an acute event. Our information-enabled care model is then combined with clinical engagement by our employed clinical teams known as Care Anywhere to improve healthcare outcomes for our members. For example, our high-touch clinical model proactively manages chronic conditions and assists with post-discharge care navigation to reduce unnecessary hospital admissions and readmissions, which in turn improves health outcomes and quality while lowering overall costs. We then reinvest medical cost savings into richer coverage and benefits, which propels growth in revenue and membership while maintaining margin discipline. The strength of our model is further reinforced by delivering a premium member experience. Our concierge and a clinical service hotline is available 24/7 at no additional cost to our members and our state-of-the-art in-house call centers provide us with more consistency and control over member-facing functions.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Our virtuous cycle, based on the principle of doing well by doing good, is highly repeatable and a core tenet of our ability to continue to expand in existing and new markets in the future. The five-year compounded growth rate through December 31, 2025 of our revenue and Health Plan Membership is 36% and 29%, respectively.</w:t>
      </w:r>
    </w:p>
    <w:p>
      <w:pPr>
        <w:pStyle w:val="TextBody"/>
        <w:bidi w:val="0"/>
        <w:spacing w:lineRule="auto" w:line="288" w:before="0" w:after="200"/>
        <w:jc w:val="left"/>
        <w:rPr/>
      </w:pPr>
      <w:r>
        <w:rPr>
          <w:rFonts w:ascii="Times New Roman;serif" w:hAnsi="Times New Roman;serif"/>
          <w:b/>
          <w:color w:val="000000"/>
          <w:sz w:val="18"/>
        </w:rPr>
        <w:t>Our Technology: AVA</w:t>
      </w:r>
      <w:r>
        <w:rPr>
          <w:rFonts w:ascii="Times New Roman;serif" w:hAnsi="Times New Roman;serif"/>
          <w:b/>
          <w:color w:val="000000"/>
          <w:sz w:val="12"/>
        </w:rPr>
        <w:t>®</w:t>
      </w:r>
      <w:r>
        <w:rPr>
          <w:color w:val="000000"/>
        </w:rPr>
        <w:t xml:space="preserve"> </w:t>
      </w:r>
      <w:r>
        <w:rPr>
          <w:rFonts w:ascii="Times New Roman;serif" w:hAnsi="Times New Roman;serif"/>
          <w:b/>
          <w:color w:val="000000"/>
          <w:sz w:val="18"/>
        </w:rPr>
        <w:t>Provides Timely and Actionable Insights</w:t>
      </w:r>
    </w:p>
    <w:p>
      <w:pPr>
        <w:pStyle w:val="TextBody"/>
        <w:bidi w:val="0"/>
        <w:spacing w:lineRule="auto" w:line="288" w:before="0" w:after="200"/>
        <w:jc w:val="left"/>
        <w:rPr>
          <w:rFonts w:ascii="Times New Roman;serif" w:hAnsi="Times New Roman;serif"/>
          <w:b w:val="false"/>
          <w:i/>
          <w:color w:val="000000"/>
          <w:sz w:val="18"/>
        </w:rPr>
      </w:pPr>
      <w:r>
        <w:rPr>
          <w:rFonts w:ascii="Times New Roman;serif" w:hAnsi="Times New Roman;serif"/>
          <w:b w:val="false"/>
          <w:i/>
          <w:color w:val="000000"/>
          <w:sz w:val="18"/>
        </w:rPr>
        <w:t>AVA empowers Alignment’s employees and provider partners with timely and actionable information to improve the health experience and outcomes of Alignment’s members.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position in the healthcare ecosystem as a Medicare Advantage plan affords us differentiated access to large amounts of member data. We applied our clinical and technical expertise to build AVA, a proprietary platform that forms the backbone of our care delivery efforts, whether done through provider partners or directly through our care teams. AVA is a highly sophisticated engine that ingests longitudinal data from more than 200 sources to provide an accurate assessment of each member and actionable information to care teams in real time. When triggered by relevant data, AVA delivers prescriptive insights that guide providers’ workflows to deliver personalized care to members. Examples of workflows include ordering a prescription, alerting a caregiver, transferring information from a lab to a doctor, and developing a treatment plan.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and our provider partners use this data every day to power care interventions that may be missed in traditional healthcare relationships. AVA improves the care outcomes and care experience of our members, while also providing everyone in their ecosystem — from doctors to nurses — real-time data and operational indicators to deliver the right care, to the right member at the right time.</w:t>
      </w:r>
    </w:p>
    <w:p>
      <w:pPr>
        <w:pStyle w:val="TextBody"/>
        <w:bidi w:val="0"/>
        <w:spacing w:lineRule="auto" w:line="288" w:before="0" w:after="200"/>
        <w:jc w:val="left"/>
        <w:rPr/>
      </w:pPr>
      <w:r>
        <w:rPr>
          <w:rFonts w:ascii="Times New Roman;serif" w:hAnsi="Times New Roman;serif"/>
          <w:b w:val="false"/>
          <w:color w:val="000000"/>
          <w:sz w:val="18"/>
        </w:rPr>
        <w:t>AVA incorporates high security controls around member data, and it is subject to regular vulnerability tests and strict authorization protocols. It also uses machine learning and artificial intelligence to help predict various scenarios such as</w:t>
      </w:r>
      <w:r>
        <w:rPr>
          <w:color w:val="000000"/>
        </w:rPr>
        <w:t xml:space="preserve"> </w:t>
      </w:r>
      <w:r>
        <w:rPr>
          <w:rFonts w:ascii="Times New Roman;serif" w:hAnsi="Times New Roman;serif"/>
          <w:b w:val="false"/>
          <w:color w:val="000000"/>
          <w:sz w:val="18"/>
        </w:rPr>
        <w:t xml:space="preserve">hospital admission and re-admission risk, member satisfaction, disenrollment risk and various disease propensity scores and how to best intervene. These models are based on hundreds of thousands of historical outcomes, which have shaped their predictions and accuracy, and are constantly updated with new data sets, enabling them to get smarter and more effective.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Additional details on AVA’s capabilities include: </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18"/>
          <w:u w:val="single"/>
        </w:rPr>
        <w:t>Consumer Experience</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 xml:space="preserve">AVA offers a digital ecosystem that enables our members and their support system to get the information and care they need, when and how they need it. With their AVA-powered member portal and mobile app, seniors have many self-service capabilities and can get 24/7 care, send secure messages to their concierge and care teams, check their rewards and ACCESS On-Demand Concierge Card balance, and view their health history, including medical claims history, pharmacy, and benefits data. </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18"/>
          <w:u w:val="single"/>
        </w:rPr>
        <w:t>Internal Care Delivery</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 xml:space="preserve">Our ability to efficiently and effectively deliver care via our internal care teams is critical to improving outcomes and managing costs. AVA is vital in our ability to identify and manage our highest risk, most complex members, and to ensure that every intervention opportunity is optimized by the most relevant and effective data available. </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18"/>
          <w:u w:val="single"/>
        </w:rPr>
        <w:t>External Providers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AVA transforms care delivery by shifting the paradigm from “silos of care” to physicians and payors working together as partners through technology-enablement. Medical group leaders, doctors and front-line administrative staff are provided comprehensive information to streamline and support the coordination of member care. AVA provider applications drive workflows and action lists to improve member outcomes at a lower cost and lower visit frequency. Providers are given access to AVA applications to track utilization, gaps in clinical care, and health risk assessments. This data is utilized to prioritize which members to see, and which members may benefit from various health engagement strategies.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18"/>
          <w:u w:val="single"/>
        </w:rPr>
        <w:t>Health Plan Operations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By leveraging a single source of accurate information, we foster improved cross-functional communication and execution across our key value drivers. With the support of AVA our operational leaders can make faster, data-driven decisions, which leads to improved outcomes and greater efficiencies as we grow our membership base.</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18"/>
          <w:u w:val="single"/>
        </w:rPr>
        <w:t>Growth Operations</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We are able to create greater brand differentiation in the market with our external brokers and our internal sales team by providing them best-in-class digital solutions such as the AVA Broker Portal and mobile app. These tools streamline application submission and management, client management, commission tracking, and a variety of self-service capabilities specifically for Medicare Advantage.</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When paired with our operational expertise, we believe AVA is integral to our ability to drive our operations and business outcomes consistently across markets. AVA provides us with the flexibility to adapt our operating models to meet the needs of local communities and providers, while achieving high-quality, low-cost care in each market. From driving workflows to enabling smarter interventions, we believe AVA is a significant competitive advantage that allows us to deliver information-enabled healthcare at scale.</w:t>
      </w: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Regulation</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operations and those of our affiliated entities are subject to extensive federal, state and local governmental laws and regulations. These laws and regulations require us to meet various standards relating to, among other things, reports to CMS, personnel qualifications, maintenance of proper records and quality assurance programs and patient care. The majority of our regulation and oversight comes from CMS, which regulates almost every aspect of our business, including our provider network, benefits, member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enrollment, risk adjustment program, plan offerings, claims payments, quality improvement programs, and appeals and grievances. We have entered into standard form agreements with CMS pursuant to Sections 1851 through 1859 and Sections 1860D-1 through 1860D-43 of the Social Security Act ("SSA"), pursuant to which we have agreed to operate our plans in accordance with applicable laws and regulations and CMS has agreed to make payments to us under the SSA. Each CMS contract has a one-year term expiring on December 31 of the applicable calendar year and is subject to annual one-year renewal terms. Under the contracts we are obligated to provide our members basic benefits and services covered by Part A and Part B of the original Medicare Program, any applicable supplemental benefits we elect to provide in our final benefit and price bid proposals approved by CMS, and prescription drugs. The CMS contracts further require us to develop our annual benefit and price bid proposals and submit to CMS all related information on premiums, benefits and cost sharing by no later than the first Monday in June prior to the commencement of the subsequent calendar year to which they apply, in accordance with the CMS regulations. Each CMS contract may be terminated by mutual consent or by CMS or by us for cause. We are required to accept new enrollments, make enrollments effective, process voluntary disenrollments and limit involuntary disenrollments in accordance with the CMS regulations. Generally, to enroll or remain enrolled in one of our Medicare Advantage plans, an individual must be a U.S. citizen or lawfully present in the United States, be entitled to Medicare under Part A and enrolled in Part B, reside in the service area covered by the plan, complete and sign the required election forms to enroll and agree to abide by the rules of the Medicare Advantage plan into which he or she is enrolled or intends to enroll. Such agreements also provide for member and provider protections and marketing requirements, as well as recordkeeping and reporting requirements, all with reference to applicable laws and regulations. If any of our operations or those of our affiliated professional medical corporations are found to violate applicable laws or regulations, or if we otherwise fail to adhere to our contracts with CMS, we could suffer severe consequences that would have a material adverse effect on our business, results of operations, financial condition, cash flows, reputation and stock price, including: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termination of one or more of our Medicare Advantage plans or contracts;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suspension of our marketing of and/or enrollment into our Medicare Advantage plans;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civil monetary penalties;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refunds of amounts received in violation of law or applicable Medicare Advantage requirements dating back to the applicable statute of limitation periods;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loss of our required government certifications;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loss of our licenses required to operate our clinics and in-house care delivery programs;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criminal or civil liability, fines, damages or monetary penalties for violations of healthcare fraud and abuse laws, including the Stark Law, the Anti-Kickback Statute, the FCA and the Civil Monetary Penalties Law and/or state analogs to these federal enforcement authorities, or other regulatory requirements;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enforcement actions by governmental agencies and/or state law claims for monetary damages by patients who believe their health information has been used, disclosed or not properly safeguarded in violation of federal or state patient privacy laws, including the Health Insurance Portability and Accountability Act of 1996, as amended by the Health Information Technology for Economic and Clinical Health Act of 2009 (the “HITECH Act”), and their implementing regulations (collectively known as “HIPAA”)</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mandated changes to our practices or procedures that significantly increase operating expenses or decrease our revenue;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imposition of and compliance with corporate integrity agreements that could subject us to ongoing audits and reporting requirements, as well as increased scrutiny of our business practices which could lead to potential fines, among other things;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termination of various relationships and/or contracts related to our business, including provider arrangements;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changes in and reinterpretation of rules and laws by a regulatory agency or court, such as state corporate practice of medicine laws, that could affect the structure and management of our business and our affiliated physician-owned professional medical groups;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negative adjustments to government payment models including, but not limited to, Parts A, B and D benefits;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harm to our reputation, which could negatively impact our business relationships, our ability to attract and retain patients and physicians, our ability to obtain financing and our access to new business opportunities, among other things.</w:t>
      </w:r>
    </w:p>
    <w:p>
      <w:pPr>
        <w:pStyle w:val="TextBody"/>
        <w:bidi w:val="0"/>
        <w:spacing w:lineRule="auto" w:line="288" w:before="0" w:after="200"/>
        <w:jc w:val="left"/>
        <w:rPr/>
      </w:pPr>
      <w:r>
        <w:rPr>
          <w:rFonts w:ascii="Times New Roman;serif" w:hAnsi="Times New Roman;serif"/>
          <w:b w:val="false"/>
          <w:color w:val="000000"/>
          <w:sz w:val="18"/>
        </w:rPr>
        <w:t>We expect that our industry will continue to be subject to substantial regulation, the scope and effect of which are difficult to predict. See “</w:t>
      </w:r>
      <w:r>
        <w:rPr>
          <w:rFonts w:ascii="Times New Roman;serif" w:hAnsi="Times New Roman;serif"/>
          <w:b w:val="false"/>
          <w:i/>
          <w:color w:val="000000"/>
          <w:sz w:val="18"/>
        </w:rPr>
        <w:t>Risk Factors—Risks Related to Regulation.</w:t>
      </w:r>
      <w:r>
        <w:rPr>
          <w:color w:val="000000"/>
        </w:rPr>
        <w:t>”</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In addition to the SSA, CMS regulations, and our contractual obligations, we must also comply with a variety of other laws:</w:t>
      </w:r>
    </w:p>
    <w:p>
      <w:pPr>
        <w:pStyle w:val="TextBody"/>
        <w:bidi w:val="0"/>
        <w:spacing w:lineRule="auto" w:line="288" w:before="0" w:after="200"/>
        <w:jc w:val="left"/>
        <w:rPr>
          <w:rFonts w:ascii="Times New Roman;serif" w:hAnsi="Times New Roman;serif"/>
          <w:b w:val="false"/>
          <w:i/>
          <w:color w:val="000000"/>
          <w:sz w:val="18"/>
        </w:rPr>
      </w:pPr>
      <w:r>
        <w:rPr>
          <w:rFonts w:ascii="Times New Roman;serif" w:hAnsi="Times New Roman;serif"/>
          <w:b w:val="false"/>
          <w:i/>
          <w:color w:val="000000"/>
          <w:sz w:val="18"/>
        </w:rPr>
        <w:t>HIPAA, HITECH Act and Other Laws, Rules and Regulations Related to Data Privacy; Security and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are subject to data privacy and protection and breach notification laws and regulations that apply to the collection, creation, receipt, maintenance, transmission, storage, use, disclosure and processing of protected health information (“PHI”), and other types of personal data or personally identifiable information (“PII”), which among other things, impose certain requirements relating to the privacy and security of such PHI and PII. The legislative and regulatory landscape for privacy and data protection continues to evolve, and there has been an increasing focus on privacy and data protection issues with the potential to affect our business. Failure to comply with any of these laws and regulations could result in enforcement action against us, including fines, public censure, claims for damages by affected individuals, damage to our reputation and loss of goodwill. Ongoing efforts to comply with evolving laws and regulations may be costly and require ongoing modifications to our policies, procedures and systems.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The use of individually identifiable health data by our business is regulated at federal and state levels. These laws and rules are changed frequently by legislation or administrative interpretation. Various state laws address the use and maintenance of individually identifiable health information. HIPAA includes administrative provisions directed at simplifying electronic data interchange through standardizing transactions, establishing uniform healthcare provider, payer, and employer identifiers, and establishing regulations aimed at protecting confidentiality and security of patient and member data. The rules preempt all inconsistent state laws unless the state law is more privacy-protective. These regulations, in addition to other state laws, set standards for the security of electronic health information, including requirements that insurers provide customers with notice regarding how their individually identifiable health information is used.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US Department of Health and Human Services, Office for Civil Rights ("OCR") announced on December 27, 2024, and published in the Federal Register on January 6, 2025, a Notice of Proposed Rulemaking proposing extensive modifications to the HIPAA security standards. OCR’s Spring 2025 Unified Regulatory Agenda lists the proposed rule at the “Final Rule Stage”, with final action scheduled for May 2026. If finalized, these modifications and could entail significant additional compliance obligations and costs for HIPAA-regulated covered entities and business associates.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HIPAA imposes mandatory penalties for certain violations. In 2026, penalties for violations of HIPAA and its implementing regulations started at $145 per violation and could not exceed approximately $73,011 per violation, subject to a cap of approximately $2.2 million for violations of the same standard in a single calendar year.] However, a single breach incident can result in violations of multiple standards.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HIPAA also authorizes state attorneys general to file suit on behalf of their residents for violations of HIPAA. While HIPAA does not create a private right of action allowing individuals to sue in civil court for violations of HIPAA, its standards have been used as the basis for duty of care in state civil suits such as those for negligence or recklessness in the misuse or breach of PHI.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 addition, the HITECH Act mandates that the Secretary of the Department of Health and Human Services (“HHS”) conduct periodic compliance audits of HIPAA-regulated covered entities and business associates for compliance with HIPAA’s privacy and security standards. It also tasks HHS with establishing a methodology whereby harmed individuals who were the victims of breaches of unsecured PHI may receive a percentage of any civil monetary penalty fine paid by the violator.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HIPAA further requires that members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individuals or more, it must be reported to HHS without unreasonable delay, and HHS will post the name of the breaching entity on its public website. Breaches affecting more than 500 individuals in the same state or jurisdiction must also be reported to the prominent media outlets serving the state or jurisdiction. If a breach involves fewer than 500 individuals, the covered entity must record it in a log and notify HHS at least annually.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also publish statements to our members and partners that describe how we handle and protect PHI. If federal or state regulatory authorities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Data privacy and security at the state level remains an evolving landscape. For example, California’s California Consumer Privacy Act of 2018 (“CCPA”), which came into effect on January 1, 2020, has since been amended by the California Privacy Rights Act (“CPRA”), which became effective on January 1, 2023 and began enforcement on July 1, 2023. The CCPA, as amended by the CPRA, expands on the existing rights provided to California residents and includes rights to know, delete and correct personal information; limit the use of sensitive personal information; and opt out of the sale of personal information or the sharing of personal information with third parties for purposes of cross-context behavioral advertising. There are also requirements for privacy risk and cybersecurity assessments, and contracting requirements for service providers, third parties, and contractors who receive and process personal information from the regulated “business.” The CPRA amendment created a state agency, the California Privacy Protection Agency (“CPPA”), to enforce and implement the law. This agency will be able to finance operations through penalties issued and, with the CPRA’s removal of the mandatory cure period from the CCPA, we will have less warning before compliance risk results in legal action. Additionally, the CCPA’s exemption for personal information of personnel (including employees, job applicants, officers, and directors) and business-to-business contacts expired. As a result, since January 1, 2023, personal information of California resident personnel and business contacts has been subject to the CCPA. This has created compliance obligations for our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CCPA contains exemptions for medical information governed by the California Confidentiality of Medical Information Act, and for PHI collected by a covered entity or business associate governed by the privacy, security, and breach notification rule established pursuant to HIPAA. This exempts much of the data we process with respect to patients and plan members.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CCPA prompted the passage of "copycat" legislation in a number of states. It also prompted passage of consumer privacy laws that protect consumer health data specifically, such as the Washington My Health My Data Act. These state laws generally exempt HIPAA regulated covered entities and business associates, PHI, and/or personal information collected in the context of employment and business-to-business relationships. However, this patchwork of state laws may add further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While the CCPA is an example of consumer privacy law, the NAIC’s Insurance Data Security Model Law (the “Model Law”) is a different type of law focused on securing insurance licensees’ information systems. Versions of this Model Law have been passed in many states and are expected to be passed in more states in the coming years. Similar to HIPAA, the Model Law requires the implementation of technical, administrative, and physical information security practices and procedures and includes reporting requirements for data breaches. These Model Laws are typically enforced by state insurance regulators. We are not currently subject to any of these laws that have been adopted to date.</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It is possible that applicable laws may be interpreted and applied in a manner that is inconsistent with our practices and our efforts to comply with the evolving data protection rules may be unsuccessful. We must devote significant resources to understanding and complying with this changing landscape. Failure to comply with laws regarding privacy and security of PHI and other PII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w:t>
      </w:r>
    </w:p>
    <w:p>
      <w:pPr>
        <w:pStyle w:val="TextBody"/>
        <w:bidi w:val="0"/>
        <w:spacing w:lineRule="auto" w:line="288" w:before="0" w:after="200"/>
        <w:jc w:val="left"/>
        <w:rPr/>
      </w:pPr>
      <w:r>
        <w:rPr>
          <w:rFonts w:ascii="Times New Roman;serif" w:hAnsi="Times New Roman;serif"/>
          <w:b w:val="false"/>
          <w:color w:val="000000"/>
          <w:sz w:val="18"/>
        </w:rPr>
        <w:t>As indicated above, there are numerous federal and state laws and regulations addressing patient and consumer privacy concerns, including notification requirements in the event of unauthorized access or theft of personal information. State statutes and regulations vary from state to state. Substantially all of our relevant member data is maintained on our technology platform, AVA, which aggregates and provides us with access to extensive member datasets, including individually identifiable PHI. Violations of HIPAA or applicable federal or state laws or regulations could subject us to significant criminal or civil penalties, including significant monetary penalties. Compliance with HIPAA and other privacy regulations requires significant and ongoing systems enhancements, training and administrative effort. See “</w:t>
      </w:r>
      <w:r>
        <w:rPr>
          <w:rFonts w:ascii="Times New Roman;serif" w:hAnsi="Times New Roman;serif"/>
          <w:b w:val="false"/>
          <w:i/>
          <w:color w:val="000000"/>
          <w:sz w:val="18"/>
        </w:rPr>
        <w:t>Risk Factors</w:t>
      </w:r>
      <w:r>
        <w:rPr>
          <w:color w:val="000000"/>
        </w:rPr>
        <w:t>—</w:t>
      </w:r>
      <w:r>
        <w:rPr>
          <w:rFonts w:ascii="Times New Roman;serif" w:hAnsi="Times New Roman;serif"/>
          <w:b w:val="false"/>
          <w:i/>
          <w:color w:val="000000"/>
          <w:sz w:val="18"/>
        </w:rPr>
        <w:t>Cybersecurity breaches, loss of data and other disruptions could compromise sensitive information related to our business or our members, or prevent us from accessing critical information and expose us to liability, which could adversely affect our business and our reputation</w:t>
      </w:r>
      <w:r>
        <w:rPr>
          <w:rFonts w:ascii="Times New Roman;serif" w:hAnsi="Times New Roman;serif"/>
          <w:b w:val="false"/>
          <w:color w:val="000000"/>
          <w:sz w:val="18"/>
        </w:rPr>
        <w:t>.”</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Our business and operations may also be subject to federal, state, and local consumer protection laws governing marketing communications, including the Telephone Consumer Protection Act (“TCPA”), which places restrictions on the use of automated tools and technologies to communicate with wireless telephone subscribers or communications services consumers generally and the CAN-SPAM Act, which regulates the transmission of marketing emails. In addition, certain of our businesses are also subject to the Payment Card Industry Data Security Standard (“PCI DSS”), which is a multifaceted industry security standard that is designed to protect credit and debit card account data as mandated by payment brands and acquiring banks.</w:t>
      </w:r>
    </w:p>
    <w:p>
      <w:pPr>
        <w:pStyle w:val="TextBody"/>
        <w:bidi w:val="0"/>
        <w:spacing w:lineRule="auto" w:line="288" w:before="0" w:after="200"/>
        <w:jc w:val="left"/>
        <w:rPr>
          <w:rFonts w:ascii="Times New Roman;serif" w:hAnsi="Times New Roman;serif"/>
          <w:b w:val="false"/>
          <w:i/>
          <w:color w:val="000000"/>
          <w:sz w:val="18"/>
        </w:rPr>
      </w:pPr>
      <w:r>
        <w:rPr>
          <w:rFonts w:ascii="Times New Roman;serif" w:hAnsi="Times New Roman;serif"/>
          <w:b w:val="false"/>
          <w:i/>
          <w:color w:val="000000"/>
          <w:sz w:val="18"/>
        </w:rPr>
        <w:t>The Health Care Reform Law and Other Current or Future Legislative, Judicial or Regulatory Changes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Patient Protection and Affordable Care Act and The Health Care and Education Reconciliation Act of 2010 (which we collectively refer to as the “Health Care Reform Law”) enacted significant reforms to various aspects of the U.S. health insurance industry. Certain significant provisions of the Health Care Reform Law include, among others, mandated coverage requirements, mandated benefits and guarantee issuance associated with commercial medical insurance, rebates to policyholders based on minimum benefit ratios, adjustments to Medicare Advantage premiums, the establishment of federally facilitated or state-based exchanges coupled with programs designed to spread risk among insurers, and the introduction of plan designs based on set actuarial values. Some of these changes impact us and other entities that offer Medicare Advantage plans. In addition, the Health Care Reform Law established insurance industry assessments, including the Comparative Effectiveness Research Fee to fund the Patient-Centered Outcomes Research Institute.</w:t>
      </w:r>
    </w:p>
    <w:p>
      <w:pPr>
        <w:pStyle w:val="TextBody"/>
        <w:bidi w:val="0"/>
        <w:spacing w:lineRule="auto" w:line="288" w:before="0" w:after="200"/>
        <w:jc w:val="left"/>
        <w:rPr>
          <w:rFonts w:ascii="Times New Roman;serif" w:hAnsi="Times New Roman;serif"/>
          <w:b w:val="false"/>
          <w:i/>
          <w:color w:val="000000"/>
          <w:sz w:val="18"/>
        </w:rPr>
      </w:pPr>
      <w:r>
        <w:rPr>
          <w:rFonts w:ascii="Times New Roman;serif" w:hAnsi="Times New Roman;serif"/>
          <w:b w:val="false"/>
          <w:i/>
          <w:color w:val="000000"/>
          <w:sz w:val="18"/>
        </w:rPr>
        <w:t>Corporate Practice of Medicine and Other Laws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As a corporate entity, we are not licensed to practice medicine. Many states in which we operate through our subsidiaries limit the practice of medicine to licensed individuals or professional organizations exclusively owned and comprised of licensed individuals, and business corporations generally may not exercise control over the medical decisions of licensed physicians or other licensed clinicians. Statutes, regulations and court decisions relating to the practice of medicine, fee-splitting between physicians and referral sources, and similar issues vary widely from state to state. In addition, various state laws also generally prohibit the sharing of professional services income with nonprofessional or business interests. The laws and regulations in these areas are complex, changing, and often subject to varying interpretations. The interpretation and enforcement of these laws vary significantly from state to state. Under business support agreements between certain of our subsidiaries and associated physician-owned professional groups, these groups retain sole responsibility for all medical decisions, as well as for hiring and managing physicians and other licensed healthcare providers, developing operating policies and procedures, implementing professional standards and controls, and maintaining malpractice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Recently, Oregon and California have passed laws codifying and strengthening their existing corporate practice of medicine prohibitions in ways which may require us to adjust contractual arrangements with our affiliated physician-owned professional groups, and we are aware of a number of other states considering similar legislation.</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our in-house and externally engaged physicians and the facilities in which they operate are subject to various federal, state and local licensing and certification laws and regulations and accreditation standards and other laws, relating to, among other things, the adequacy of medical care, equipment, privacy of member information, physician relationships, personnel and operating policies and procedures. Failure to comply with these licensing, certification and accreditation laws, regulations and standards could result in prior payments being subject to recoupment, requirements to make significant changes to our operations and can give rise to civil or, in extreme cases, criminal penalties. We routinely take the steps we believe are necessary to retain or obtain all requisite licensure and operating authorities.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 jurisdictions where the corporate practice of medicine is prohibited, we have historically operated by maintaining long-term business support services contracts with multiple associated professional medical entities that are wholly owned by physicians and, in turn, employ or contract with physicians to provide those professional medical services required by our members. Under these business support services agreements, our primary operating subsidiary performs only non-medical business support services, does not represent that it offers medical services and does not exercise influence or control over the practice of medicine by the physicians or the associated physician groups. In addition to the above business support services arrangements, we have certain contractual rights relating to the orderly transfer of equity interests in our associated physician practices through succession agreements and other arrangements with their physician equity holders. Such equity interests cannot, however, be transferred to or held by us or by any non-professional medical entity. Accordingly, neither we nor our direct subsidiaries directly own any equity interests in any of our associated physician practices. Further, the enforceability of such equity transfer restriction agreements has been called into question by state courts and regulators in New Jersey, New York, California, and Oregon. The invalidation of our transfer restriction agreements in such states may have a detrimental effect on our relationship with our affiliated physician-owned professional entities. </w:t>
      </w:r>
    </w:p>
    <w:p>
      <w:pPr>
        <w:pStyle w:val="TextBody"/>
        <w:bidi w:val="0"/>
        <w:spacing w:lineRule="auto" w:line="288" w:before="0" w:after="200"/>
        <w:jc w:val="left"/>
        <w:rPr>
          <w:rFonts w:ascii="Times New Roman;serif" w:hAnsi="Times New Roman;serif"/>
          <w:b w:val="false"/>
          <w:i/>
          <w:color w:val="000000"/>
          <w:sz w:val="18"/>
        </w:rPr>
      </w:pPr>
      <w:r>
        <w:rPr>
          <w:rFonts w:ascii="Times New Roman;serif" w:hAnsi="Times New Roman;serif"/>
          <w:b w:val="false"/>
          <w:i/>
          <w:color w:val="000000"/>
          <w:sz w:val="18"/>
        </w:rPr>
        <w:t>Anti-Kickback, Physician Self-Referral and Other Fraud and Abuse Laws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A federal law commonly referred to as the “Anti-Kickback Statute” prohibits the offer, payment, solicitation, or receipt of any form of remuneration to induce, or in return for, the referral of Medicare or other governmental health program patients or patient care opportunities, or in return for the purchase, lease or order of items or services that are covered by Medicare or other federal governmental health programs. Because the prohibitions contained in the Anti-Kickback Statute apply to the furnishing of items or services for which payment is made in “whole or in part,” the Anti-Kickback Statute could be implicated if any portion of an item or service we provide is covered by any of the state or federal health benefit programs described above. Violation of these provisions constitutes a felony criminal offense and applicable sanctions could include exclusion from the Medicare and Medicaid programs.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Section 1877 of the Social Security Act, commonly known as the “Stark Law,” prohibits physicians, subject to certain exceptions described below, from referring Medicare or Medicaid patients to an entity providing “designated health services” in which the physician, or an immediate family member, has an ownership or investment interest or with which the physician, or an immediate family member, has entered into a compensation arrangement. These prohibitions, contained in the Omnibus Budget Reconciliation Act of 1993, commonly known as “Stark II,” amended prior federal physician self-referral legislation known as “Stark I” by expanding the list of designated health services to a total of 11 categories. The professional groups with which we are contracted or affiliated provide one or more of these designated health services. Persons or entities found to be in violation of the Stark Law are subject to denial of payment for services furnished pursuant to an improper referral, civil monetary penalties, and exclusion from the Medicare and Medicaid programs.</w:t>
      </w:r>
    </w:p>
    <w:p>
      <w:pPr>
        <w:pStyle w:val="TextBody"/>
        <w:bidi w:val="0"/>
        <w:spacing w:lineRule="auto" w:line="288" w:before="0" w:after="200"/>
        <w:jc w:val="left"/>
        <w:rPr/>
      </w:pPr>
      <w:r>
        <w:rPr>
          <w:rFonts w:ascii="Times New Roman;serif" w:hAnsi="Times New Roman;serif"/>
          <w:b w:val="false"/>
          <w:color w:val="000000"/>
          <w:sz w:val="18"/>
        </w:rPr>
        <w:t xml:space="preserve">A federal law commonly referred to as the “False Claims Act” prohibits the submission of a false or fraudulent claim to the government for payment or approval. </w:t>
      </w:r>
      <w:r>
        <w:rPr>
          <w:rFonts w:ascii="Times New Roman;serif" w:hAnsi="Times New Roman;serif"/>
          <w:b w:val="false"/>
          <w:i/>
          <w:color w:val="000000"/>
          <w:sz w:val="18"/>
        </w:rPr>
        <w:t xml:space="preserve">Qui tam </w:t>
      </w:r>
      <w:r>
        <w:rPr>
          <w:rFonts w:ascii="Times New Roman;serif" w:hAnsi="Times New Roman;serif"/>
          <w:b w:val="false"/>
          <w:color w:val="000000"/>
          <w:sz w:val="18"/>
        </w:rPr>
        <w:t>relators and/or the government may take the position that we submit certain data or information that could form the basis of a claim for payment, thus subjecting us to allegations under the False Claims Act. In such events, we could be subject to treble damages and per-claim penalties.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Many states also have enacted laws similar in scope and purpose to the Anti-Kickback Statute and, in more limited instances, the Stark Law, that are not limited to services for which Medicare or Medicaid payment is made. In addition, most states have statutes, regulations, or professional codes that restrict a physician from accepting various kinds of remuneration in exchange for making referrals. These laws vary from state to state and have seldom been interpreted by the courts or regulatory agencies. In states that have enacted these statutes, we believe that regulatory authorities and state courts interpreting these statutes may regard federal law under the Anti-Kickback Statute and the Stark Law as persuasive.</w:t>
      </w:r>
    </w:p>
    <w:p>
      <w:pPr>
        <w:pStyle w:val="TextBody"/>
        <w:bidi w:val="0"/>
        <w:spacing w:lineRule="auto" w:line="288" w:before="0" w:after="200"/>
        <w:jc w:val="left"/>
        <w:rPr>
          <w:rFonts w:ascii="Times New Roman;serif" w:hAnsi="Times New Roman;serif"/>
          <w:b w:val="false"/>
          <w:i/>
          <w:color w:val="000000"/>
          <w:sz w:val="18"/>
        </w:rPr>
      </w:pPr>
      <w:r>
        <w:rPr>
          <w:rFonts w:ascii="Times New Roman;serif" w:hAnsi="Times New Roman;serif"/>
          <w:b w:val="false"/>
          <w:i/>
          <w:color w:val="000000"/>
          <w:sz w:val="18"/>
        </w:rPr>
        <w:t>State Regulation of Insurance-Related Products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Laws in each of the states in which we operate our business license and regulate entities that offer health plans to residents of that state. The products we offer are sold under licenses issued by the applicable insurance regulators. However, for entities offering Medicare Advantage plans, federal law preempts all state laws and regulations except those relating to licensing and financial solvency.</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Certain of our licensed insurance subsidiaries are also subject to regulation under state insurance holding company regulations. These regulations generally require, among other things, prior approval and/or notice of new products, rates, benefit changes, and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left"/>
        <w:rPr/>
      </w:pPr>
      <w:r>
        <w:rPr>
          <w:rFonts w:ascii="Times New Roman;serif" w:hAnsi="Times New Roman;serif"/>
          <w:b w:val="false"/>
          <w:color w:val="000000"/>
          <w:sz w:val="18"/>
        </w:rPr>
        <w:t>material transactions, including dividend payments, purchases or sales of assets, intercompany agreements, and the filing of various financial and operational reports. The amount of dividends that may be paid to us by these insurance subsidiaries, without prior approval by state regulatory authorities, or ordinary dividends, is limited based on the entity’s level of statutory income and statutory capital and surplus. Actual dividends paid may vary due to consideration of excess statutory capital and surplus and expected future surplus requirements. We continue to maintain our levels of aggregate excess statutory capital and surplus in our state-regulated operating subsidiaries. Dividends from our non-insurance companies are generally not restricted by departments of insurance. See “</w:t>
      </w:r>
      <w:r>
        <w:rPr>
          <w:rFonts w:ascii="Times New Roman;serif" w:hAnsi="Times New Roman;serif"/>
          <w:b w:val="false"/>
          <w:i/>
          <w:color w:val="000000"/>
          <w:sz w:val="18"/>
        </w:rPr>
        <w:t>Risk Factors—Risks Related to Regulation—State Regulation of Insurance-Related Products</w:t>
      </w:r>
      <w:r>
        <w:rPr>
          <w:rFonts w:ascii="Times New Roman;serif" w:hAnsi="Times New Roman;serif"/>
          <w:b w:val="false"/>
          <w:color w:val="000000"/>
          <w:sz w:val="18"/>
        </w:rPr>
        <w:t>.”</w:t>
      </w: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Intellectual Property</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believe that our intellectual property rights are valuable and critical to our business stability and growth. We rely on a combination of trademarks, copyrights, trade secrets, know-how license agreements and confidentiality procedures, non-disclosure agreements, employee disclosure and invention assignment agreements and other contractual rights to establish and protect our proprietary rights.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do not have any issued patents with respect to our AVA platform, and we are not currently pursuing any patent applications.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intend to pursue additional intellectual property protection to the extent we believe it would be beneficial and cost effective. </w:t>
      </w: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Competition</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U.S. healthcare insurance industry is highly competitive. Our competitors vary by local market and include other managed care companies, national insurance companies, HMOs and PPOs. Many of our competitors have a larger membership base and/or greater financial resources than we do. In addition, other companies may enter our markets in the future, including emerging competitors in the Medicare Advantage program or competitors in the delivery of healthcare services. We believe that barriers to entry in our markets are not substantial, so the addition of new competitors can occur relatively easily, and customers enjoy significant flexibility in moving between competitors. Contracts for the sale of our products are generally tied to an annual bidding process with CMS. While health plans compete on the basis of many factors, including service and the quality and depth of provider networks, we expect that price and Star ratings will continue to be significant bases of competition. In addition to the challenge of controlling healthcare costs, we face intense competitive pressure to contain premium prices. Factors such as business consolidations, strategic alliances, legislative reform and marketing practices create pressure to contain premium price increases, despite being faced with increasing medical costs. The primary competitive factors for our industry include, but are not limited to, the following: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premium price;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Star ratings;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breadth and richness of benefits, such as maximum out-of-pocket, deductibles, co-pays, Part B rebates, in addition to others;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diversity of services and products offered, particularly ones that address the social determinants of health;</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breadth of network access;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level of member engagement;</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level of member satisfaction;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the quality of the member experience provided, including member service;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care delivery and health outcomes;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costs of care;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ability to recruit and retain skilled employees and clinicians;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brand identity and reputation;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regulatory compliance</w:t>
      </w: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Corporate Responsibility</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We are committed to creating positive, measurable outcomes for our members, employees, communities, and shareholders. Our approach integrates responsible governance, ethical operations, and disciplined risk management with actions that improve health outcomes, enhance access and affordability, support our workforce, and strengthen the communities we serve. We believe that delivering long-term value requires aligning our business strategy with the impact we have on people and society.</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Guided by our core value of leading with a serving heart, we have established five impact priorities through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i/>
          <w:color w:val="000000"/>
          <w:sz w:val="18"/>
        </w:rPr>
        <w:t>Serving Members</w:t>
      </w:r>
      <w:r>
        <w:rPr>
          <w:color w:val="000000"/>
        </w:rPr>
        <w:t xml:space="preserve"> – </w:t>
      </w:r>
      <w:r>
        <w:rPr>
          <w:rFonts w:ascii="Times New Roman;serif" w:hAnsi="Times New Roman;serif"/>
          <w:b w:val="false"/>
          <w:color w:val="000000"/>
          <w:sz w:val="18"/>
        </w:rPr>
        <w:t>Proactively provide all members with access to high-quality, low-cost care and support healthier communities.</w:t>
      </w:r>
    </w:p>
    <w:p>
      <w:pPr>
        <w:pStyle w:val="TextBody"/>
        <w:bidi w:val="0"/>
        <w:spacing w:lineRule="auto" w:line="288" w:before="0" w:after="200"/>
        <w:ind w:left="0" w:right="0" w:hanging="360"/>
        <w:jc w:val="left"/>
        <w:rPr/>
      </w:pPr>
      <w:r>
        <w:rPr>
          <w:color w:val="000000"/>
        </w:rPr>
        <w:t>•</w:t>
      </w:r>
      <w:r>
        <w:rPr>
          <w:rFonts w:ascii="Times New Roman;serif" w:hAnsi="Times New Roman;serif"/>
          <w:b/>
          <w:i/>
          <w:color w:val="000000"/>
          <w:sz w:val="18"/>
        </w:rPr>
        <w:t>Serving Health Care Providers</w:t>
      </w:r>
      <w:r>
        <w:rPr>
          <w:color w:val="000000"/>
        </w:rPr>
        <w:t xml:space="preserve"> – </w:t>
      </w:r>
      <w:r>
        <w:rPr>
          <w:rFonts w:ascii="Times New Roman;serif" w:hAnsi="Times New Roman;serif"/>
          <w:b w:val="false"/>
          <w:color w:val="000000"/>
          <w:sz w:val="18"/>
        </w:rPr>
        <w:t>Enable better care through improved access to data, tools, and resources.</w:t>
      </w:r>
    </w:p>
    <w:p>
      <w:pPr>
        <w:pStyle w:val="TextBody"/>
        <w:bidi w:val="0"/>
        <w:spacing w:lineRule="auto" w:line="288" w:before="0" w:after="200"/>
        <w:ind w:left="0" w:right="0" w:hanging="360"/>
        <w:jc w:val="left"/>
        <w:rPr/>
      </w:pPr>
      <w:r>
        <w:rPr>
          <w:color w:val="000000"/>
        </w:rPr>
        <w:t>•</w:t>
      </w:r>
      <w:r>
        <w:rPr>
          <w:rFonts w:ascii="Times New Roman;serif" w:hAnsi="Times New Roman;serif"/>
          <w:b/>
          <w:i/>
          <w:color w:val="000000"/>
          <w:sz w:val="18"/>
        </w:rPr>
        <w:t xml:space="preserve">Serving our Employees </w:t>
      </w:r>
      <w:r>
        <w:rPr>
          <w:rFonts w:ascii="Times New Roman;serif" w:hAnsi="Times New Roman;serif"/>
          <w:b w:val="false"/>
          <w:color w:val="000000"/>
          <w:sz w:val="18"/>
        </w:rPr>
        <w:t>- Foster engagement, ownership and a sense of belonging.</w:t>
      </w:r>
    </w:p>
    <w:p>
      <w:pPr>
        <w:pStyle w:val="TextBody"/>
        <w:bidi w:val="0"/>
        <w:spacing w:lineRule="auto" w:line="288" w:before="0" w:after="200"/>
        <w:ind w:left="0" w:right="0" w:hanging="360"/>
        <w:jc w:val="left"/>
        <w:rPr/>
      </w:pPr>
      <w:r>
        <w:rPr>
          <w:color w:val="000000"/>
        </w:rPr>
        <w:t>•</w:t>
      </w:r>
      <w:r>
        <w:rPr>
          <w:rFonts w:ascii="Times New Roman;serif" w:hAnsi="Times New Roman;serif"/>
          <w:b/>
          <w:i/>
          <w:color w:val="000000"/>
          <w:sz w:val="18"/>
        </w:rPr>
        <w:t xml:space="preserve">Serving Consciously </w:t>
      </w:r>
      <w:r>
        <w:rPr>
          <w:rFonts w:ascii="Times New Roman;serif" w:hAnsi="Times New Roman;serif"/>
          <w:b w:val="false"/>
          <w:color w:val="000000"/>
          <w:sz w:val="18"/>
        </w:rPr>
        <w:t>- Understand and improve the impact of our operations on the communities we serve.</w:t>
      </w:r>
    </w:p>
    <w:p>
      <w:pPr>
        <w:pStyle w:val="TextBody"/>
        <w:bidi w:val="0"/>
        <w:spacing w:lineRule="auto" w:line="288" w:before="0" w:after="200"/>
        <w:ind w:left="0" w:right="0" w:hanging="360"/>
        <w:jc w:val="left"/>
        <w:rPr/>
      </w:pPr>
      <w:r>
        <w:rPr>
          <w:color w:val="000000"/>
        </w:rPr>
        <w:t>•</w:t>
      </w:r>
      <w:r>
        <w:rPr>
          <w:rFonts w:ascii="Times New Roman;serif" w:hAnsi="Times New Roman;serif"/>
          <w:b/>
          <w:i/>
          <w:color w:val="000000"/>
          <w:sz w:val="18"/>
        </w:rPr>
        <w:t>Serving Responsibly</w:t>
      </w:r>
      <w:r>
        <w:rPr>
          <w:color w:val="000000"/>
        </w:rPr>
        <w:t xml:space="preserve"> </w:t>
      </w:r>
      <w:r>
        <w:rPr>
          <w:rFonts w:ascii="Times New Roman;serif" w:hAnsi="Times New Roman;serif"/>
          <w:b w:val="false"/>
          <w:color w:val="000000"/>
          <w:sz w:val="18"/>
        </w:rPr>
        <w:t xml:space="preserve">- Maintain effective, transparent and ethical governance.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publish an annual Impact Report highlighting progress against these priorities. Oversight is provided through collaboration among senior leadership, the CEO, and the Board of Directors.</w:t>
      </w: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Employees and Human Capital Resources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are focused on building a company that is transforming health care by putting seniors first, and our employees are critical to our distinctive business model. Our Human Capital strategy focuses on meeting business objectives by attracting, developing, engaging, and retaining a high-performing, diverse workforce. As of December 31, 2025, we had 1,849 full-time employees in addition to seasonal employees who assist with the Medicare AEP.</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recognize that an inclusive workplace is crucial as we scale and build our high-performing team. All aspects of our inclusive culture continue to be embedded in each aspect of our processes, programs, and structures that drive our talent lifecycle: attraction, recruitment, onboarding, development, and retention efforts. Our efforts to recruit for excellence are reflected in the composition of our current employee workforce and Board of Directors, which are comprised of a diverse group of highly qualified individuals that represent top talent in the industry. As of December 31, 2025:</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74% of our employees were female;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70% of our employees were ethnically diverse;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22% of our executive team was ethnically diverse;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11% of our executive team was female;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22% of our Board of Directors was ethnically diverse;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 xml:space="preserve">44% of our Board of Directors was female.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future success of our company will depend, in part, on our continued ability to attract, develop and retain the best talent as we grow and scale the organization. Our talent acquisition and management strategies are designed to ensure that we create and develop a pipeline of outstanding physicians, clinical employees, and business leaders. A key component of our corporate sustainability and success is learning and development. Each year, we conduct an employee survey and take action to further enhance employee engagement and productivity. We also implement rigorous employee training protocols to help ensure our teams operate with rigor, ethics and compliance in mind. We are intentional in our efforts to provide all employees opportunities to grow. Our training and development programs for employees focus on enhancing and developing talent within the company. All employees have access to on</w:t>
        <w:noBreakHyphen/>
        <w:t>demand training through our learning and development platform, which supports scalable capability-building across functional, leadership, compliance, and digital skills. We are currently designing additional training programs and resources for both new hires and longer-tenured employees that will educate them on critical functional areas of within the organization.</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Our compensation and incentive plans are designed to attract, retain, and reward employees by granting cash-based performance and stock-based awards. By motivating individuals to achieve business objectives and perform to the best of their abilities, they support the success of the company and the increase of stockholder value. We also provide comprehensive medical benefits, a positive work/life balance, generous paid time off, and health and wellness programs. We regularly evaluate each aspect of compensation and benefits to ensure they align with the market and our peers.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Our current workforce model embraces working in a hybrid-remote fashion. Our workforce strategy enhances our ability to attract the best talent nationally, allowing us to serve our members where they live and continue to provide our employees with a healthy work-life balance.</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Our board of directors believes that human capital management is an essential component of our continued growth and success. Management regularly reports to our board for input on important decisions related to human capital, including corporate culture, safety, compliance, talent management, organizational development, compensation, and benefits.</w:t>
      </w: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Corporate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were originally formed as a Delaware limited liability company under the name Alignment Healthcare Holdings, LLC in 2013. In March 2021, we completed a corporate restructuring in connection with our initial public offering (“IPO”) changed our name to Alignment Healthcare, Inc. Following the IPO, our common stock began trading on the Nasdaq Global Select Market under the symbol “ALHC.”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Our principal executive office is located at 1100 W. Town &amp; Country Rd., Suite 1600, Orange, CA 92868 and our phone number is (844) 310-2247. Our website address is www.alignmenthealth.com. The information contained on, or that can be accessed through, our website is not incorporated by reference into this filing and you should not consider any information contained on, or that can be accessed through, our website as part of this filing. We are a holding company and all of our business operations are conducted through our subsidiaries and affiliated medical groups.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Our annual reports on Form 10-K, quarterly reports on Form 10-Q, current reports on Form 8-K and, if applicable, amendments to those reports filed or furnished pursuant to Section 13(a) of the Securities Exchange Act of 1934, as amended (the “Exchange Act”), are available free of charge on or through our website, https://www.alignmenthealth.com, as soon as reasonably practicable after we electronically file such material with, or furnish it to, the Securities and Exchange Commission, or the SEC. The SEC’s website, https://www.sec.gov, contains reports, proxy and information statements, and other information regarding issuers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lineRule="auto" w:line="288" w:before="200" w:after="200"/>
        <w:jc w:val="left"/>
        <w:rPr>
          <w:rFonts w:ascii="Times New Roman;serif" w:hAnsi="Times New Roman;serif"/>
          <w:b w:val="false"/>
          <w:i/>
          <w:color w:val="000000"/>
          <w:sz w:val="18"/>
        </w:rPr>
      </w:pPr>
      <w:r>
        <w:rPr>
          <w:rFonts w:ascii="Times New Roman;serif" w:hAnsi="Times New Roman;serif"/>
          <w:b w:val="false"/>
          <w:i/>
          <w:color w:val="000000"/>
          <w:sz w:val="18"/>
        </w:rPr>
        <w:t>Our business involves a high degree of risk. You should carefully consider the risks and uncertainties described below, together with all of the other information contained in this Annual Report on Form 10-K, including our consolidated financial statements and the related notes thereto, before making a decision to invest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operating results and prospectus could be materially and adversely affected. In that event, the price of our common stock could decline, and you could lose all or part of your investment.</w:t>
      </w:r>
    </w:p>
    <w:p>
      <w:pPr>
        <w:pStyle w:val="TextBody"/>
        <w:bidi w:val="0"/>
        <w:spacing w:lineRule="auto" w:line="288" w:before="200" w:after="200"/>
        <w:jc w:val="left"/>
        <w:rPr>
          <w:rFonts w:ascii="Times New Roman;serif" w:hAnsi="Times New Roman;serif"/>
          <w:b/>
          <w:color w:val="000000"/>
          <w:sz w:val="18"/>
        </w:rPr>
      </w:pPr>
      <w:r>
        <w:rPr>
          <w:rFonts w:ascii="Times New Roman;serif" w:hAnsi="Times New Roman;serif"/>
          <w:b/>
          <w:color w:val="000000"/>
          <w:sz w:val="18"/>
        </w:rPr>
        <w:t>Risk Factors Summary</w:t>
      </w:r>
    </w:p>
    <w:p>
      <w:pPr>
        <w:pStyle w:val="TextBody"/>
        <w:bidi w:val="0"/>
        <w:spacing w:lineRule="auto" w:line="288" w:before="200" w:after="200"/>
        <w:jc w:val="left"/>
        <w:rPr>
          <w:rFonts w:ascii="Times New Roman;serif" w:hAnsi="Times New Roman;serif"/>
          <w:b w:val="false"/>
          <w:i/>
          <w:color w:val="000000"/>
          <w:sz w:val="18"/>
        </w:rPr>
      </w:pPr>
      <w:r>
        <w:rPr>
          <w:rFonts w:ascii="Times New Roman;serif" w:hAnsi="Times New Roman;serif"/>
          <w:b w:val="false"/>
          <w:i/>
          <w:color w:val="000000"/>
          <w:sz w:val="18"/>
        </w:rPr>
        <w:t xml:space="preserve">The following are the principal risks that are applicable to our business and the shares of our common stock. Such risks are discussed in more detail below, and you should read this Risk Factors section in its entirety before deciding whether to invest in our common stock.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We have a history of net losses and may be unable to achieve or maintain profitability.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Our growth strategy may not prove viable and we may not realize expected results.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If we are unable to attract new members, our revenue growth will be adversely affected.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If we do not design and price our products properly and competitively, cannot develop new products and implement clinical initiatives, lower costs, and appropriately document members’ risk profile, or if our benefits expense estimates are inadequate, our profitability may be materially adversely affected.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We may not be successful in maintaining or improving our Star ratings in future years, which may have a direct and substantial adverse impact on our revenue.</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If we fail to develop and maintain satisfactory relationships with care providers, our business may be adversely affected.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As a government contractor, we risk the potential loss of CMS contracts, suspension from the Medicare Advantage program, changes to premiums paid to Medicare Advantage plans, changes to provisions for risk sharing under Medicare Part D and governmental audits and investigations, among others.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If we fail to manage our growth effectively, we may be unable to execute our business plan, maintain high levels of service and member satisfaction or adequately address competitive challenges.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The loss or renegotiation of certain key contracts with large independent physician associations (“IPAs”), hospitals or other provider networks, to serve our membership base could negatively impact our results.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Cybersecurity breaches, loss of data and other disruptions could compromise sensitive business or member information, or prevent access to critical information and expose us to liability.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Our use of machine learning and artificial intelligence, including within our AVA platform, may introduce operational, regulatory and legal risks that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Disruptions in our disaster recovery systems or management continuity planning could limit our ability to operate our business effectively and adequately care for our members.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Our business depends on our ability to effectively invest in, implement improvements to and properly maintain the uninterrupted operation and data integrity of our information technology platform.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Our business may be impacted if the healthcare services industry becomes more cyclical.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If we are not able to maintain, enhance and protect our reputation and brand recognition, including through the maintenance and protection of trademarks, our business and results of operations will be harmed.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If we are unable to obtain, maintain, protect and enforce sufficiently broad intellectual property protection, including for our trade secrets, know-how and other proprietary and internally developed information, the value of our technology could be adversely affected.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Any restrictions on our use of, or ability to license, data, or our failure to license data and integrate third-party technologies, could have a material adverse effect on our business.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We may be subject to legal proceedings and litigation, including intellectual property and privacy disputes.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We depend on our senior management team and other key employees, and the loss of one or more of these employees or an inability to attract and retain other highly skilled employees could harm our business.</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Our plans are concentrated in a limited number of U.S. states and we may not be able to establish new geographic presences.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Competition for physicians and nurses, shortages of qualified personnel or other factors could increase our labor costs and adversely affect our revenue, profitability and cash flows.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Our records may contain inaccurate or unsupportable information regarding risk adjustment scores of members, which could cause misstatements of revenue and subject us to penalties.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Inaccurate estimates of incurred but not reported medical expense could adversely affect our results.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Negative publicity regarding our industry generally could adversely affect our results of operations or business.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Medicare Advantage funding reductions could adversely affect our results of operations.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The healthcare industry is highly competitive, and this competition may have a material adverse effect on our business operations and financial position.</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If we are unable to offer new and innovative products and services or fail to keep pace with industry advances, technology and needs, our members may terminate memberships.</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We are a holding company with no operations of our own, and we depend on our subsidiaries for cash.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We may be required to maintain higher statutory capital levels for our existing operations or may become subject to additional capital reserve requirements as we pursue new business opportunities.</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New laws or changes in laws or their application could increase our cost of doing business.</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We must adapt to changes in the healthcare industry and related regulations or our business may be harmed.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Losing the services of the physicians who own our associated physician practices could jeopardize our contractual arrangements.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Our existing indebtedness could adversely affect our business and growth prospects, particularly in an environment of rising interest rates.</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Our failure to raise additional capital or generate cash flows could reduce our ability to compete successfully.</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The requirements of being a public company may strain our resources and distract our management.</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Provisions of our corporate governance documents could make an acquisition of us more difficult.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The exclusive forum provision in our certificate of incorporation may have the effect of discouraging lawsuits against our directors and officers.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An active, liquid trading market for our common stock may not be sustained.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Our operating results and stock price may be volatile, including as a result of economic or industry-wide factors that are beyond our control.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A significant portion of our total outstanding shares may be sold into the market in the near future.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Future sales of substantial amounts of common stock, or the possibility of such sales, could adversely affect stock price. </w:t>
      </w:r>
    </w:p>
    <w:p>
      <w:pPr>
        <w:pStyle w:val="TextBody"/>
        <w:bidi w:val="0"/>
        <w:spacing w:lineRule="auto" w:line="288" w:before="200" w:after="200"/>
        <w:jc w:val="left"/>
        <w:rPr>
          <w:rFonts w:ascii="Times New Roman;serif" w:hAnsi="Times New Roman;serif"/>
          <w:b/>
          <w:color w:val="000000"/>
          <w:sz w:val="18"/>
        </w:rPr>
      </w:pPr>
      <w:r>
        <w:rPr>
          <w:rFonts w:ascii="Times New Roman;serif" w:hAnsi="Times New Roman;serif"/>
          <w:b/>
          <w:color w:val="000000"/>
          <w:sz w:val="18"/>
        </w:rPr>
        <w:t>Risks Related to Our Business</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We have a history of net losses, we anticipate increasing expenses in the future, and we may not be able to achieve or maintain profitability.</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have incurred net losses on an annual basis since our inception, including a net loss of $1.0 million and $128.1 million for the years ended December 31, 2025 and December 31, 2024. As of December 31, 2025, we had an accumulated deficit of $1,009.0 million. We expect our aggregate costs will increase substantially in the foreseeable future as we expect to invest heavily in increasing our member base, growing our provider networks, expanding our operations geographically, engaging in expanded marketing and outreach efforts, enhancing our technology, hiring additional employees, operating as a public company and acquiring companies or assets complementary to our business. These efforts may prove more expensive than we currently anticipate, and we may not succeed in increasing our revenue sufficiently to offset these higher expenses. In addition, even if we are successful in increasing our membership and consequently increasing our total revenues from premiums earned, we may not successfully and effectively predict, price and manage the medical costs of our members. To date, we have financed our operations principally from the sale of our equity, revenue from the CMS and the incurrence of indebtedness. We may not generate positive cash flow from operations or profitability in the future.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have encountered and will continue to encounter risks and difficulties frequently experienced by growing companies in rapidly changing industries, including increasing expenses as we continue to grow our business. In addition to the expected costs to grow our business, we also expect to incur additional legal, accounting and other expenses as we continue to operate as a public company. Moreover, the investments we intend to make into growing our company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financial condition and results of operations. Furthermore, even if we achieve profitability in the future, we may not be able to sustain profitability in subsequent periods. If we are not able to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results of operations and financial condition would be adversely affected. Our failure to achieve or maintain profitability could negatively impact the value of our common stock.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Our growth strategy may not prove viable and we may not realize expected results.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business strategy is to grow rapidly by expanding our service offerings through an array of non-traditional benefits and continuing to build out and attract network relationships in our existing markets. We also intend to expand into new markets, leveraging our AVA technology platform, which has been designed to scale and allow us to provide a predictable and replicable member experience across new markets. Our strategy hinges on our ability to satisfy our members in our existing markets, achieve and maintain high Star ratings for our plans, submit successful bids to CMS for new plans and/or in new markets, attract new members, form alliances with primary care providers, and hire physicians, nurses and other medical support staff for our in-house care delivery programs, among other factors. We also seek growth opportunities through strategic acquisitions and vertical integration, as well as through joint ventures or other strategic arrangements. We cannot guarantee that we will be successful in pursuing our growth strategy. If we fail to evaluate and execute new business opportunities properly, we may not achieve anticipated benefits and may incur increased costs.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growth strategy involves a number of risks and uncertainties, including that: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we may not be able to enroll or retain a sufficient number of new members to execute our growth strategy, and we may incur substantial costs to enroll new members but may be unable to enroll a sufficient number of new members to offset those costs;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we may not be able to successfully enter into contracts with local providers in existing or new markets on terms favorable to us or at all. In addition, we compete for provider relationships with many other health care plans, some of whom may have greater resources than we do. This competition may intensify due to the ongoing consolidation in the healthcare industry, which may increase our costs to pursue such opportunities;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we may not be able to maintain and improve the satisfaction levels of our members, which could lead to decreased ratings for some of our plans in the Five Star Quality Rating System and consequently to loss of the economic incentives associated with high Star ratings, which could negatively impact our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we may be unsuccessful in entering new markets, including by identifying and executing key strategic joint ventures or other arrangements to facilitate such entry;</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we may not be able to realize the value of our AVA technology platform;</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we may not be able to hire or otherwise engage sufficient numbers of physicians and other staff and may fail to integrate our employees, particularly our medical personnel, into our in-house care model;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we may not be successful in maintaining our reputation and brand in our existing markets or in establishing our reputation and brand with new members or into new markets;</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when expanding our business into new states, we may be required to comply with laws and regulations that may differ from states in which we currently operate;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when expanding into new markets, we may face competition with greater knowledge of such local markets; and</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expansion into new offerings or new markets, or the acquisition of complementary businesses or assets, may require us to raise additional capital, which may not be available on desirable terms or at all.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Pursuing our growth strategy requires significant capital expenditures, the allocation of valuable management resources, and the hiring of additional personnel, and may strain our operations and our financial and management controls and reporting systems and procedures. For a variety of reasons, we may not succeed in achieving scale, improving our operating efficiency or gaining operating leverage. Moreover, we have experienced and may in the future continue to experience attrition, which may further exacerbate these challenges. If we are unable to effectively execute our growth strategy and manage our growth, our results of operations and financial condition could be materially and adversely affected.</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If we are unable to attract new members, our revenue growth will be adversely affected.</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currently derive substantially all of our revenue from CMS contracts related to our Medicare Advantage health plans. To increase our revenue, we must grow by expanding the number of members under our plans in the markets in which we currently operate and in the new markets that we intend to enter. In order to support such growth, we must continue to enroll and retain a sufficient number of new members. We have experienced significant member growth since we commenced operations; however, we may not be able to maintain this growth, and our member base could decrease rapidly or shrink over time. Even if we are successful in achieving and maintaining growth, doing so may be more costly than we anticipate, and if we are not able to manage our costs, our results could be materially adversely affected.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We are focused on the Medicare-eligible population and face competition from other plans in the enrollment of Medicare-eligible potential members. If we are unable to obtain CMS contracts for new plans or in new markets and convince the Medicare-eligible population of the benefits of our plans, or if potential or existing members prefer a plan offered by one of our competitors, we may not be able to effectively implement our growth strategy. Our ability to attract new members will depend on a variety of factors, including the following:</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our ability to create new plans and/or ancillary benefits;</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our ability to achieve and maintain high Star ratings for each of our plans;</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our ability to effectively promote our plans in our existing markets and the new markets we intend to enter;</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our allocation of management and financial resources toward efforts to grow our membership in certain markets;</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the extent to which eligible beneficiaries shop for MA plans in the markets we enter;</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our ability to establish relationships with provider groups and other key market constituencies;</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our competitor’s products and pricing strategies;</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our ability to establish and grow our reputation and brand in new and existing markets;</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the extent to which the overall pool of MA-eligible beneficiaries continues to grow and the extent to which the historical trend of increased MA market penetration continues;</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if our strategic partners terminate or fail to renew our current contracts or we fail to enter into contracts with new strategic partners; and</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regulatory changes affecting the overall pool of MA-eligible beneficiaries and our ability to navigate the applicable regulatory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 addition, our growth strategy is partially dependent on beneficiaries electing to move from fee-for-service to one of our Medicare Advantage plans, or electing to move from their current Medicare Advantage plan and selecting us as their Medicare Advantage plan. In certain instances, original Medicare or other insurers’ MA plans may be more attractive to a consumer than our MA plans. For example, though our PPO members are enrolled in plans that enable them to visit any doctor participating in Medicare who will see them, our HMO plans have restrictions on the network of doctors that HMO members can see, and in some markets other providers participating in Medicare may choose to see no MA members or only MA members participating in specific plans. It is also possible that original Medicare or other insurers’ MA plans may offer broader physician networks in particular markets or highly competitive benefits, in which case those plans may be more attractive to some consumers than our MA plans. When the time to choose an MA plan comes, newly Medicare-eligible consumers may also choose to continue with their current insurer which was offered by their employer instead of transitioning to one of our plans.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For a majority of individuals, plan enrollment selections for Medicare Advantage are made during an annual enrollment period from October into December of each year; therefore, our ability to grow our member population is dependent in substantial part on our ability to successfully enroll members during the annual enrollment period and to convince such individuals not to subsequently change that election. If our ability to market and sell our MA plans is constrained during an enrollment period for any reason, such as technology failures, reduced allocation of resources, any inability to timely employ, license, train, certify and retain employees and contractors and agents to sell plans, interruptions in the operation of our website or systems, or disruptions caused by other external factors, such as natural disasters or civic disorder, we could acquire fewer new members than expected or suffer a reduction in the number of our existing members.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inability to enroll new members and retain existing members would harm our ability to execute our growth strategy and may have a material adverse effect on our business operations and financial position.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If we do not design and price our products properly and competitively, if we are unable to develop new products and implement clinical initiatives to provide a better healthcare experience for our members, lower costs, and appropriately document the risk profile of our members, or if our estimates of benefits expense are inadequate, our profitability may be materially adversely affected.</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use a substantial portion of our revenues to pay the costs of healthcare services delivered to our members by third-party providers. These costs include claims payments, capitation payments to providers (predetermined amounts paid to cover services), administrative costs and various other costs incurred to provide health insurance coverage to our members. These costs also include estimates of future payments to hospitals and other providers for medical care provided to our members. Generally, premiums in the healthcare business are fixed for one-year periods and we are required by federal law to spend a fixed amount of these premiums on healthcare services, covered benefits and quality improvement efforts. Accordingly, costs we incur in excess of our benefit cost projections generally are not recovered in the contract year through higher premiums and our ability to enhance the profitability of our plans depends in significant part on our ability to estimate the costs of our future benefit claims and other expenses. We make these estimates using actuarial methods and assumptions based upon claim payment patterns, medical inflation, historical developments, including claim inventory levels and claim receipt patterns, and other relevant factors. We also record benefits payable for future payments. We continually review estimates of future payments relating to benefit claims costs for services incurred in the current and prior periods and make necessary adjustments to our reserves, including premium deficiency reserves where appropriate. However, these estimates involve extensive judgment and have considerable inherent variability that is sensitive to claim payment patterns and medical cost trends. Many factors may and often do cause actual healthcare costs to exceed what was estimated and used to set our premiums. These factors may include: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increased use of medical facilities and services;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increased cost of such services;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increased use or cost of prescription drugs, including specialty prescription drugs;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the introduction of new or costly treatments, including new technologies;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the extent to which providers in our network follow appropriate care recommendations and carry out effective care coordination and care management;</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our membership mix;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the extent to which members decline to seek out appropriate preventative care or follow their physicians’ care and healthful living recommendations;</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variances in actual versus estimated levels of cost associated with new products, benefits or lines of business, product changes or benefit level changes;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changes in the demographic characteristics of an account or market;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changes or reductions of our utilization management functions such as preauthorization of services, concurrent review or requirements for physician referrals;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catastrophes, including acts of terrorism, public health epidemics, or severe weather (e.g., hurricanes and earthquakes), which may increase both use and cost of medical services and cause members to delay obtaining services, affecting their long-term health;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medical cost inflation; and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government mandated benefits, member eligibility criteria, or other legislative, judicial, or regulatory changes.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Key to our operational strategy is the implementation of clinical initiatives that we believe provide a better healthcare experience for our members, lower the cost of healthcare services delivered to our members, and appropriately document the risk profile of our members. Our profitability and competitiveness depend in large part on our ability to leverage our technology platform, AVA, to optimize and appropriately manage healthcare costs by, among other things, proactively managing member care.</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Increases or decreases in staff and provider-related expenses, any costs associated with exiting products, additional investment in new products and in the expansion of clinical and technological capabilities as part of our integrated care delivery model, investments in health and well-being product offerings, acquisitions, new taxes and assessments, and implementation of regulatory requirements may increase our operating expenses. Any failure to adequately price our products or estimate sufficient benefits payable or effectively manage our operating expenses may result in a material adverse effect on our results of operations, financial position, and cash flows.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Premium increases, introduction of new product designs, and our relationships with our providers in various markets, among other issues, could also affect our membership levels. Other actions that could affect membership levels include our possible exit from or entrance into markets or the entering into or termination of a key network contract. If we do not compete effectively in our markets, if we set rates too high or too low in highly competitive markets to keep or increase our market share, if membership does not increase as we expect, if membership declines, or if we lose membership with favorable medical cost experience while retaining or increasing membership with unfavorable medical cost experience, our results of operations, financial position, and cash flows may be materially adversely affected.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We may not be successful in maintaining or improving our Star ratings in future years, which may have a direct and substantial adverse impact on our revenue.</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CMS measures the quality of Medicare Advantage plans through a Five Star Quality Rating System. The Star Rating system considers various measures adopted by CMS, including, among others, quality of care, preventative services, chronic illness management and member satisfaction. The achievement of Star ratings of 4-Star or higher qualifies Medicare Advantage plans for an increase in the benchmark against which they bid (potentially increasing premium payments). As of January 1, 2026, approximately 100% of our members are enrolled in plans that have a 4.0 Star rating or greater for the 2026 rating year / 2027 payment year. However, we may not be able to maintain or improve upon these Star ratings in future years. Failure to maintain satisfactory quality and performance measures may negatively affect our premium rates, impede our ability to compete for new business in existing or new markets or result in the termination of our contracts, or affect our ability to enter into new CMS contracts or expand the service area of current health plans. Star ratings are an important component of how MA beneficiaries select an MA plan, both during each annual enrollment period and throughout each year. Low Star ratings may reduce our membership, if members choose to enroll in higher-rated plans.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Various factors may make it difficult for us to maintain or increase our Star ratings. For example, there are numerous providers that serve our plans, and we engage multiple third-party vendors to provide supplemental plan benefits. We may have limited success in obtaining quality health care outcomes and satisfactory member experiences from these providers and vendors. As a result of our dependence upon these relationships, we may have limited ability to directly influence the overall quality rating of our plans. Additionally, our higher concentration of minority members and members residing in socioeconomically disadvantaged neighborhoods generally may make it more difficult for us to achieve and maintain high Star ratings as compared to our competitors, given the well-documented health disparities among different minority and socioeconomic groups. CMS has attempted to address some of this disparity, but the efforts may not work as intended or be sufficient to address the difficulties of serving varying member populations.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CMS updates and makes changes to the Star ratings annually. Changes implemented by CMS with respect to the Five Star Quality Rating System have, in the past, and could, in the future, negatively impact our Star ratings. For example, in rating year 2024, CMS removed performance outliers from the calculation of non-Consumer Assessment of Healthcare Providers and Systems (“non-CAHPS data”) measure rating cut points using the Turkey outlier deletion method. This change increased cut points overall, making it more difficult to achieve and maintain high Star ratings. In the 2026 Star ratings, only 18 MA-Part D contracts earned a 5-star rating, an increase from seven in 2025 but a significant decrease from 31 in 2024 and 57 in 2023.</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Additionally, CMS continues to make changes to Star Ratings methodology that could negatively impact our Star Ratings in future years. For example, CMS recently proposed changes for the 2027 Star Ratings, including streamlining the Star Ratings measure set by removing certain measures and revising aspects of the reward factor methodology (including proposing to remove the Health Equity Index reward and revert to the historical reward factor). These changes, if finalized, and future adjustments to the Star rating methodology may have a negative impact on our Star ratings.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 addition, audits of our performance for past or future periods may result in downgrades to our Star ratings. For example, if a CMS audit finds that a particular issue of noncompliance impacts the data source for a Star measure, the Star measure may be reduced if the data set is deemed inaccurate or biased. Accordingly, our plans may receive a lower Star rating and may not be eligible for full level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quality bonus payments, which could adversely affect the benefits we can offer, reduce membership and/or reduce profit margins. Also, CMS has the authority to terminate contracts that have had a rating of less than three Stars for three consecutive years, whereas Medicare Advantage plans with five Stars are permitted to conduct enrollment throughout almost the entire year. Because low quality ratings can potentially lead to the termination of one or more of our contracts we may not be able to prevent the potential termination of a plan or a shift of members to other plans based upon quality issues, which could, in turn, have a material adverse effect on our business, results of operations, financial condition and cash flows.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If we fail to develop and maintain satisfactory relationships with care providers to service our members, our business may be adversely affected.</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Our success requires that we maintain and grow our provider networks and contract with providers and medical facilities in new markets in order to meet CMS requirements relating to network adequacy. We contract with a variety of physicians, nurses, hospitals, clinics and other third-party providers to deliver healthcare and related services to our members. Our plans encourage or require our customers to use these contracted providers. A key component of our integrated care delivery strategy is to increase the number of providers who share medical cost risk with us or have financial incentives to deliver high quality medical services in a cost-effective manner. In order to retain our members and attract additional membership, our provider networks, including those physicians participating in Medicare and willing to see our patients but with whom we have not contracted, must be not only adequate, but attractive, providing Medicare-eligible beneficiaries access to the providers and facilities that they want.</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 any particular market, providers could refuse to contract with us, demand higher payments, or take other actions that could result in higher healthcare costs for us, less desirable outcomes for members or difficulty meeting regulatory or accreditation requirements, including network adequacy requirements. In some markets, certain providers, particularly hospitals, physician specialty groups, physician/hospital organizations, or multi-specialty physician groups, may have significant market positions and negotiating power. In addition, physician or practice management companies, which aggregate physician practices for administrative efficiency and marketing leverage, may compete with us in certain circumstances. If these providers refuse to contract with us, use their market position to negotiate unfavorable contracts with us or place us at a competitive disadvantage, or do not enter into contracts with us that encourage the delivery of quality medical services in a cost-effective manner, our ability to market products or to be profitable in those areas may be adversely affected.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In some situations, we have capitation contracts with individual or groups of primary care providers and specialists for an actuarially determined, fixed fee per month to provide a basket of required medical services to our members. The inability of providers to properly manage costs under these capitation arrangements could result in the financial instability of these providers and the termination of their relationship with us. In addition, payment or other disputes between a primary care provider and specialists with whom the primary care provider contracts could result in a disruption in the provision of services to our members or a reduction in the services available to our members. The financial instability or failure of a primary care provider to pay other providers for whom they have taken professional risk for services rendered could lead those other providers to demand payment from us even though we have made our regular fixed payments to the primary care provider. Providers with whom we contract may not properly manage the costs of services, maintain financial solvency or avoid disputes with other providers. Even if we contract with sufficient numbers of providers in our markets, we may be required, from time to time, to work with providers with whom we do not contract and who are not included in our networks. This can increase our medical costs, as there is no pre-negotiated rate that we pay the provider and no incentive for the provider to control costs.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Our ability to develop and maintain satisfactory relationships with providers and facilities may also be negatively impacted by factors not associated with us, such as changes in Medicare programs and other pressures on healthcare providers, including consolidation activity among hospitals, physician groups, and other healthcare providers. We may be unable to contract with new providers, facilities and other entities in our current markets or new markets in which we enter or renew any contracts we maintain with existing providers or facilities on favorable terms, if at all. If we are unable to enter into new contracts or maintain contracts with providers or facilities in certain markets, we may be unable to meet network adequacy requirements, which would prevent us from serving such markets and could have a material adverse effect on our business, financial condition and results of operations.</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If we fail to manage our growth effectively, we may be unable to execute our business plan, maintain high levels of service and member satisfaction or adequately address competitive challenges.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have experienced, and may continue to experience, rapid growth and organizational change, which has placed, and may continue to place, significant demands on our management and our operational and financial resources. Additionally, our organizational structure may become more complex as we improve our operational, financial and management controls, as well as our reporting systems and procedures. We may require significant capital expenditures and the allocation of valuable management resources to grow and change in these areas. We must rapidly scale our technology platform, effectively increase our headcount and expand our provider networks, and we must continue to effectively train and manage our employees and partners. We will be unable to manage our business effectively if we are unable to alleviate the strain on resources caused by growth in a timely and successful manner. If we fail to effectively manage our anticipated growth and change, the quality of our services may suffer, which could negatively affect our brand and reputation and harm our ability to attract and retain members and employees.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 addition, as we expand our business, it is important that we continue to maintain a high level of member service and satisfaction. As our member base continues to grow, we will need to expand our product and service offerings and our network of partners to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personalized member service. If we are not able to continue to provide high quality products, benefits and medical care with high levels of member satisfaction, our reputation, as well as our business, results of operations and financial condition could be adversely affected.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The healthcare industry is highly competitive. There are many other healthcare plans and healthcare service providers, many of which have a longer operating history and substantially more resources, and there are few barriers to entry in the healthcare industry. This competition may have a material adverse effect on our business operations and financial position.</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We compete directly with national, regional and local Medicare Advantage organizations for members and healthcare providers. Competition in our markets involves rapidly changing technologies, diverse and evolving regulatory requirements and industry expectations, new product offerings and constantly changing member and physician preferences and user requirements. We currently face competition from a range of companies, including other incumbent MA providers and health insurance companies. Many of the other companies currently providing health insurance coverage and healthcare services, particularly national insurers such as United Health, Aetna, Humana and Cigna, have been in business longer and/or have substantially more resources than we do. Other companies could enter the healthcare industry in the future and divert some or all of our business. We also face competition from traditional Medicare.</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ability to compete successfully varies from location to location and depends on a number of factors, including the number of competing plans in the local market and the types of services available at local clinical facilities, the demographics of each market and our ability to generate offerings that meet the needs of that population, our local reputation for providing quality care to members, the commitment and expertise of the providers in our network and our in-house medical staff, our local service offerings and community programs and the cost of care in each locality. If we are unable to attract members, our revenue and profitability will be adversely affected. Some of our competitors may have greater recognition and may be more established in particular communities than we are, and they may have greater financial and other resources than we have. Competing Medicare Advantage plans may also offer different programs or services than we do, which, combined with the foregoing factors, may result in our competitors being more attractive to our current members or potential members. While health plans compete on the basis of many factors, including service and the quality and depth of provider networks, we expect that price will continue to be a significant basis of competition. Furthermore, while we budget for improvements in our products and services to keep them competitive in their respective markets, to the extent that competitive forces cause related expenditures to increase in the future, our financial condition may be negatively affected. In addition, in certain instances our relationships with providers are not exclusive and our competitors have established or could seek to establish relationships with such providers. Additionally, as we expand into new geographies, we may encounter competitors with stronger relationships or recognition in the community in such new geography, which could give those competitors an advantage in retaining current members and obtaining new members, which may have a material adverse effect on our business operations and financial position.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Our failure to compete effectively may result in fewer plans being offered; a reduction in plan benefits; reduced services; a loss of existing members or inability to grow membership; fewer physician users; reduced revenues; lower gross margins; and loss of market share. Any failure to meet and address these factors would harm our business, results of operations and financial condition.</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We have entered into certain key contracts with large independent physician associations, hospitals and other provider networks to serve our membership base. The loss or renegotiation of any of these contracts could negatively impact our results.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provider network includes key contracts with certain large independent physician associations (“IPAs”), hospitals and other provider networks, which are critical to serving our membership base. Although we typically seek to enter into contracts spanning three or more years, after a specified period, certain of these contracts, including existing contracts with some of our largest IPA partners, hospitals or other providers, may terminate by their own terms or through notice of non-renewal. In the ordinary course of business, including in connection with renewals or extensions of these agreements, we engage in active discussions and renegotiations with these counterparties in respect of the solutions we provide and the terms of our agreements. The loss of any of our largest IPA partnerships, hospitals or other provider networks or the renegotiation of any of these contracts could adversely affect our results of operations, as this may alter the attractiveness of our provider network, result in more out-of-network claims costs and/or increase the payments we make to these counterparties.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Cybersecurity breaches, loss of data and other disruptions could compromise sensitive information related to our business or our members, or prevent us from accessing critical information and expose us to liability, which could adversely affect our business and our reputation.</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 the ordinary course of our business, we collect, store, process, transfer, disclose and otherwise use sensitive data, including PHI and PII relating to our employees, members and others. We also process and store, and use third-party service providers to process and store, substantial amounts of sensitive information, including intellectual property, confidential information and other proprietary business information. We manage and maintain such sensitive data and information utilizing a combination of on-site systems, managed data center systems and cloud-based computing center systems.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are highly dependent on information technology networks and systems, including the internet, to securely process, transmit and store this sensitive data and information. Cybersecurity breaches of this infrastructure, including electronic break-ins, computer viruses, ransomware, attacks by hackers and other malicious actors and similar breaches, physical break-ins and employee or contractor error, negligence or malfeasance, can create system disruptions, shutdowns or unauthorized disclosure or modifications of such sensitive data or information, causing PHI or other PII to be accessed or acquired without authorization or to become publicly available. We utilize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third-party operated 24x7 security operations center that continuously monitors the security and privacy posture of our systems and have implemented the HITRUST Alliance's Common Security Framework as part of our certification by HITRUST; however, we cannot provide assurance that these measures will protect us from all cybersecurity threats and risks. As our third-party service providers manage important aspects of the collection, storage, processing and transmission of employee, user and member information, and other confidential and sensitive information, we rely on them to perform functions that have material cybersecurity risks. Because of the sensitivity of the PHI, PII and other sensitive information we and our service providers collect, store, transmit, and otherwise process and use, the security of our technology platform and other aspects of our services, including those provided or facilitated by our third-party service providers, are important to our operations and business strategy. Measures taken to protect our systems, those of our contractors or third-party service providers, or the PHI, PII or other sensitive information we or contractors or third-party service providers process or maintain (including our requirement that our third-party service providers enter into business associate agreements or other required security agreements, if applicable), may not adequately protect us from the risks associated with the collection, storage, processing and transmission of such sensitive data and information. For example, we may be required to expend significant capital and other resources, such as in the performance of ongoing risk assessments of our and our third-party service providers’ information systems, to protect against cybersecurity breaches or to alleviate problems caused by cybersecurity breaches. Because cyber-attacks are becoming more sophisticated and frequent and the techniques used to obtain unauthorized access or to sabotage systems change frequently and generally are not identified until they are launched against a target, despite the implementation of security measures, we or our third-party service providers may be unable to anticipate these techniques or to implement adequate protective measures.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 cybersecurity breach or other breach or privacy violation that leads to disclosure or unauthorized use or modification of, or that prevents access to or otherwise impacts the confidentiality, security, integrity or availability of, member information, including PHI, PII or other sensitive information we or our contractors or third-party service providers maintain or otherwise process, could harm our reputation and brand, compel us to comply with breach notification laws, and cause us to incur significant costs for remediation, fines, penalties, providing notification to individuals and civil claims. We would need to identify and implement measures intended to repair or replace systems or technology and to prevent future occurrences, and we could face potential increases in insurance premiums. This is of particular risk when considering tight integration with third-party service providers who manage or provide parts of our information systems. If we are unable to prevent or mitigate such security breaches or privacy violations or implement satisfactory remedial measures, or if it is perceived that we have been unable to do so, our operations could be disrupted, we may be unable to provide access to our systems, and we could suffer a loss of members. We may also suffer loss of reputation, adverse impacts on member and investor confidence and financial loss, and we would be exposed to the risk of governmental investigations or other actions, regulatory or contractual penalties, and other claims and liabilities, including liability under laws and regulations that protect the privacy of member information or other personal information, such as HIPAA as well as other federal and state privacy, data security, consumer protection, biometric information, eavesdropping and wiretapping, electronic communications, and data breach notification laws that permit private rights of action or other civil claims. In addition, cybersecurity breaches and other inappropriate access to, or acquisition or processing of, information can be difficult to detect, and any delay in identifying such incidents or in providing any notification of such incidents may lead to increased harm.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Any such breach or interruption of our systems or those of any of our third-party service providers could also result in the compromise of our trade secrets and other proprietary information, which could adversely affect our business and competitive position.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Our service offering is driven by our core operating technology platform, AVA, allowing us to access and analyze comprehensive member data quickly, generating insights and alerts using such data and making recommendations to members and practitioners. AVA and the other systems or networks used in our business may experience an increase in attempted cyber-attacks, targeted intrusion, ransomware and phishing campaigns seeking to take advantage of shifts to employees and healthcare providers working remotely using their household or personal internet networks.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 cybersecurity breach could result in incorrect or delayed medical recommendations and prescriptions, missed alerts and missed opportunities to intervene for our members on a timely basis. Unauthorized access, loss or dissemination could also disrupt our operations, including our ability to perform our services, access member health information, collect, process, and prepare company financial information, provide information about our current and future services and engage in other member and clinician education and outreach efforts. Any of the foregoing could have a material adverse effect on our business, results of operations and financial condition. </w:t>
      </w:r>
    </w:p>
    <w:p>
      <w:pPr>
        <w:pStyle w:val="TextBody"/>
        <w:bidi w:val="0"/>
        <w:spacing w:lineRule="auto" w:line="268" w:before="0" w:after="0"/>
        <w:jc w:val="left"/>
        <w:rPr>
          <w:rFonts w:ascii="Times New Roman;serif" w:hAnsi="Times New Roman;serif"/>
          <w:b/>
          <w:i/>
          <w:color w:val="000000"/>
          <w:sz w:val="18"/>
        </w:rPr>
      </w:pPr>
      <w:r>
        <w:rPr>
          <w:rFonts w:ascii="Times New Roman;serif" w:hAnsi="Times New Roman;serif"/>
          <w:b/>
          <w:i/>
          <w:color w:val="000000"/>
          <w:sz w:val="18"/>
        </w:rPr>
        <w:t>Our use of machine learning and artificial intelligence, including within our AVA platform, may introduce operational, regulatory and legal risks that could adversely affect our business, financial condition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 use machine learning, artificial intelligence (“AI”) and other automated data-analysis technologies in certain aspects of our operations, including within AVA, which aggregates and analyzes member and provider information to generate insights, alerts and recommendations and to support risk adjustment, care management and other activities. AI models may produce inaccurate, incomplete, biased or non-reproducible outputs due to limitations in data quality, model design or changing data patterns, and certain methodologies may lack transparency or explainability. If AI-supported processes adversely affect clinical or operational activities, coding or documentation, risk adjustment, utilization management, quality measurement or member stratification, we could experience reduced revenue, increased medical costs, member harm, regulatory exposure or reputational damage. Our use of AI also increases risks relating to data governance, privacy, cybersecurity and third-party technology dependencies, including risks arising from aggregation and use of sensitive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The legal and regulatory framework governing AI in healthcare and insurance is rapidly evolving. Federal agencies, including HHS and CMS, are developing policies and guidance regarding the governance and permissible uses of AI in healthcare programs, and federal executive actions and proposed or enacted state laws seek to regulate AI use in sensitive or regulated contexts. New or changing AI-related requirements or enforcement priorities could restrict permissible uses of AI in Medicare Advantage or other regulated activities, require additional governance, validation, documentation, transparency or reporting, or increase audit, overpayment, penalty or liability risks. If our AI governance or use practices are determined to be deficient or non-compliant, we could be subject to investigations, sanctions, contractual liability or other adverse consequences.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If any of these risks were to materialize, our operations, regulatory compliance, reputation, financial condition and results of operations could be adversely affected.</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Disruptions in our disaster recovery systems or management continuity planning could limit our ability to operate our business effectively and adequately care for our members.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Our information technology systems facilitate our ability to conduct our business. The functioning of AVA, our technology platform, is critical to our ability to adequately care for our members and drive health outcomes. While we have disaster recovery systems and business continuity plans in place and such plans are reviewed annually as part of our third-party HITRUST certification, there may be disruptions in our disaster recovery systems or the failure of these systems to operate as expected. Such events could, depending on the magnitude of the problem, adversely affect our operating results and the health of our members by limiting our capacity to effectively monitor and control our operations. Despite our implementation of a variety of security measures, our information technology systems could be subject to physical or electronic break-ins or disruptions from unauthorized tampering, fires, power loss, telecommunication failures or any weather-related disruptions where our headquarters is located or at locations that host portions of our technology platform. In addition, in the event that a significant number of our personnel were unavailable in the event of a disaster, our ability to effectively conduct business and adequately care for our members could be adversely affected.</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As a government contractor, we are exposed to risks that may materially adversely affect our business, including the potential loss of CMS contracts, significant changes to the Medicare Advantage and/or Part D programs, potential suspension from participating in the Medicare Advantage program, changes to the risk-adjustment model used to determine the premiums paid to Medicare Advantage plans, changes to provisions for risk sharing under Medicare Part D and risks related to governmental audits and investigations, among others.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 significant portion of our revenue relates, directly or indirectly, to the Medicare Advantage program, which accounted for substantially all of our total revenue for the year ended December 31, 2025. Participating in the Medicare Advantage program exposes us to various risks, as described further below.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As of January 1, 2026, under our contracts with CMS, we provided health insurance coverage to approximately 275,300 individual Medicare Advantage members. Our continued participation in the Medicare Advantage program through these and other contracts is not guaranteed. Our CMS contracts are subject to annual renewal, and CMS must also annually approve our bids for the plans we intend to offer under each contract. The loss of these and other CMS contracts or significant changes to the terms thereof may have a material adverse effect on our business, results of operations and financial condition.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Either Congress or CMS may at any time enact significant changes to the Medicare Advantage program, and these changes may materially impact our profitability. For example, there may be changes to the amount or calculation of our premium payments, the mandated member benefits, or member eligibility criteria without corresponding increases in our premium payments, or the timing of payments. We have no control over these changes, including when or how frequently they are made. In addition, CMS annually establishes benchmark payment rates for Medicare Advantage organizations, and these rates may decrease or not keep pace with our expected medical costs. Any of these, or other, changes to the Medicare Advantage program and our payment rates may have a material adverse effect on our business, results of operations and financial condition.</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CMS may terminate our Medicare Advantage contracts if there is credible evidence that we have committed or participated in false, fraudulent, or abusive activities, including the submission of false or fraudulent data. Additionally, we may be subject to scrutiny under the federal False Claims Act (the “FCA”) for the alleged submission of fraudulent information. As a recipient of federal money, we may be subject to qui tam litigation brought by individuals who seek to sue on behalf of the government, alleging that the recipient submitted false claims to the government. Litigation of this nature is filed under seal to allow the government an opportunity to investigate and to decide if it wishes to intervene and assume control of the litigation. If the government does not intervene, the lawsuit is unsealed, and the individual may continue to prosecute the action on his or her own.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CMS uses a risk-adjustment model which adjusts premiums paid to Medicare Advantage organizations according to the health status of covered members. The risk-adjustment model, which CMS implemented pursuant to the Balanced Budget Act of 1997 and the Benefits Improvement and Protection Act of 2000 (“BIPA”), generally pays more where a plan’s membership has higher expected costs. Under this model, amounts paid to Medicare Advantage organizations are based, in part, on actuarially determined bids, which include a process whereby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00"/>
        <w:jc w:val="left"/>
        <w:rPr>
          <w:rFonts w:ascii="Times New Roman;serif" w:hAnsi="Times New Roman;serif"/>
          <w:b w:val="false"/>
          <w:color w:val="000000"/>
          <w:sz w:val="18"/>
        </w:rPr>
      </w:pPr>
      <w:r>
        <w:rPr>
          <w:rFonts w:ascii="Times New Roman;serif" w:hAnsi="Times New Roman;serif"/>
          <w:b w:val="false"/>
          <w:color w:val="000000"/>
          <w:sz w:val="18"/>
        </w:rPr>
        <w:t>prospective payments are based on our estimated cost of providing standard Medicare-covered benefits to an enrollee with a “national average risk profile.” That baseline payment amount is adjusted to reflect the health status of our enrolled membership. Under the risk-adjustment methodology, all Medicare Advantage organizations must collect and submit the data from hospital inpatient, hospital outpatient, and physician services to CMS within prescribed deadlines. The CMS risk-adjustment model uses the diagnosis data to calculate the risk-adjusted premium payment to Medicare Advantage organizations, which CMS adjusts for coding pattern differences between the health plans and the government fee-for-service program. In certain cases, we rely on providers, including certain providers in our network who are our employees, to code their claim submissions with appropriate diagnoses, which we send to CMS as the basis for our payment received from CMS under the actuarial risk-adjustment model. We also rely on these providers to document appropriately all medical data, including the diagnosis data submitted with claims, and we rely on our technology platform to aggregate, organize, interpret and report such data. In addition, we conduct medical record reviews as part of our data and payment accuracy compliance efforts, to more accurately reflect diagnosis conditions under the risk adjustment model. These compliance efforts include the internal contract level audits described in more detail below, as well as ordinary course reviews of our internal business processes.</w:t>
      </w:r>
    </w:p>
    <w:p>
      <w:pPr>
        <w:pStyle w:val="TextBody"/>
        <w:bidi w:val="0"/>
        <w:spacing w:lineRule="auto" w:line="288" w:before="12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CMS and the Office of the Inspector General of Health and Human Services (“HHS-OIG”), are continuing to perform audits of various companies’ selected Medicare Advantage contracts related to this risk adjustment diagnosis data. We refer to these audits as Risk-Adjustment Data Validation Audits (“RADV audits”). RADV audits review medical records in an attempt to validate provider medical record documentation and coding practices which influence the calculation of premium payments to Medicare Advantage organizations. </w:t>
      </w:r>
    </w:p>
    <w:p>
      <w:pPr>
        <w:pStyle w:val="TextBody"/>
        <w:bidi w:val="0"/>
        <w:spacing w:lineRule="auto" w:line="288" w:before="12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 2012, CMS released a “Notice of Final Payment Error Calculation Methodology for Part C Medicare Advantage Risk Adjustment Data Validation (RADV) Contract-Level Audits.” The payment error calculation methodology provided that, in calculating the economic impact of audit results for a Medicare Advantage contract, if any, the results of the RADV audit sample would be extrapolated to the entire Medicare Advantage contract. Additionally, the estimated payment error rate identified during the audit would be compared to a similar audit of the government’s traditional FFS Medicare program. We refer to the process of accounting for errors in fee-for-service claims as the “FFS Adjuster.” This comparison of RADV audit results to the FFS error rate is necessary to determine the economic impact, if any, of RADV audit results because the government used the traditional fee-for-service Medicare program data set, including any attendant errors that are present in that data set, to estimate the costs of various health status conditions and to set the resulting adjustments to Medicare Advantage plans’ payment rates in order to establish actuarial equivalence in payment rates as required under the Medicare statute. CMS already makes other adjustments to payment rates based on a comparison of coding pattern differences between Medicare Advantage plans and traditional fee-for-service Medicare program data (such as for frequency of coding for certain diagnoses in Medicare Advantage plan data versus the traditional fee-for-service Medicare program dataset). </w:t>
      </w:r>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CMS released a final rule on January 30, 2023, which changes both the use of extrapolation and the application of the FFS Adjuster. Specifically, under the final rule CMS would not extrapolate audit results for any audits covering payment years prior to 2018. Additionally, CMS would not apply any FFS Adjuster in RADV audits. These changes would be expected to have a material impact on Medicare Advantage organizations, including us. In November 2024, CMS announced it had initiated the payment year 2018 RADV audits, and it expected to begin issuing the audit findings in mid-calendar year 2026, including instructions on how the overpayments will be collected as part of the audit. In May 2025, CMS reiterated its focus on RADV audits, noting that the agency planned to complete the payment year 2018 RADV audits by early 2026 and that, going forward, CMS would audit all eligible MA contracts each payment year. However, in September 2025, a federal district court vacated CMS’s 2023 RADV final rule on procedural grounds, creating uncertainty regarding the application of that rule’s audit methodology, including the use of extrapolation and the elimination of the FFS Adjuster, and potentially delaying CMS’s ability to conclude these audits as originally anticipated. The government has filed a notice of appeal in that litigation, and the timing and methodology for issuing findings and any related payment recovery actions remain uncertain.</w:t>
      </w:r>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 addition, as part of our internal compliance efforts, we routinely perform ordinary course reviews of our internal business processes related to, among other things, our risk coding and data submissions in connection with the risk-adjustment model. These reviews may also result in the identification of errors and the submission of corrections to CMS, that may, either individually or in the aggregate, be material. As such, the result of these reviews may have a material adverse effect on our results of operations, financial position, or cash flows. </w:t>
      </w:r>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CMS contracts that cover members’ prescription drugs under Medicare Part D contain provisions for risk sharing and certain payments for prescription drug costs for which we are not at risk. These provisions, certain of which are described below, affect our ultimate payments from CMS. Beginning in 2025, the Inflation Reduction Act (the “IRA”) imposes changes to the Medicare Part D program, including changes to catastrophic coverage, manufacturer discount obligations, and CMS reinsurance subsidies. These changes to tend to increase the portion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prescription drug costs for which we are financially responsible and may increase variability in our ultimate payments from CMS.</w:t>
      </w:r>
    </w:p>
    <w:p>
      <w:pPr>
        <w:pStyle w:val="TextBody"/>
        <w:bidi w:val="0"/>
        <w:spacing w:lineRule="auto" w:line="288" w:before="12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losses or gains are limited by risk corridor provisions which compare costs targeted in our annual bids to our allowable costs under the plan, limited to actual costs that were incurred for the standard coverage as defined by CMS. Variances exceeding certain thresholds may result in CMS making additional payments to us or require us to refund to CMS a portion of the premiums we received (known as a “risk corridor”). We estimate and recognize an adjustment to premiums revenue related to the risk corridor payment settlement based upon pharmacy claims experience. The estimate of the settlement associated with these risk corridor provisions requires us to consider factors that may not be certain, including member eligibility differences with CMS.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Reinsurance and low-income cost subsidies represent payments from CMS in connection with the Medicare Part D program. Pursuant to the IRA, CMS’s share of costs in the catastrophic coverage phase decreased from 80% in 2024 to 20% in 2025, meaning that we are responsible for a greater portion of prescription drug costs above the out-of-pocket threshold. Reinsurance subsidies represent payments for CMS’s portion of claims costs which exceed the member’s out-of-pocket threshold, or the catastrophic coverage level. Low-income cost subsidies represent payments from CMS for all or a portion of the deductible, the coinsurance and co-payment amounts above the out-of-pocket threshold for low-income beneficiaries. Monthly prospective payments from CMS for reinsurance and low-income cost subsidies are based on assumptions submitted with our annual bid. A reconciliation and settlement of CMS’s prospective subsidies against actual prescription drug costs we paid, as well as other factors, is made after the end of the applicable year. </w:t>
      </w:r>
    </w:p>
    <w:p>
      <w:pPr>
        <w:pStyle w:val="TextBody"/>
        <w:bidi w:val="0"/>
        <w:spacing w:lineRule="auto" w:line="288" w:before="12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Settlement of the reinsurance and low-income cost subsidies as well as the risk corridor payment is based on a reconciliation made approximately nine months after the close of each calendar year. This reconciliation process requires us to submit claims data necessary for CMS to administer the program. Our claims data may not pass CMS’s claims edit processes due to various reasons, including discrepancies in eligibility or classification of low-income members. To the extent our data does not pass CMS’s claim edit processes, we may bear the risk for all or a portion of the claim which otherwise may have been subject to the risk corridor provision or payment which we would have otherwise received as a low-income subsidy or reinsurance claim. In addition, in the event the settlement represents an amount CMS owes us, there is a negative impact on our cash flows and financial condition as a result of financing CMS’s share of the risk. The opposite is true in the event the settlement represents an amount we owe CMS.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We are also subject to various other governmental audits and investigations. Under state laws, we are audited by state departments of insurance for financial and contractual compliance and by state departments of health. Audits and investigations, including audits of risk adjustment data, are also conducted by state attorneys general, CMS, HHS-OIG, the Office of Personnel Management, the Department of Justice (“DOJ”) and the Department of Labor. Findings from these audits and investigations could result in, among other things, the loss of licensure or the right to participate in the Medicare Advantage or other programs, a limitation on our ability to market or sell products, a suspension on our ability to enroll new members, a requirement to refund money to the government, the imposition of fines, penalties and other civil and criminal sanctions, or changes in our business practices. The outcome of any current or future governmental or internal investigations cannot be accurately predicted, nor can we predict any resulting penalties, fines or other sanctions that may be imposed at the discretion of federal or state regulatory authorities. Nevertheless, it is possible that any such outcome of litigation, penalties, fines or other sanctions could be substantial, and the outcome of these matters may have a material adverse effect on our results of operations, financial position, and cash flows. Responding to subpoenas, investigations and other lawsuits, claims and legal proceedings as well as defending ourselves in such matters would divert management’s attention and cause us to incur significant legal expense. Negative findings or terms and conditions that we might agree to accept as part of a negotiated resolution of pending or future legal or regulatory matters could result in, among other things, substantial financial penalties or awards against us, substantial payments made by us, required changes to our business practices, exclusion from future participation in the Medicare Advantage Programs and, in certain cases, criminal penalties, any of which could have a material adverse effect on us. Certain of these matters could also affect our reputation. In addition, disclosure of any adverse investigation or audit results or sanctions could negatively affect our industry or our reputation in various markets and make it more difficult for us to sell our products and services.</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The Inflation Reduction Act of 2022 contains several provisions that affect the Part D program. These changes may require us to change our prescription drug offerings, reduce our profitability, and otherwise impact our financial performance.</w:t>
      </w:r>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The Inflation Reduction Act of 2022 (“IRA”), signed into law on August 16, 2022, reflects an ongoing effort to control prescription drug costs and reduce spending by the federal government. The IRA contains several provisions that impact the Part D program and that may influence our benefit design and profitability. For example, beginning in 2024, Part D plans were required to eliminate member cost-sharing in the catastrophic phase of the benefit, and beginning in 2025, the coverage gap phase was eliminated. For 2026, Part D plans must also implement a cap on member out-of-pocket spending of $2,100. These changes have the potential to increase the financial responsibility of Part D plan sponsors. Furthermore, Part D plans must offer enrollees the option to pay out-of-pocket prescription drug costs in the form of capped monthly payments through the Medicare Prescription Payment Plan instead of all at once at the pharmacy.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This may increase administrative burdens for plans by requiring new payment tracking systems and risk management strategies. Finally, 2026 is the first year that CMS will implement negotiated prices on certain high-cost Part D drugs, and Part D plans must include these drugs on their formularies at the maximum fair price. These changes may significantly alter the plans that we offer and may adversely affect our business, results of operations and financial condition.</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We may be subject to legal proceedings and litigation, including intellectual property and privacy disputes, which are costly and could materially harm our business and results of operations.</w:t>
      </w:r>
    </w:p>
    <w:p>
      <w:pPr>
        <w:pStyle w:val="TextBody"/>
        <w:bidi w:val="0"/>
        <w:spacing w:lineRule="auto" w:line="288" w:before="200" w:after="200"/>
        <w:jc w:val="left"/>
        <w:rPr/>
      </w:pPr>
      <w:r>
        <w:rPr>
          <w:rFonts w:ascii="Times New Roman;serif" w:hAnsi="Times New Roman;serif"/>
          <w:b w:val="false"/>
          <w:color w:val="000000"/>
          <w:sz w:val="18"/>
        </w:rPr>
        <w:t>We may be party to lawsuits and legal proceedings in or outside of the normal course of business, whether initiated by third parties or by us. These matters are often expensive and disruptive to normal business operations. We may face allegations, lawsuits and regulatory inquiries, audits and investigations regarding the denial of healthcare benefit payments, compensation or non-acceptance or termination of provider contracts, medical malpractice (based on our medical necessity decisions or brought against us on the theory that we are liable for providers’ alleged malpractice) or professional liability (in connection with the delivery of healthcare and related services to the public). We may initiate litigation or administrative proceedings, including, without limitation, to address regulatory matters or to protect our intellectual property. We may be subject to class-action lawsuits, shareholder derivative suits, or other litigation arising from alleged violations of federal or state securities laws or of Delaware corporate law. We may also face</w:t>
      </w:r>
      <w:r>
        <w:rPr>
          <w:color w:val="000000"/>
        </w:rPr>
        <w:t xml:space="preserve"> </w:t>
      </w:r>
      <w:r>
        <w:rPr>
          <w:rFonts w:ascii="Times New Roman;serif" w:hAnsi="Times New Roman;serif"/>
          <w:b w:val="false"/>
          <w:i/>
          <w:color w:val="000000"/>
          <w:sz w:val="18"/>
        </w:rPr>
        <w:t>qui</w:t>
      </w:r>
      <w:r>
        <w:rPr>
          <w:color w:val="000000"/>
        </w:rPr>
        <w:t xml:space="preserve"> </w:t>
      </w:r>
      <w:r>
        <w:rPr>
          <w:rFonts w:ascii="Times New Roman;serif" w:hAnsi="Times New Roman;serif"/>
          <w:b w:val="false"/>
          <w:i/>
          <w:color w:val="000000"/>
          <w:sz w:val="18"/>
        </w:rPr>
        <w:t xml:space="preserve">tam </w:t>
      </w:r>
      <w:r>
        <w:rPr>
          <w:rFonts w:ascii="Times New Roman;serif" w:hAnsi="Times New Roman;serif"/>
          <w:b w:val="false"/>
          <w:color w:val="000000"/>
          <w:sz w:val="18"/>
        </w:rPr>
        <w:t xml:space="preserve">allegations or lawsuits brought by individuals who seek to sue on behalf of the government including, among other allegations, resulting from coding and review practices under the Medicare Advantage risk-adjustment model.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We also may be subject to lawsuits under the FCA and comparable state laws for submitting allegedly fraudulent or otherwise inappropriate risk adjustment or Stars data. These lawsuits, which may be initiated by government authorities as well as private party relators, can involve significant monetary damages, fines, attorney fees and the award of bounties to private plaintiffs who successfully bring these suits, as well as to the government programs. In recent years, government oversight and law enforcement have become increasingly active and aggressive in investigating and taking legal action against potential fraud, waste and abuse. Fraud, waste, and abuse prohibitions encompass a wide range of activities, including kickbacks for referral of members, fraudulent coding practices, billing for unnecessary medical and/or other covered services, improper marketing and violations of patient privacy rights. The DOJ and the Department of Health and Human Services Office of Inspector General (“OIG”), have recently increased their scrutiny of healthcare payers and providers, and Medicare Advantage insurers, under the federal FCA, in particular, and there have been a number of investigations, prosecutions, convictions and settlements in the healthcare industry. The FCA provides for treble damages and significant mandatory minimum penalties for each false claim or statement. Healthcare plans and providers thus often seek to resolve these types of allegations through settlement for significant and material amounts, including in circumstances where they do not acknowledge or admit liability, to avoid the uncertainty of treble damages that may be awarded in litigation proceedings. Such settlements often contain additional compliance and reporting requirements as part of a consent decree or settlement agreement, including, for example, corporate integrity agreements.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Additionally, we may face allegations, lawsuits and regulatory inquiries, audits and investigations regarding data privacy and security, labor and employment, consumer protection and intellectual property infringement, misappropriation or other violation, including claims related to patents, publicity, trademarks, copyrights and other intellectual property or proprietary rights. We may also face allegations or litigation related to our acquisitions, securities issuances or business practices, including public disclosures about our business.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Litigation and regulatory proceedings may be protracted and expensive, and the results are difficult to predict. Certain of these matters may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services or require us to stop serving certain members or geographies, all of which could negatively impact our geographical expansion and revenue growth. We may also become subject to periodic audits, which would likely increase our regulatory compliance costs and may require us to change our business practices, which could negatively impact our revenue growth. Managing legal proceedings, litigation and audits, even if we achieve favorable outcomes, is time-consuming and diverts management’s attention from our business. Accordingly, such proceedings could harm our reputation, business, financial condition, results of operations and the market price of our common stock.</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Although we maintain third-party professional liability insurance coverage and managed care errors and omissions policies, it is possible that claims against us may exceed the coverage limits of our insurance policies. Even if any professional liability loss is 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with or without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Our business may be adversely impacted if the healthcare services industry becomes more cyclical.</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 the past, healthcare utilization generally has trended upward over time, regardless of minor fluctuations in the U.S. economy. We believe this trend may change, however, as consumers have been given more decision-making and spending responsibility. In turn, we believe members are making healthcare purchases on a more discretionary basis, especially for elective procedures. This could result in a more cyclical trend in healthcare utilization over the coming years and may cause short-term volatility in our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Any failure by us to manage acquisitions, joint ventures, divestitures and other significant transactions successfully may have a material adverse effect on our results of operations, financial position, and cash flows.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As part of our business strategy, we engage in discussions with third parties regarding possible investments, acquisitions, divestitures, strategic alliances, joint ventures, and outsourcing transactions and may enter into agreements relating to such transactions in order to further our business objectives. Such transactions may not always align properly with our strategic objectives and may not deliver the expected benefits within the timeframes anticipated or at all. In order to pursue our acquisition strategy successfully, we must identify suitable candidates for and successfully complete transactions, some of which may be large and complex, and manage post-closing issues such as the integration of acquired companies or employees. Integration and other risks can be more pronounced for larger and more complicated transactions, transactions outside of our core business space, or if multiple transactions are pursued simultaneously. Delays or difficulties in aligning key integration elements may result in operational disruptions, decreased productivity, and the failure to realize anticipated synergies, leading to a negative impact on financial performance. Moreover, the failure to successfully integrate acquired entities and businesses or failure to produce results consistent with the financial model used in the analysis of our acquisitions, investments, joint ventures or strategic alliances may cause asset write-offs, restructuring costs or other expenses and may have a material adverse effect on our results of operations, financial position, and cash flows. Acquisitions and joint ventures may expose us to legal and regulatory risks, including compliance with antitrust laws, contractual obligations, and other regulatory requirements. Failure to navigate these complexities may result in legal disputes, regulatory scrutiny, or financial penalties. If we fail to identify and successfully complete transactions that further our strategic objectives, we may be required to expend additional resources to expand our business organically.</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If we are not able to maintain, enhance and protect our reputation and brand recognition, including through the maintenance and protection of trademarks, our business and results of operations will be harmed.</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We believe that maintaining and enhancing our reputation and brand recognition is critical to our relationships with both members and providers and to our ability to attract new members. The promotion of our brand may require us to make substantial investments and we anticipate that, as our market becomes increasingly competitive, these marketing initiatives may become increasingly difficult and expensive. Moreover, our current marketing efforts to date have been limited to certain geographic regions and markets where our business operates to facilitate the efficient use of resources. If we grow nationally, we will need to spend additional resources to build strong national brand recognition and our efforts may not be effective. Our marketing activities may not be successful or yield increased revenue, and to the extent that these activities yield increased revenue, the increased revenue may not offset the expenses we incur and our results of operations could be harmed.</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Any factor that diminishes our reputation or that of our management, including failing to meet the expectations of or provide quality service to our members, or any adverse publicity or litigation involving or surrounding us or our management, could make it substantially more difficult for us to attract new members and retain existing members. Similarly, because our existing members often act as references for us with prospective new members, any existing member that questions the quality of our care could impair our ability to secure additional new members. In addition, negative publicity resulting from any adverse government audit could injure our reputation. If we do not successfully maintain and enhance our reputation and brand recognition, our business may not grow and we could lose our relationships with members or providers, which would harm our business, results of operations and financial condition.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The registered or unregistered trademarks or trade names that we own may be challenged, infringed, circumvented, diluted, declared generic, lapsed or determined to be infringing on or dilutive of other marks. We may not be able to protect our rights in these trademarks and trade names, which we need in order to build name recognition with members, providers and other partners. In addition, third parties may in the future file for registration of trademarks similar or identical to our trademarks. If they succeed in registering or developing common law rights in such trademarks, and if we are not successful in challenging such third-party rights, we may not be able to use these trademarks to commercialize our technologies in certain relevant jurisdictions. If we are unable to establish name recognition based on our trademarks and trade names, we may not be able to compete effectively and our brand recognition, reputation and results of operations may be adversely affected.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Our business depends on our ability to effectively invest in, implement improvements to and properly maintain the uninterrupted operation and data integrity of our information technology platform and other business systems.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business is highly dependent on maintaining effective information systems, including our AVA platform, as well as the integrity and timeliness of the data we use to serve our members, support our in-house care teams and external providers and operate our business. Because of the large amount of data that we collect and manage, it is possible that hardware failures or errors in our systems could result in data loss or corruption or cause the information that we collect to be incomplete or contain inaccuracies that our in-house care teams, external providers and other partners regard as significant. If our data were found to be inaccurate or unreliable due to fraud or other error, or if we, or any of the providers we engage, were to fail to maintain information systems and data integrity effectively, we could experience operational disruptions that may impact our members, in-house care teams and external providers and other partners and hinder our ability to provide products and services, retain and attract members, manage our member risk profiles, report timely and accurate financial results and maintain regulatory compliance, among other things.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Natural disasters or widespread civic disruptions could also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 supply chain of hardware required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their systems and services, any of which could materially adversely affect our business. Limitations on access or disruptions to services provided by some of the external care providers upon which our platform and business operations rely could interrupt our ability to provide our platform, decrease the productivity of our workforce and provider networks, and significantly harm our business operations, financial condition and results of operations.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Our information technology strategy and execution are critical to our continued success because our technology platform is at the center of our business model. We must continue to invest in long-term solutions that will enable us to anticipate member needs and expectations, enhance the member experience, act as a differentiator in the market and protect against cybersecurity risks and threats. Our success is dependent, in large part, on maintaining the effectiveness of existing technology systems and continuing to deliver and enhance technology systems that support our business processes in a cost-efficient and resource-efficient manner. Increasing regulatory and legislative changes will place additional demands on our information technology infrastructure that could have a direct impact on resources available for other projects tied to our strategic initiatives. In addition, continued trends toward greater member engagement and increased regulatory scrutiny in healthcare require new and enhanced technologies. Connectivity among technologies is becoming increasingly important. We must also develop new systems to meet current market standards and keep pace with continuing changes in information processing technology, evolving industry and regulatory standards and member needs. Failure to do so may present compliance challenges and impede our ability to deliver products and services in a competitive manner. Further, because system development projects are long-term in nature, they may be more costly than expected to complete and may not deliver the expected benefits upon completion. Our failure to effectively invest in, implement improvements to and properly maintain the uninterrupted operation and data integrity of our information technology and other business systems could adversely affect our business, financial condition and results of operations.</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If we are unable to obtain, maintain, protect and enforce intellectual property protection for our technology or if the scope of our intellectual property protection is not sufficiently broad, others may be able to develop and commercialize technology substantially similar to ours, and our ability to successfully commercialize our technology may be adversely affected.</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Our business depends on internally developed technology and content, including software, databases, confidential information and know-how, such as the AVA platform, the protection of which is crucial to the success of our business. We rely on a combination of trademark, trade secret and copyright laws and confidentiality procedures and contractual provisions to protect our intellectual property rights in our internally developed technology and content. We may, over time, increase our investment in protecting our intellectual property through additional trademark, patent and other intellectual property filings that could be expensive and time-consuming. Effective trademark, trade secret, copyright and other intellectual property protection is expensive to develop and maintain, both in terms of initial and ongoing registration requirements and the costs of defending our rights. These measures, however, may not be sufficient to offer us meaningful protection. Additionally, we do not currently hold a patent or other registered or applied for intellectual property protection for AVA. If we are unable to protect our intellectual property and other proprietary rights, particularly with respect to AVA, our competitive position and our business could be harmed, as third parties may be able to commercialize and use technologies and software products that are substantially the same as ours without incurring the development and licensing costs that we have incurred. Any of our owned or licensed intellectual property rights could be challenged, invalidated, circumvented, infringed, misappropriated or otherwise violated, our trade secrets and other confidential information could be disclosed in an unauthorized manner to third parties, or our intellectual property rights may not be sufficient to permit us to take advantage of current market trends or otherwise to provide us with competitive advantages, which could result in costly redesign efforts, discontinuance of certain offerings or other competitive harm.</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Monitoring unauthorized use of our intellectual property is difficult and costly. From time to time, we seek to analyze our competitors’ services, and may in the future seek to enforce our rights against potential infringement, misappropriation or other violation. However, the steps we have taken to protect our intellectual property rights may not be adequate to prevent infringement, misappropriation or other violation of our intellectual property. We may not be able to detect unauthorized use of, or take appropriate steps to enforce, our intellectual property rights. Any inability to meaningfully protect our intellectual property rights could result in harm to our ability to compete and reduce demand for our technology. Moreover, our failure to develop and properly manage new intellectual property could adversely affect our market positions and business opportunities. Also, some of our services rely on technologies and software developed by or licensed from third parties, and we may not be able to maintain our relationships with such third parties or enter into similar relationships in the future on reasonable terms or at all.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Uncertainty may result from changes to intellectual property legislation and from interpretations of intellectual property laws by applicable courts and agencies. Accordingly, despite our efforts, we may be unable to obtain, maintain, protect and enforce the intellectual property rights necessary to provide us with a competitive advantage. Our failure to obtain, maintain, protect and enforce our intellectual property rights could therefore have a material adverse effect on our business, financial condition and results of operations.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If we are unable to protect the confidentiality of our trade secrets, know-how and other proprietary and internally developed information, the value of our technology could be adversely affected.</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may not be able to protect our trade secrets, know-how and other internally developed proprietary information, including in relation to the AVA platform, adequately. Although we use reasonable efforts to protect this internally developed information and technology, our employees, consultants and other parties (including independent contractors and companies with which we conduct business) may unintentionally or willfully disclose our trade secrets or other proprietary information or technology to competitors. Enforcing a claim that a third party illegally disclosed or obtained and is using any of our internally developed information or technology is difficult, expensive and time-consuming, and the outcome is unpredictable. In addition, courts outside the United States are sometimes less willing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to protect trade secrets, know-how and other proprietary information. We rely, in part, on non-disclosure, confidentiality and assignment-of-invention agreements with our employees, independent contractors, consultants and companies with which we conduct business to protect our trade secrets, know-how and other intellectual property and internally developed information. We may fail to enter into such agreements with all applicable parties, and such agreements may not be self-executing, or they may be breached and we may not have adequate remedies for such breach. Moreover, third parties may independently develop similar or equivalent proprietary information or reverse-engineer or otherwise gain access to our trade secrets, know-how and other internally developed information. Any of the foregoing could have a material adverse effect on our business, financial condition and results of operations.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Any restrictions on our use of, or ability to license, data, or our failure to license data and integrate third-party technologies, could have a material adverse effect on our business, financial condition and results of operations.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We depend upon licenses from third parties for some of the technology and data used in AVA, our core operating technology platform. We may be unsuccessful in maintaining those licenses, and in such an event, it is possible that alternative technology may not be available for license on favorable terms or at all. Moreover, we expect that we may need to obtain additional licenses from third parties in the future in connection with the development of our applications. In addition, we obtain a portion of the data that we use from government entities, public records, external healthcare providers and other partners. We believe that we have all rights necessary to use the data that is incorporated into our services. We cannot, however, assure you that our licenses for information will allow us to use that information for all potential or contemplated applications.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 addition, our ability to continue to offer an integrated healthcare experience to our members depends on maintaining AVA, which is partially populated with data disclosed to us by our members, the physicians in our network and our other partners with their consent. If these members, physicians and other partners revoke their consent for us to maintain, use, de-identify and share this data, consistent with applicable law, our data assets could be degraded.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 the future, data providers could withdraw their data from us or restrict our usage for any reason, including if there is a competitive reason to do so, if legislation is passed restricting the use of the data or if judicial interpretations are issued restricting use of the data that we currently use to support our services. In addition, data providers could fail to adhere to our quality control standards in the future, causing us to incur additional expense to appropriately utilize the data. If a substantial number of data providers were to withdraw or restrict their data, or if they fail to adhere to our quality control standards, and if we are unable to identify and contract with suitable alternative data suppliers and integrate these data sources into our service offerings, our ability to provide appropriate services to our members would be materially adversely impacted, which could have a material adverse effect on our business, financial condition and results of operations.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also integrate into our internally developed applications and use third-party software to support our technology infrastructure. Some of this software is proprietary and some is open-source software. These technologies may not be available to us in the future on commercially reasonable terms or at all and could be difficult to replace once integrated into our own internally developed applications. Most of these licenses can be renewed only by mutual consent and may be terminated if we breach the terms of the license and fail to cure the breach within a specified period of time. Our inability to obtain, maintain or comply with any of these licenses could delay development until equivalent technology can be identified, licensed and integrated, which would harm our business, financial condition and results of operations.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third-party licenses are generally non-exclusive and our competitors may obtain the right to use any of the data and technology covered by these licenses to compete directly with us. Our use of third-party technologies exposes us to increased risks, including, but not limited to, risks associated with the integration of new technology into our solutions, the diversion of our resources from development of our own internally developed technology and our inability to generate revenue from licensed technology sufficient to offset associated acquisition and maintenance costs. In addition, if our data suppliers choose to discontinue support of the licensed technology in the future, we might not be able to modify or adapt our own solutions.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Our use of “open-source” software could adversely affect our ability to offer our products and services and subject us to possible litigation.</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may use open-source software in connection with our services. Companies that incorporate open-source software into their technologies have, from time to time, faced claims challenging the use of open-source software and/or compliance with open-source license terms. As a result, we could be subject to suits by parties claiming ownership of what we believe to be open-source software or claiming noncompliance with open-source licensing terms. Some open-source software licenses require users who distribute software containing open-source software to publicly disclose all or part of the source code to such software and/or make available any derivative works of the open-source code, which could include valuable proprietary code of the user, on unfavorable terms or at no cost. While we monitor the use of open-source software and try to ensure that none is used in a manner that would require us to disclose our internally developed source code, including that of our AVA platform, or that would otherwise breach the terms of an open-source agreement, such use could inadvertently occur, in part because open-source license terms are often ambiguous. In addition to risks related to license requirements, use of certain open-source software can lead to greater risks than use of third-party commercial software, as open-source licensors generally do not provide warranties or controls on the origin of software which, thus, may contain security vulnerabilities, such as the Log4j vulnerability in November 2021, or infringing or broken code. Any requirement to publicly disclose our internally developed source code or pay damages for breach of contract could have a material adverse effect on our business, financial condition and results of operations and could help our competitors develop services that are similar to or better than ours.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We depend on our senior management team and other key employees, and the loss of one or more of these employees or an inability to attract and retain other highly skilled employees could harm our business.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Our success depends largely upon the continued services of our senior management team and other key employees. We rely on our leadership team's deep expertise and industry experience in the areas of operations, product development, provision of medical services, information technology and security, marketing, and general and administrative functions. From time to time, there may be changes in our executive management team resulting from the hiring or departure of executives, which could disrupt our business. Our employment agreements with our executive officers and other key personnel do not require them to continue to work for us for any specified period and, therefore, they could terminate their employment with us at any time. Furthermore, volatility in our stock price may affect our ability to attract and retain replacements should key personnel depart.</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The loss of one or more of the members of our senior management team, or other key employees, could cause disruptions in or harm to our business, and replacing any such employees would entail significant time and cost. In particular, the loss of the services of our founder and Chief Executive Officer, John Kao, could significantly delay or prevent the achievement of our strategic objectives. We currently do not have “key person” insurance on any of our employees.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Competition for highly qualified personnel is intense, especially for technology specialists and for physicians, nurses and other medical professionals who are experienced in providing care services to older adults. We have, from time to time, experienced, and we expect to continue to experience, difficulty in hiring and retaining employees with appropriate qualifications. Many of the other Medicare Advantage plans and healthcare organizations with which we compete for experienced personnel have greater resources than we have. If we hire employees from competitors or other companies or healthcare providers, their former employees may attempt to assert that these employees or we have breached certain legal obligations, resulting in a diversion of our time and resources. If we fail to attract new personnel or fail to retain and motivate our current personnel, our business and future growth prospects could be harmed.</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Our membership is concentrated in a limited number of U.S. states, and so we are subject to risks associated with our geographic concentration, including unanticipated changes in population morbidity, which could significantly increase utilization rates and medical costs.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A substantial portion of our revenue is driven by CMS payments in connection with our health plans in California, North Carolina, Nevada, Arizona and Texas, with approximately 84% of our members concentrated in California as of December 31, 2025. As a result, our exposure to many of the risks described herein is not mitigated by a diversification of geographic focus. Unfavorable changes in healthcare or other benefit costs or reimbursement rates or increased competition in these areas or any other geographic area where our membership becomes concentrated in the future could therefore have a disproportionately adverse effect on our operating results. Furthermore, due to the concentration of our operations in these states and in California in particular, our business may be adversely affected by economic, health or other conditions that disproportionately affect these states as compared to other states (e.g., outbreaks of infectious disease) or by natural disasters such as major earthquake, wildfire or hurricane. Any of these factors could have a significant impact on the health of a large number of our covered members, access to care may be more difficult and proposed responses, including telehealth, may not be available. Moreover, regulatory changes undertaken in response to such events could require us to cover health care costs for members for which we would not typically be responsible.</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To continue to diversify our operations we will have to expand to other regions of the United States, which will require us to devote resources to identifying and exploring such perceived opportunities. We may not be able to continue to successfully expand our operations in any new geographic markets and so we may remain subject to the risks presented by our geographic concentration.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Competition for physicians and nurses, shortages of qualified personnel or other factors could increase our labor costs and adversely affect our revenue, profitability and cash flows.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Although we primarily contract with external providers for care delivery, we also employ physicians and other healthcare professionals to deliver in-house care. Our in-house care delivery operations are dependent on the efforts, abilities and experience of those employees. We compete with healthcare providers, hospitals, clinics, networks and other facilities in attracting physicians, nurses and medical staff to support our in-house care delivery capabilities and in recruiting and retaining qualified management and support personnel to be responsible for the daily operations of our clinical care teams.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In some markets, the lack of availability of clinical personnel, such as nurses, social workers and mental health professionals, is a significant operating issue facing all healthcare providers and others seeking to employ such personnel. Any shortage of personnel may require us to continue to enhance wages and benefits to recruit and retain qualified personnel or to contract for more expensive temporary personnel. We also depend on the available labor pool of semi-skilled and unskilled workers in each of the markets in which we operate. Our failure to recruit and retain qualified clinical and other medical personnel could have a material adverse effect on our business, financial condition and results of operations.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Any union activity that may occur among our clinical staff in the future could contribute to increased labor costs. Certain proposed changes in federal labor laws and the National Labor Relations Board’s modification of its election procedures could increase the likelihood of employee unionization attempts. Although none of our employees are currently represented by a collective bargaining agreement, to the extent a significant portion of our employee base unionizes, it is possible our labor costs could increase materially.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If our labor costs increase, we may not be able to offset these increased costs. Because a significant percentage of our revenue consists of fixed, prospective payments, our ability to pass along increased labor costs is limited. In particular, if labor costs rise at an annual rate greater than our net annual payments from CMS, our results of operations and cash flows will likely be adversely affected.</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If our records, including those submitted to us by our external providers, contain inaccurate or unsupportable information regarding risk adjustment scores of members, we might overstate or understate our revenue and be subject to various penalties.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The RAF scores attributable to our members determine, in part, the revenue to which we are entitled for the provision of medical care to our members. The data we submit to CMS is based, in part, on medical charts and diagnosis codes that our in-house clinical staff and our external providers prepare and submit to us. We generally rely on our in-house and externally engaged physicians to appropriately document and support such RAF data in our medical records. We also rely on our in-house and externally engaged physicians to appropriately code claims for medical services provided to members. If the providers do not provide us with accurate and supportable coding and diagnosis information, we may not be able to accurately estimate our revenue and medical costs associated with providing care to our members. If the data suggests the members are sicker than they actually are, we may overstate our revenue and overstate our costs. If the data suggests the members are healthier than they actually are, we may understate our revenue and underestimate our costs. Erroneous and/or unsupported submissions could result in a correction or retroactive adjustment in later periods. This corrected or adjusted information may be reflected in financial statements for periods subsequent to the period in which the revenue was recorded. We might also need to refund a portion of the revenue that we received, which refund, depending on its magnitude, could have a material adverse effect on our business, financial condition and results of operations.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Additionally, CMS audits Medicare Advantage organizations for documentation to support RAF-related payments for members. The Medicare Advantage organizations ask providers to submit the underlying documentation for members that they serve. It is possible that claims associated with members with higher RAF scores could be subject to more scrutiny in a CMS or plan audit. CMS may impose penalties as a result of its audits. In addition, we could be liable for penalties to the government under the FCA that range from $5,500 to $11,000 (adjusted for inflation) for each false claim, plus up to three times the amount of damages caused by each false claim, which can be as much as the amounts received directly or indirectly from the government for each such false claim. On July 3, 2025, the DOJ issued a final rule announcing adjustments to FCA penalties, under which the per claim penalty range was increased to a range from $14,308 to $28,619 for penalties assessed after July 3, 2025 with respect to violations occurring after November 2, 2015. As discussed above, there is ongoing litigation regarding CMS’s 2023 RADV final rule, which would allow CMS to extrapolate findings in RADV audits, potentially leading to much larger recoveries.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 addition to the provisions of the FCA, which provide for civil enforcement, the federal government can use several criminal statutes to prosecute persons who are alleged to have submitted false or fraudulent claims for payment to the federal government.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Our health plans may be randomly selected or targeted for review by CMS and the outcome of such a review may result in a material adjustment in our revenue and profitability.</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A failure to accurately estimate incurred but not reported medical expense could adversely affect our results of operations.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Member care costs include estimates of future medical claims that have been incurred by the members but for which the provider has not yet billed. These claim estimates are made utilizing actuarial methods and are continually evaluated and adjusted by management, based upon our historical claims experience and other factors, including an independent assessment by a nationally recognized actuarial firm. Adjustments, if necessary, are made to medical claims expense and capitated revenues when the assumptions used to determine our claims liability change and when actual claim costs are ultimately determined.</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Due to the inherent uncertainties associated with the factors used in these estimates and changes in the patterns and rates of medical utilization, materially different amounts could be reported in our financial statements for a particular period under different conditions or using different, but still reasonable, assumptions. It is possible that our estimates of this type of claim may be inadequate in the future. In such event, our results of operations could be adversely impacted. Further, the inability to estimate these claims accurately may also affect our ability to take timely corrective actions, further exacerbating the extent of any adverse effect on our results of operations.</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Negative publicity regarding the managed healthcare industry generally could adversely affect our results of operations or business.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Negative publicity regarding the managed healthcare industry generally, or the Medicare Advantage program in particular, may result in increased regulation and legislative review of industry practices that further increase our costs of doing business and adversely affect our results of operations or business by:</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requiring us to change our products and services;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increasing the regulatory, including compliance, burdens under which we operate which, in turn, may negatively impact the manner in which we provide products and services and increase our costs of providing products and services;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adversely affecting our ability to market our products or services through the imposition of further regulatory restrictions regarding the manner in which plans and providers market to and communicate with Medicare Advantage enrollees;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adversely affecting our ability to attract and retain members.</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Federal reductions in Medicare Advantage funding could adversely affect our financial condition and results of operations.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The majority of our revenues come from the government-subsidized Medicare Advantage program. Medicare Advantage is a federally administered program financed in part by federal funds. The federal government has instituted measures aimed at controlling the growth of and/or reducing healthcare spending, including Medicare Advantage spending. We are exposed to financial risks associated with contracting with the federal government, including but not limited to our dependence upon Congress and CMS’ robustly funding the Medicare Advantage program and the impact that delays in government payments could have on our operating cash flow and liquidity.</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For example, future levels of funding for Medicare Advantage may be affected by continuing government efforts to contain healthcare costs and may further be affected by federal budgetary constraints. Congress periodically considers reducing or reallocating the amount of money the federal government spends on healthcare programs including the Medicare Advantage program, and CMS annually sets the rates and other financial factors that influence the amount of money Medicare Advantage organizations receive from the government. Furthermore, Medicare remains subject to the automatic spending reductions imposed by the Budget Control Act of 2011 and the American Taxpayer Relief Act of 2012 (“sequestration”), subject to a 2% cap, which has been extended several times, most recently by the Consolidated Appropriations Act of 2023, and is effective through 2032 with respect to Medicare benefit payments (i.e., all payments for programs and activities under Title XVIII of the Social Security Act). Adverse economic conditions may put pressures on federal budgets as tax and other federal revenues decrease while the population that is eligible to participate in Medicare Advantage programs increases, creating more need for funding. This may require Congress and/or CMS to seek to reduce Medicare Advantage spending, which may result in reductions in funding for the Medicare Advantage program or contraction of covered benefits. A reduction (or less than expected increase), a protracted delay, or a change in allocation methodology in government funding for Medicare Advantage, as well as termination of one or more CMS contracts, may materially and adversely affect our results of operations, financial position and cash flows.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In addition, if another federal government shutdown were to occur for a prolonged period of time, CMS payment obligations, including its obligations under the Medicare Advantage program, may be delayed. If CMS fails to make payments on a timely basis, our business could suffer, and our financial position, results of operations or cash flows may be materially affected.</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Delays in obtaining, or failure to obtain or maintain, governmental approvals, or moratoria imposed by regulatory authorities, could adversely affect our revenues or membership, increase costs or adversely affect our ability to bring new products and services to market as forecasted.</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The centers out of which our external providers operate and the facilities that host our AVA platform may be negatively impacted by weather and other factors beyond our control.</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Our results of operations may be adversely impacted by adverse conditions affecting the centers out of which our external care providers operate, and the facilities that host our AVA platform, including severe weather events such as tornadoes and widespread winter storms, natural disasters such as earthquakes and fires, public health concerns such as infectious disease outbreaks, violence or threats of violence or other factors beyond our control. Any of these events could cause disruption of member scheduling, displacement of our members, employees and care teams, or force certain of our providers’ centers, or facilities that host our AVA platform to close temporarily. In certain geographic areas, we have a large concentration of clinics, external provider facilities, and facilities that host our AVA platform that may be simultaneously affected by adverse weather conditions or other events. Our future operating results may be adversely affected by these and other factors that disrupt the operation of the centers out of which our external providers operate and the facilities that host our AVA platform.</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If we are unable to offer new and innovative products and services or our products and services fail to keep pace with advances in industry standards, technology and our members’ needs, our members may terminate or fail to renew their membership with us and our revenue and results of operations may suffer.</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Our success depends on providing innovative, high-quality, customizable products and services that elevate our members’ healthcare experience and outcomes. If we cannot adapt to rapidly evolving industry standards, technology and increasingly sophisticated and varied members’ needs, our existing product and service offerings could become undesirable, obsolete or harm our reputation. In order to remain competitive, we must continue to invest significant resources in our personnel and technology in a timely and cost-effective manner in order to enhance our existing products and services and introduce new high-quality products and services that existing members and potential members will want. We are continually involved in a number of projects to develop new products and services, including the further refinement of our proprietary AVA platform. If our innovations are not responsive to the needs of our existing members or potential new members, are not appropriately timed with market opportunity, are not effectively brought to market or significantly increase our operating costs, we may lose existing members or be unable to enroll new members and our results of operations may suffer.</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We are a holding company with no operations of our own, and we depend on our subsidiaries for cash.</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Currently, we are a holding company and do not have any material assets or operations other than ownership of equity interests of our subsidiaries. Our operations are conducted almost entirely through our subsidiaries, and our ability to generate cash to meet our obligations or to pay dividends is highly dependent on the earnings of, and receipt of funds from, our subsidiaries through dividends,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administrative expenses or intercompany loans. The ability of our subsidiaries to generate sufficient cash flow from future operations to allow us and them to make scheduled payments on our obligations will depend on their future financial performance, which will be affected by a range of economic, competitive and business factors, many of which are outside of our control. We cannot assure you that the cash flow and future earnings of our operating subsidiaries will be adequate for our subsidiaries to service their debt obligations. If our subsidiaries do not generate sufficient cash flow from future operations to satisfy corporate obligations, we may have to: undertake alternative financing plans (such as refinancing), restructure debt, sell assets, reduce or delay capital investments, or seek to raise additional capital. We cannot assure you that any such alternative refinancing would be possible, that any assets could be sold, or, if sold, of the timing of the sales and the amount of proceeds realized from those sales, that additional financing could be obtained on acceptable terms, if at all, or that additional financing would be permitted under the terms of our various debt instruments then in effect. Our inability to generate sufficient cash flow to satisfy our obligations, or to refinance our obligations on commercially reasonable terms, would have an adverse effect on our business, financial condition and results of operations. Furthermore, we and our subsidiaries may incur substantial additional indebtedness in the future that may severely restrict or prohibit our subsidiaries from making distributions, paying dividends or making loans to us.</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Our ability to obtain funds from certain of our licensed subsidiaries is restricted by state insurance regulations.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Our MA plans are operated through regulated insurance subsidiaries in various states. These subsidiaries are subject to state regulations that, among other things, require the maintenance of minimum levels of statutory capital or tangible net equity, as defined by each state. The states in which our subsidiaries operate regulate the payment of dividends, loans, administrative expense reimbursements or other cash transfers to us, and limit investments to approved securities. The amount of dividends that may be paid to us by these insurance subsidiaries, without prior approval by state regulatory authorities, or ordinary dividends, is limited based on the entity’s level of statutory income and statutory capital and surplus. In some states, prior notification is provided before paying a dividend even if approval is not required. Actual dividends paid may vary due to consideration of excess statutory capital and surplus and expected future surplus requirements. We continue to maintain our levels of aggregate excess statutory capital and surplus in our state-regulated operating subsidiaries. Dividends from our non-insurance companies are generally not restricted by governmental departments of insurance. In the event that our subsidiaries are unable to provide sufficient capital to fund our obligations and allow us to pursue our objectives, our results of operations, financial position, and cash flows may be materially adversely affected.</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If we are required to maintain higher statutory capital levels for our existing operations or if we are subject to additional capital reserve requirements as we pursue new business opportunities, our cash flows and liquidity may be adversely affected.</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One or more of the states in which our MA plan subsidiaries operate may raise the statutory capital or tangible net equity level we are required to maintain from time to time. Many states have adopted risk-based capital requirements based on guidelines adopted by the National Association of Insurance Commissioners, which tend to be, although are not necessarily, higher than existing statutory capital requirements. Regardless of whether a state in which we may operate has adopted risk-based capital requirements, the state departments of insurance can require our regulated insurance subsidiaries to maintain minimum levels of statutory capital or tangible net equity in excess of amounts required under the applicable state laws if they determine that maintaining additional statutory capital or tangible net equity, as applicable, is in the best interests of our beneficiaries. Any other changes in these requirements could materially increase our statutory capital requirements. In addition, as we continue to expand our plan offerings in new states, add new beneficiaries, or pursue new business opportunities, we may be required to maintain additional statutory capital. In any case, our available funds could be materially reduced, which could harm our ability to implement our business strategy.</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We are subject to risks associated with delegating services and functions to vendors, including supplemental benefit providers and third-party brokers.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We rely on a number of vendors and other third parties to perform various functions and fulfill our obligations to CMS and members. Our ability to operate our business depends on the performance of, and continued contracts with, these vendors. The functions performed by our major vendors include, but are not limited to, information technology support, claims processing, pharmaceutical benefit management, supplemental benefits (e.g., our "black card" benefit, vision benefits, dental benefits and transportation benefits) and other business process outsourcing. We also rely in part on third-party brokers for the marketing and sale of our insurance plans and on our IPAs, which perform certain functions on our behalf.</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Our ability to operate our business depends on the performance of these third parties. Their performance may be compromised, degraded or interrupted for a variety of reasons, some of which are outside of our control, and they may fail to meet agreed-upon service level standards. For example, if a vendor becomes disqualified by CMS from providing services in connection with a Medicare Advantage plan, we would be unable to continue to use their services. Our vendors could also experience changes in their financial health or disruptions to their own operations. We do not directly control their actions and they could violate applicable laws, rules, and regulations. In the event that these third parties render poor performance or are unwilling or unable to perform services for us in accordance with our contract and legal requirements, we may face operational difficulties, increased expenses, penalties, fines, sanctions or litigation. Although we may be able to force the vendor to indemnify us for some or all of our losses, the vendor may not ultimately be liable in contract or tort for other losses and our business and reputation may suffer nonetheless. Disputes arising from contractual disagreements, service-level disputes or changes in vendor terms and conditions may impact our ability to maintain stable and cost-effective relationships with third-party vendors.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Our reliance on third-party vendors may directly and adversely impact our health plan membership. To the extent a vendor’s inadequate performance impacts our members, their satisfaction with our health insurance plans and customer service may be diminished.</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Additionally, in the event that one of our agreements with a key third party terminates, we may have a difficult time bringing the contracted services in-house or contracting with another vendor. Identifying a replacement vendor, negotiating an agreement with the vendor, and transitioning services to the vendor takes significant time and resources. We may be unable to enter into agreements with replacement vendors on favorable terms, or at all. Any loss of a key vendor relationship could result in a service disruption or unavailability and harm our ability to continue to develop, maintain, and improve our products.</w:t>
      </w:r>
    </w:p>
    <w:p>
      <w:pPr>
        <w:pStyle w:val="TextBody"/>
        <w:bidi w:val="0"/>
        <w:spacing w:lineRule="auto" w:line="288" w:before="200" w:after="200"/>
        <w:jc w:val="left"/>
        <w:rPr>
          <w:rFonts w:ascii="Times New Roman;serif" w:hAnsi="Times New Roman;serif"/>
          <w:b/>
          <w:color w:val="000000"/>
          <w:sz w:val="18"/>
        </w:rPr>
      </w:pPr>
      <w:r>
        <w:rPr>
          <w:rFonts w:ascii="Times New Roman;serif" w:hAnsi="Times New Roman;serif"/>
          <w:b/>
          <w:color w:val="000000"/>
          <w:sz w:val="18"/>
        </w:rPr>
        <w:t>Risks Related to Regulation</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Our business activities are subject to substantial government regulation. New laws or regulations, or legislative, judicial, or regulatory changes in existing laws or regulations or their manner of application could increase our cost of doing business and may have a material adverse effect on our results of operations; our financial position; and our cash flows.</w:t>
      </w:r>
    </w:p>
    <w:p>
      <w:pPr>
        <w:pStyle w:val="TextBody"/>
        <w:bidi w:val="0"/>
        <w:spacing w:lineRule="auto" w:line="288" w:before="200" w:after="200"/>
        <w:jc w:val="left"/>
        <w:rPr>
          <w:rFonts w:ascii="Times New Roman;serif" w:hAnsi="Times New Roman;serif"/>
          <w:b w:val="false"/>
          <w:i/>
          <w:color w:val="000000"/>
          <w:sz w:val="18"/>
        </w:rPr>
      </w:pPr>
      <w:r>
        <w:rPr>
          <w:rFonts w:ascii="Times New Roman;serif" w:hAnsi="Times New Roman;serif"/>
          <w:b w:val="false"/>
          <w:i/>
          <w:color w:val="000000"/>
          <w:sz w:val="18"/>
        </w:rPr>
        <w:t xml:space="preserve">The Health Care Reform Law and Other Current or Future Legislative, Judicial or Regulatory Changes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The Patient Protection and Affordable Care Act and The Health Care and Education Reconciliation Act of 2010 (which we collectively refer to as the “Health Care Reform Law”) enacted significant reforms to various aspects of the U.S. health insurance industry. Certain significant provisions of the Health Care Reform Law include, among others, mandated coverage requirements, mandated benefits and guarantee issuance associated with commercial medical insurance, rebates to policyholders based on minimum benefit ratios, adjustments to Medicare Advantage premiums, the establishment of federally facilitated or state-based exchanges coupled with programs designed to spread risk among insurers, and the introduction of plan designs based on set actuarial values. Some of these changes impact us and other entities that offer Medicare Advantage plans.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It is reasonably possible that the Health Care Reform Law and related regulations, as well as other current or future legislative, judicial or regulatory changes, including restrictions on our ability to manage our provider network or otherwise operate our business, or restrictions on profitability, including reviews by regulatory bodies that may compare the profitability of various products within our Medicare Advantage business and require that they remain within certain ranges of each other, increases in member benefits or changes to member eligibility criteria without corresponding increases in premium payments to us, may have a material adverse effect on our results of operations (including restricting revenue, enrollment and premium growth in certain products and market segments, restricting our ability to expand into new markets, increasing our medical and operating costs, further lowering our payment rates and increasing our expenses associated with assessments), our financial position and our cash flows.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Additionally, potential legislative changes or judicial determinations, including activities to repeal or replace the Health Care Reform Law or declare all or certain portions of the Health Care Reform Law unconstitutional, creates uncertainty for our business, and we cannot predict when, or in what form, such legislative changes or judicial determinations may occur. </w:t>
      </w:r>
    </w:p>
    <w:p>
      <w:pPr>
        <w:pStyle w:val="TextBody"/>
        <w:bidi w:val="0"/>
        <w:spacing w:lineRule="auto" w:line="288" w:before="200" w:after="200"/>
        <w:jc w:val="left"/>
        <w:rPr>
          <w:rFonts w:ascii="Times New Roman;serif" w:hAnsi="Times New Roman;serif"/>
          <w:b w:val="false"/>
          <w:i/>
          <w:color w:val="000000"/>
          <w:sz w:val="18"/>
        </w:rPr>
      </w:pPr>
      <w:r>
        <w:rPr>
          <w:rFonts w:ascii="Times New Roman;serif" w:hAnsi="Times New Roman;serif"/>
          <w:b w:val="false"/>
          <w:i/>
          <w:color w:val="000000"/>
          <w:sz w:val="18"/>
        </w:rPr>
        <w:t xml:space="preserve">Health Insurance Portability and Accountability Act, the Health Information Technology for Economic and Clinical Health Act and Other Laws, Rules and Regulations Related to Data Privacy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are subject to data privacy and protection laws and regulations that apply to the collection, transmission, storage and use of PHI and other PII, which among other things, impose certain requirements relating to the privacy, security and transmission of PII. The legislative and regulatory landscape for privacy and data protection continues to evolve, and there has been an increasing focus on privacy and data protection issues with the potential to affect our business. Failure to comply with any of these laws and regulations could result in enforcement action against us, including fines, public censure, claims for damages by affected individuals, damage to our reputation and loss of goodwill, any of which could have a material adverse effect on our business, financial condition, results of operations or prospects. Ongoing efforts to comply with evolving laws and regulations may be costly and require ongoing modifications to our policies, procedures and systems.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The use of individually identifiable health data by our business is regulated at federal and state levels. These laws and rules are changed frequently by legislation or administrative interpretation. Various state laws address the use and maintenance of PII. Among these state laws, which we describe in more detail below, we are most substantially affected by the California Consumer Privacy Act ("CCPA"), which uniquely among general consumer privacy laws did not exempt employee information, business contact information, and only maintains narrow exemptions for data subject to HIPAA or the Gramm-Leach-Bliley Act. We are required to comply with these laws in the way we create, receive, maintain or transmit PII.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HIPAA includes administrative provisions directed at simplifying electronic data interchange through standardizing transactions, establishing uniform healthcare provider, payer, and employer identifiers, and establishing regulations aimed at protecting confidentiality and security of patient and member data. The rules preempt all inconsistent state laws unless the state law is more privacy-protective. </w:t>
      </w:r>
    </w:p>
    <w:p>
      <w:pPr>
        <w:pStyle w:val="TextBody"/>
        <w:bidi w:val="0"/>
        <w:spacing w:lineRule="auto" w:line="288" w:before="200" w:after="200"/>
        <w:jc w:val="left"/>
        <w:rPr/>
      </w:pPr>
      <w:r>
        <w:rPr>
          <w:rFonts w:ascii="Times New Roman;serif" w:hAnsi="Times New Roman;serif"/>
          <w:b w:val="false"/>
          <w:color w:val="000000"/>
          <w:sz w:val="18"/>
        </w:rPr>
        <w:t>These regulations, in addition to other state laws, set standards for the security of electronic health information, including requirements that insurers provide customers with notice regarding how their PHI is used. Compliance with HIPAA regulations requires us to regularly monitor security risk, implement and regularly review administrative, technical and physical safeguards to protect electronic health information, and provide workforce training, among other administrative efforts. HIPAA can also expose us to additional liability for violations by our business associates (</w:t>
      </w:r>
      <w:r>
        <w:rPr>
          <w:rFonts w:ascii="Times New Roman;serif" w:hAnsi="Times New Roman;serif"/>
          <w:b w:val="false"/>
          <w:i/>
          <w:color w:val="000000"/>
          <w:sz w:val="18"/>
        </w:rPr>
        <w:t xml:space="preserve">e.g., </w:t>
      </w:r>
      <w:r>
        <w:rPr>
          <w:rFonts w:ascii="Times New Roman;serif" w:hAnsi="Times New Roman;serif"/>
          <w:b w:val="false"/>
          <w:color w:val="000000"/>
          <w:sz w:val="18"/>
        </w:rPr>
        <w:t xml:space="preserve">entities that provide services to health plans and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The US Department of Health and Human Services, Office for Civil Rights announced on December 27, 2024, and published in the Federal Register on January 6, 2025, a Notice of Proposed Rulemaking proposing extensive modifications to the HIPAA security standards. If finalized, these modifications could entail significant additional compliance obligations and costs for HIPAA-regulated covered entities and business associates.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HIPAA imposes mandatory penalties for certain violations. In 2026, penalties for violations of HIPAA and its implementing regulations started at $145 per violation and could not exceed approximately $73,011 per violation, subject to a cap of approximately $2.2 million for violations of the same standard in a single calendar year]. However, a single breach incident can result in violations of multiple standards. Additionally, the penalty amounts listed above are also due for inflation adjustments in 2026.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HIPAA also authorizes state attorneys general to file suit on behalf of their residents for violations of HIPAA. While HIPAA does not create a private right of action allowing individuals to sue in civil court for violations of HIPAA, its standards have been used as the basis for duty of care in state civil suits such as those for negligence or recklessness in the misuse or breach of PHI.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HIPAA further requires that members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individuals or more, it must be reported to HHS without unreasonable delay, and HHS will post the name of the breaching entity on its public website. Breaches affecting more than 500 individuals in the same state or jurisdiction must also be reported to prominent media outlets serving the state or jurisdiction. If a breach involves fewer than 500 individuals, the covered entity must record it in a log and notify HHS at least annually.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We also publish statements to our members and partners that describe how we handle and protect PHI. If federal or state regulatory authorities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Any of the foregoing consequences could have a material adverse impact on our business and our financial results.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Data privacy and security at the state level remains an evolving landscape. For example, CCPA, which came into effect on January 1, 2020, requires companies that process personal information of California residents to make disclosures to consumers about their data collection, use and sharing practices, allow consumers to exercise certain rights with respect to their data, including the right to opt out of certain data sharing with third parties and provides a cause of action for data breaches. In addition, on November 3, 2020, California voters approved amendments to the CCPA, known as the California Privacy Rights Act ("CPRA"), which significantly modifies the CCPA, including by expanding consumers’ rights with respect to certain personal information and creating a state agency, the California Privacy Protection Agency (“CPPA”), to oversee implementation and enforcement efforts. The CPPA is able to finance operations through penalties issued and with the CPRA’s removal of the mandatory cure period from CCPA, we will have less warning before compliance risk results in legal action. The CPRA’s amendments became effective on January 1, 2023. The CCPA contains exemptions for medical information governed by the California Confidentiality of Medical Information Act, and for PHI collected by a covered entity or business associate governed by the privacy, security, and breach notification rule established pursuant to HIPAA.</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On September 23, 2025, the CPPA finalized its regulations on risk assessments, cybersecurity assessments, and automated decision-making technologies. These regulations contain substantial new compliance obligations with respect to PII we process. </w:t>
      </w:r>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The CCPA prompted the passage of “copycat” legislation in a number states. It also prompted passage of consumer privacy laws that protect consumer health data specifically, such as the Washington My Health My Data Act. These state laws generally exempt HIPAA regulated covered entities and business associates, PHI, and/or personal information collected in the context of employment and business-to-business relationships. However, this patchwork of state laws may still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While the CCPA is an example of consumer privacy law, the NAIC’s Model Insurance Data Security Law (the "Model law") is a different type of law focused on securing insurance licensees’ information systems. Versions of this Model Law have been passed in many states and are expected to be passed in more states in the coming years. Similar to HIPAA, the Model Law requires the implementation of technical, administrative, and procedural information security practices and procedures and includes reporting requirements for data breaches. These Model Laws exist in a majority of states and are typically enforced by state insurance regulators.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It is possible that applicable laws may be interpreted and applied in a manner that is inconsistent with our practices and our efforts to comply with the evolving data protection rules may be unsuccessful. We must devote significant resources to understanding and complying with this changing landscape. Failure to comply with laws regarding privacy and security of PHI and other PII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have an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As indicated above, there are numerous federal and state laws and regulations addressing patient and consumer privacy concerns, including notification requirements in the event of unauthorized access or theft of personal information. State statutes and regulations vary from state to state. Violations of HIPAA or applicable federal or state laws or regulations could subject us to significant criminal or civil penalties, including significant monetary penalties. We cannot yet fully determine the impact these or future laws, rules, regulations and industry standards may have on our business or operations. Any such laws, rules, regulations and industry standards may be inconsistent among different jurisdictions, subject to differing interpretations or may conflict with our current or future practices. Additionally, our customers may be subject to differing privacy laws, rules and legislation, which may mean that they require us to be bound by varying contractual requirements applicable to certain other jurisdictions. Adherence to such contractual requirements may impact our collection, use, processing, storage, sharing and disclosure of various types of information and may mean we become bound by, or voluntarily comply with, self-regulatory or other industry standards relating to these matters that may further change as laws, rules and regulations evolve. Complying with these requirements and changing our policies and practices may be onerous and costly, and we may not be able to respond quickly or effectively to regulatory, legislative and other developments. These changes may in turn impair our ability to offer our existing or planned features, products and services and/or increase our cost of doing business. As we expand our customer base, these requirements may vary from customer to customer, further increasing the cost of compliance and doing business.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Our business and operations may also be subject to federal, state, and local consumer protection laws governing marketing communications, including the Telephone Consumer Protection Act (“TCPA”), which places restrictions on the use of automated tools and technologies to communicate with wireless telephone subscribers or communications services consumers generally and the CAN-SPAM Act, which regulates the transmission of marketing emails. Under the TCPA, entities using an automatic telephone dialing system to send communications must obtain prior express consent for non-marketing communications and prior express written consent for marketing communications. The TCPA has a private right of action, allowing individuals who have received unsolicited communications (phone calls, text messages or faxes) made using an “automatic telephone dialing system” to seek statutory damages of $500 per violation, or $1,500 if the violation was made willfully or knowingly. Despite our compliance efforts, we could nevertheless be forced to defend private class actions or government enforcement based on the communications we send to members.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In addition, certain of our businesses are also subject to the PCI DSS, which is a multifaceted industry security standard that is designed to protect credit card account data as mandated by payment brands and acquiring banks. We rely on vendors to assist us with PCI matters and to ensure PCI compliance. Despite our compliance efforts, we may become subject to claims that we have violated the PCI DSS or other requirements of the payment card brands, based on past, present, or future business practices, which could have an adverse impact on our business and reputation, subject us to fines and/or have a negative impact on our ability to accept credit card payments.</w:t>
      </w:r>
    </w:p>
    <w:p>
      <w:pPr>
        <w:pStyle w:val="TextBody"/>
        <w:bidi w:val="0"/>
        <w:spacing w:lineRule="auto" w:line="288" w:before="200" w:after="200"/>
        <w:jc w:val="left"/>
        <w:rPr/>
      </w:pPr>
      <w:r>
        <w:rPr>
          <w:rFonts w:ascii="Times New Roman;serif" w:hAnsi="Times New Roman;serif"/>
          <w:b w:val="false"/>
          <w:color w:val="000000"/>
          <w:sz w:val="18"/>
        </w:rPr>
        <w:t>As described above, substantially all of our relevant member data is maintained on our technology platform, AVA, which aggregates and provides us with access to extensive member datasets, including individually identifiable PHI. As a result, any breach of our technology platform could expose us to substantial liability under HIPAA, the HITECH Act and other applicable laws, regulations or rules. See “</w:t>
      </w:r>
      <w:r>
        <w:rPr>
          <w:rFonts w:ascii="Times New Roman;serif" w:hAnsi="Times New Roman;serif"/>
          <w:b w:val="false"/>
          <w:i/>
          <w:color w:val="000000"/>
          <w:sz w:val="18"/>
        </w:rPr>
        <w:t>Risk Factors</w:t>
      </w:r>
      <w:r>
        <w:rPr>
          <w:color w:val="000000"/>
        </w:rPr>
        <w:t>—</w:t>
      </w:r>
      <w:r>
        <w:rPr>
          <w:rFonts w:ascii="Times New Roman;serif" w:hAnsi="Times New Roman;serif"/>
          <w:b w:val="false"/>
          <w:color w:val="000000"/>
          <w:sz w:val="18"/>
        </w:rPr>
        <w:t>Cybers</w:t>
      </w:r>
      <w:r>
        <w:rPr>
          <w:rFonts w:ascii="Times New Roman;serif" w:hAnsi="Times New Roman;serif"/>
          <w:b w:val="false"/>
          <w:i/>
          <w:color w:val="000000"/>
          <w:sz w:val="18"/>
        </w:rPr>
        <w:t>ecurity breaches, loss of data and other disruptions could compromise sensitive information related to our business or our members, or prevent us from accessing critical information and expose us to liability, which could adversely affect our business and our reputation</w:t>
      </w:r>
      <w:r>
        <w:rPr>
          <w:rFonts w:ascii="Times New Roman;serif" w:hAnsi="Times New Roman;serif"/>
          <w:b w:val="false"/>
          <w:color w:val="000000"/>
          <w:sz w:val="18"/>
        </w:rPr>
        <w:t xml:space="preserve">.” </w:t>
      </w:r>
    </w:p>
    <w:p>
      <w:pPr>
        <w:pStyle w:val="TextBody"/>
        <w:bidi w:val="0"/>
        <w:spacing w:lineRule="auto" w:line="288" w:before="200" w:after="200"/>
        <w:jc w:val="left"/>
        <w:rPr>
          <w:rFonts w:ascii="Times New Roman;serif" w:hAnsi="Times New Roman;serif"/>
          <w:b w:val="false"/>
          <w:i/>
          <w:color w:val="000000"/>
          <w:sz w:val="18"/>
        </w:rPr>
      </w:pPr>
      <w:r>
        <w:rPr>
          <w:rFonts w:ascii="Times New Roman;serif" w:hAnsi="Times New Roman;serif"/>
          <w:b w:val="false"/>
          <w:i/>
          <w:color w:val="000000"/>
          <w:sz w:val="18"/>
        </w:rPr>
        <w:t xml:space="preserve">Corporate Practice of Medicine and Other Laws </w:t>
      </w:r>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As a corporate entity, we are not licensed to practice medicine. Many states in which we operate through our subsidiaries limit the practice of medicine to licensed individuals or professional organizations exclusively owned and comprised of licensed individuals, and business corporations generally may not exercise control over the medical decisions of licensed physicians or other licensed clinicians. Statutes, regulations and court decisions relating to the practice of medicine, fee-splitting between physicians and referral sources, and similar issues vary widely from state to state. In addition, various state laws also generally prohibit the sharing of professional services income with nonprofessional or business interests. While we endeavor to comply with state corporate practice of medicine laws and regulations as we interpret them, the laws and regulations in these areas are complex, changing, and often subject to varying interpretations. The interpretation and enforcement of these laws vary significantly from state to state.</w:t>
      </w:r>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Under business support services agreements between certain of our subsidiaries and affiliated physician-owned professional groups, these groups retain sole responsibility for all medical decisions, as well as for hiring and managing physicians and other licensed healthcare providers, developing operating policies and procedures, implementing professional standards and controls, and maintaining malpractice insurance. Regulatory authorities and other parties may assert that, despite the business support services agreements and other arrangements through which we operate, we are engaged in the prohibited corporate practice of medicine or that our arrangements constitute unlawful fee-splitting. Penalties for violations of the corporate practice of medicine or fee-splitting laws vary by state and may result in physicians being subject to disciplinary action, as well as to forfeiture of revenue from payors for services rendered. For business entities such as us, violations may also bring both civil and, in more extreme cases, criminal liability for engaging in medical practice without a license, our agreements could be found legally invalid and unenforceable (in whole or in part) or we could be required to restructure our contractual arrangements. Recently, Oregon and California have passed laws codifying and strengthening their existing corporate practice of medicine prohibitions in ways which may require us to adjust contractual arrangements with our affiliated physician-owned professional groups, and we are aware of a number of other states considering similar legislation.</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our in-house and externally engaged physicians and the facilities in which they operate are subject to various federal, state and local licensing and certification laws and regulations and accreditation standards and other laws, relating to, among other things, the adequacy of medical care, equipment, privacy of member information, physician relationships, personnel and operating policies and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Failure to comply with these licensing, certification and accreditation laws, regulations and standards could result in prior payments being subject to recoupment, requirements to make significant changes to our operations and can give rise to civil or, in extreme cases, criminal penalties. We routinely take the steps we believe are necessary to retain or obtain all requisite licensure and operating authorities. While we have made reasonable efforts to substantially comply with federal, state and local licensing and certification laws and regulations and standards as we interpret them, the agencies that administer these programs may find that we have failed to comply in some material respects. If this were to occur, we could be subject to civil and/or criminal penalties, or we could be required to close or limit our operations at relevant sites. </w:t>
      </w:r>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In jurisdictions where the corporate practice of medicine is prohibited, we have historically operated by maintaining long-term business support contracts with multiple associated professional medical entities that are wholly owned by physicians and, in turn, employ or contract with physicians to provide those professional medical services required by our members. Under these business support services agreements, our primary operating subsidiary performs only non-medical business support services, does not represent that it offers medical services and does not exercise influence or control over the practice of medicine by the physicians or the associated physician groups. In addition to the above business support services arrangements, we have certain contractual rights relating to the orderly transfer of equity interests in our associated physician practices through succession agreements and other arrangements with their physician equity holders. Such equity interests cannot, however, be transferred to or held by us or by any non-professional medical entity. Accordingly, neither we nor our direct subsidiaries directly own any equity interests in any of our physician practices. In the event that any of the physician owners of our associated physician practices fail to comply with the business support services arrangement, if any business support services arrangement is terminated and/or we are unable to enforce our contractual rights over the orderly transfer of equity interests in any of our associated physician practices, such events could have a material adverse effect on our business, results of operations, financial condition and cash flows. Further, the enforceability of such equity transfer restriction agreements has been called into question by state courts and regulators in New Jersey, New York, California, and Oregon. The invalidation of our transfer restriction agreements in such states may have a detrimental effect on our relationship with our affiliated physician-owned professional entities.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It is possible that a state regulatory agency or a court could determine that our agreements with physician equity holders of our associated physician practices and the way we carry out these arrangements as described above, either independently or coupled with the business support services agreements with such associated physician practices, are in violation of prohibitions on the corporate practice of medicine. As a result, these arrangements could be deemed invalid. Such a determination could force a restructuring of our business support services arrangements with the affected practices, which might include revisions of the business support services agreements, including a modification of the services fee and/or establishing an alternative structure that would permit us to contract with a physician network without violating prohibitions on the corporate practice of medicine. Such a restructuring may not be feasible, or it may not be possible to accomplish it within a reasonable time frame without a material adverse effect on our business, results of operations, financial condition and cash flows. Additionally, a number of states have recently introduced or are planning to introduce legislation that would significantly increase the level of scrutiny that similarly structured organizations would face and could introduce additional penalties on business support services organizations similar to ours.</w:t>
      </w:r>
    </w:p>
    <w:p>
      <w:pPr>
        <w:pStyle w:val="TextBody"/>
        <w:bidi w:val="0"/>
        <w:spacing w:lineRule="auto" w:line="288" w:before="200" w:after="200"/>
        <w:jc w:val="left"/>
        <w:rPr>
          <w:rFonts w:ascii="Times New Roman;serif" w:hAnsi="Times New Roman;serif"/>
          <w:b w:val="false"/>
          <w:i/>
          <w:color w:val="000000"/>
          <w:sz w:val="18"/>
        </w:rPr>
      </w:pPr>
      <w:r>
        <w:rPr>
          <w:rFonts w:ascii="Times New Roman;serif" w:hAnsi="Times New Roman;serif"/>
          <w:b w:val="false"/>
          <w:i/>
          <w:color w:val="000000"/>
          <w:sz w:val="18"/>
        </w:rPr>
        <w:t>Anti-Kickback, Physician Self-Referral and Other Fraud and Abuse Laws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 federal law commonly referred to as the “Anti-Kickback Statute” prohibits the offer, payment, solicitation, or receipt of any form of remuneration to induce, or in return for, the referral of Medicare or other governmental health program patients or patient care opportunities, or in return for the purchase, lease or order of items or services that are covered by Medicare or other federal governmental health programs. Because the prohibitions contained in the Anti-Kickback Statute apply to the furnishing of items or services for which payment is made in “whole or in part,” the Anti-Kickback Statute could be implicated if any portion of an item or service we provide is covered by any of the state or federal health benefit programs described above. Violation of these provisions constitutes a felony criminal offense and applicable sanctions could include exclusion from the Medicare and Medicaid programs.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Section 1877 of the Social Security Act, commonly known as the “Stark Law,” prohibits physicians, subject to certain exceptions described below, from referring Medicare or Medicaid patients to an entity providing “designated health services” in which the physician, or an immediate family member, has an ownership or investment interest or with which the physician, or an immediate family member, has entered into a compensation arrangement. These prohibitions, contained in the Omnibus Budget Reconciliation Act of 1993, commonly known as “Stark II,” amended prior federal physician self-referral legislation known as “Stark I” by expanding the list of designated health services to a total of 11 categories. The professional groups with which we are contracted or affiliated provide one or more of these designated health services. Persons or entities found to be in violation of the Stark Law are subject to denial of payment for services furnished pursuant to an improper referral, civil monetary penalties, and exclusion from the Medicare and Medicaid programs. </w:t>
      </w:r>
    </w:p>
    <w:p>
      <w:pPr>
        <w:pStyle w:val="TextBody"/>
        <w:bidi w:val="0"/>
        <w:spacing w:lineRule="auto" w:line="288" w:before="200" w:after="200"/>
        <w:jc w:val="left"/>
        <w:rPr/>
      </w:pPr>
      <w:r>
        <w:rPr>
          <w:rFonts w:ascii="Times New Roman;serif" w:hAnsi="Times New Roman;serif"/>
          <w:b w:val="false"/>
          <w:color w:val="000000"/>
          <w:sz w:val="18"/>
        </w:rPr>
        <w:t xml:space="preserve">A federal law commonly referred to as the “False Claims Act” prohibits the submission of a false or fraudulent claim to the government for payment or approval. </w:t>
      </w:r>
      <w:r>
        <w:rPr>
          <w:rFonts w:ascii="Times New Roman;serif" w:hAnsi="Times New Roman;serif"/>
          <w:b w:val="false"/>
          <w:i/>
          <w:color w:val="000000"/>
          <w:sz w:val="18"/>
        </w:rPr>
        <w:t xml:space="preserve">Qui tam </w:t>
      </w:r>
      <w:r>
        <w:rPr>
          <w:rFonts w:ascii="Times New Roman;serif" w:hAnsi="Times New Roman;serif"/>
          <w:b w:val="false"/>
          <w:color w:val="000000"/>
          <w:sz w:val="18"/>
        </w:rPr>
        <w:t>relators and/or the government may take the position that we submit certain data or information that could form the basis of a claim for payment, thus subjecting us to allegations under the False Claims Act. In such events, we could be subject to treble damages and per-claim penalties.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Many states also have enacted laws similar in scope and purpose to the Anti-Kickback Statute and, in more limited instances, the Stark Law, that are not limited to services for which Medicare or Medicaid payment is made. In addition, most states have statutes, regulations, or professional codes that restrict a physician from accepting various kinds of remuneration in exchange for making referrals. These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vary from state to state and have seldom been interpreted by the courts or regulatory agencies. In states that have enacted these statutes, we believe that regulatory authorities and state courts interpreting these statutes may regard federal law under the Anti-Kickback Statute and the Stark Law as persuasive.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 addition, these laws are subject to modification and changes in interpretation, and are enforced by authorities vested with broad discretion. We continually monitor developments in this area. If we or our third parties with which we contract fail to comply with these laws, or if these laws are interpreted in a manner contrary to our interpretation or are reinterpreted or amended, or if new legislation is enacted with respect to healthcare fraud and abuse, illegal remuneration, or similar issues, we may be required to restructure our affected operations to maintain compliance with applicable law and/or be subject to liability. Such restructuring may not be possible or, if possible, may have a material adverse effect on our results of operations, financial position, or cash flows. </w:t>
      </w:r>
    </w:p>
    <w:p>
      <w:pPr>
        <w:pStyle w:val="TextBody"/>
        <w:bidi w:val="0"/>
        <w:spacing w:lineRule="auto" w:line="288" w:before="200" w:after="200"/>
        <w:jc w:val="left"/>
        <w:rPr>
          <w:rFonts w:ascii="Times New Roman;serif" w:hAnsi="Times New Roman;serif"/>
          <w:b w:val="false"/>
          <w:i/>
          <w:color w:val="000000"/>
          <w:sz w:val="18"/>
        </w:rPr>
      </w:pPr>
      <w:r>
        <w:rPr>
          <w:rFonts w:ascii="Times New Roman;serif" w:hAnsi="Times New Roman;serif"/>
          <w:b w:val="false"/>
          <w:i/>
          <w:color w:val="000000"/>
          <w:sz w:val="18"/>
        </w:rPr>
        <w:t>Environmental</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We are subject to various federal, state, and local laws and regulations relating to the protection of human health and the environment. If an environmental regulatory agency finds any of our facilities to be in violation of environmental laws, penalties and fines may be imposed for each day of violation and the affected facility could be forced to cease operations. We could also incur other significant costs, such as cleanup costs or claims by third parties, as a result of releases of hazardous substances or violations of, or other liabilities under, environmental laws. Although we believe that our environmental practices, including waste handling and disposal practices, are in material compliance with applicable laws, future claims or violations, or changes in environmental laws, could have a material adverse effect on our results of operations, financial position or cash flows.</w:t>
      </w:r>
    </w:p>
    <w:p>
      <w:pPr>
        <w:pStyle w:val="TextBody"/>
        <w:bidi w:val="0"/>
        <w:spacing w:lineRule="auto" w:line="288" w:before="200" w:after="200"/>
        <w:jc w:val="left"/>
        <w:rPr>
          <w:rFonts w:ascii="Times New Roman;serif" w:hAnsi="Times New Roman;serif"/>
          <w:b w:val="false"/>
          <w:i/>
          <w:color w:val="000000"/>
          <w:sz w:val="18"/>
        </w:rPr>
      </w:pPr>
      <w:r>
        <w:rPr>
          <w:rFonts w:ascii="Times New Roman;serif" w:hAnsi="Times New Roman;serif"/>
          <w:b w:val="false"/>
          <w:i/>
          <w:color w:val="000000"/>
          <w:sz w:val="18"/>
        </w:rPr>
        <w:t xml:space="preserve">State Regulation of Insurance-Related Products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Laws in each of the states in which we operate our business license and regulate entities that offer health plans to residents of that state. The products we offer are sold under licenses issued by the applicable insurance regulators. However, for entities offering Medicare Advantage plans, federal law preempts all state laws and regulations except those relating to licensing and financial solvency.</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With respect to state regulation of financial solvency, certain of our licensed insurance subsidiaries are subject to regulation under state insurance holding company regulations. These regulations generally require, among other things, prior approval and/or notice of certain material transactions, including dividend payments, purchases or sales of assets, intercompany agreements, and the filing of various financial and operational reports. The amount of dividends that may be paid to us by these insurance subsidiaries, without prior approval by state regulatory authorities, or ordinary dividends, is limited based on the entity’s level of statutory income and statutory capital and surplus. Actual dividends paid may vary due to consideration of excess statutory capital and surplus and expected future surplus requirements. We continue to maintain our levels of aggregate excess statutory capital and surplus in our state-regulated operating subsidiaries. Dividends from our non-insurance companies are generally not restricted by departments of insurance.</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If any of our plans or operations are found to violate these or other applicable government laws or regulations, we could suffer severe consequences that would have a material adverse effect on our business, results of operations, financial condition, cash flows, reputation and stock price, including: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suspension or termination of one or more of our plans;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refunds of amounts received in violation of law or applicable payment program requirements dating back to the applicable statute of limitation periods;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loss of our required government certifications;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loss of our licenses required to operate our clinics and in-house care delivery programs;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criminal or civil liability, fines, damages or monetary penalties for violations of healthcare fraud and abuse laws, including the federal Anti-Kickback Statute, Stark Law and FCA, or other failures to meet regulatory requirements;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enforcement actions by governmental agencies and/or state law claims for monetary damages by members who believe their PHI has been used, disclosed or not properly safeguarded in violation of federal or state patient privacy laws, including HIPAA and the Privacy Act of 1974;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mandated changes to our practices or procedures that significantly increase operating expenses; </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imposition of and compliance with corporate integrity agreements that could subject us to ongoing audits and reporting requirements as well as increased scrutiny of our billing and business practices which could lead to potential fines, among other things;</w:t>
      </w:r>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termination of various relationships and/or contracts related to our business, including joint venture arrangements, medical director agreements, real estate leases and consulting agreements with physicians;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00"/>
        <w:ind w:left="0" w:right="0" w:hanging="540"/>
        <w:jc w:val="left"/>
        <w:rPr/>
      </w:pPr>
      <w:r>
        <w:rPr>
          <w:color w:val="000000"/>
        </w:rPr>
        <w:t>•</w:t>
      </w:r>
      <w:r>
        <w:rPr>
          <w:rFonts w:ascii="Times New Roman;serif" w:hAnsi="Times New Roman;serif"/>
          <w:b w:val="false"/>
          <w:color w:val="000000"/>
          <w:sz w:val="18"/>
        </w:rPr>
        <w:t xml:space="preserve">harm to our reputation which could negatively impact our business relationships, affect our ability to attract and retain members and physicians, affect our ability to obtain financing and decrease access to new business opportunities, our ability to develop relationships with providers, among other things.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If we are unable to effectively adapt to changes in the healthcare industry, including changes to laws and regulations regarding or affecting the U.S. healthcare reform, our business may be harmed.</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Due to the importance of the healthcare industry in the lives of all Americans, federal, state, and local legislative bodies frequently pass legislation and promulgate regulations relating to healthcare reform or that affect the healthcare industry. As has been the trend in recent years, it is reasonable to assume that there will continue to be increased government oversight and regulation of the healthcare industry in the future. We cannot predict the ultimate content, timing or effect of any new healthcare legislation or regulations, nor is it possible at this time to estimate the impact of potential new legislation or regulations on our business. It is possible that future legislation enacted by Congress or state legislatures, or regulations promulgated by regulatory authorities at the federal or state level, could adversely affect our business or could change the operating environment of our clinical staff and external providers. It is possible that the changes in Medicare, Medicaid or other governmental healthcare program reimbursements may serve as precedent to possible changes in other payors’ reimbursement policies in a manner adverse to us. Similarly, changes in the private payor reimbursements could lead to adverse changes to Medicare, Medicaid and other governmental healthcare programs, which could have a material adverse effect on our business, financial condition and results of operations. </w:t>
      </w:r>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The policies and decisions of the federal and state governments regarding the Medicare Advantage program in which we participate have a substantial impact on our profitability. These governmental policies and decisions, which we cannot predict with certainty, directly shape the revenues given to us under the Medicare Advantage program, the eligibility and enrollment of our members, the services we provide to our members, and our administrative, healthcare services, and other costs associated with the Medicare Advantage program. Legislative or regulatory actions, such as changes to the Medicare Advantage program, those resulting in a reduction in payments to us, an increase in our cost of administrative and healthcare services, or additional fees, taxes or assessments, may have a material adverse effect on our results of operations, financial position, and cash flows. For example, under the Contract Year 2026 Medicare Advantage and Part D final rule, CMS finalized new federal requirements for certain D-SNPs that, beginning in 2027, will require the use of integrated member identification cards that serve as the ID cards for both the Medicare and Medicaid plans in which an enrollee is enrolled, and the completion of an integrated health risk assessment for Medicare and Medicaid, rather than separate assessments for each program. CMS also codified timeframes for all special needs plans to conduct health risk assessments and develop individualized care plans, and to prioritize the involvement of the enrollee or the enrollee’s representative in the development of such care plans. These requirements may increase administrative complexity, operational costs, and coordination obligations for D-SNPs and may affect our ability to offer or maintain such plans in certain markets.</w:t>
      </w:r>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Additionally, CMS recently implemented stricter regulations on Third-Party Marketing Organizations (TPMOs), prohibiting the sharing or resale of personal beneficiary data without prior written consent, which may limit outreach efforts and reduce lead generation and enrollment opportunities for MA plans. CMS also finalized changes to the compensation structure for Medicare Advantage agents and brokers that were intended to reclassify certain administrative fees as compensation subject to CMS caps and restrict contractual terms that CMS viewed as potentially steering beneficiaries toward particular plans. In August 2025, a federal district court vacated these provisions, concluding that CMS exceeded its statutory authority and that aspects of the rulemaking were arbitrary and capricious. While this outcome preserves flexibility in agent and broker arrangements, it also creates uncertainty, as CMS may pursue future rulemaking in this area. CMS’s focus on marketing activities coincides with an apparent increased DOJ interest, as well. In recent years, the DOJ has launched investigations into whether marketing and recruiting practices of Medicare Advantage Organizations and their downstream providers violate the FCA.</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While we believe that we have structured our agreements and operations in material compliance with applicable healthcare laws and regulations, we may be unable to successfully address changes in the current regulatory environment. In addition,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New federal restrictions on plans that CMS believes resemble dual-eligible special needs plans and new state-level restrictions on actual dual-eligible special needs plans may restrict the types and number of plans that we can offer, thus potentially adversely impacting our membership, revenue and/or profitability.</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Medicare Advantage organizations may offer dual-eligible special needs plans (“D-SNPs”), which are plans that may only enroll beneficiaries who are eligible for both Medicare and Medicaid. D-SNPs must meet additional statutory and regulatory requirements that are intended to address certain challenges faced by the dually eligible population. According to CMS, some Medicare Advantage organizations offer plans that are not D-SNPs but that are designed to attract primarily dual-eligible beneficiaries (“D-SNP look-alike plans”). In 2020, CMS issued a final rule to restrict the offering of D-SNP look-alike plans. Specifically, CMS will not enter into a contract for a new Medicare Advantage plan that is not a special needs plan and is projected to enroll more than 80% dual-eligible members. Moreover, CMS will not renew a contract for such plans unless the plan has been active for less than a year and enrolls 200 or fewer members. There may be additional CMS restrictions on D-SNP plans and their enrollment, as CMS recently finalized a policy that would, among other things, lower the threshold to seventy percent (70%) in 2025 and sixty percent (60%) in 2026. Additionally,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pPr>
      <w:r>
        <w:rPr>
          <w:rFonts w:ascii="Times New Roman;serif" w:hAnsi="Times New Roman;serif"/>
          <w:b w:val="false"/>
          <w:color w:val="000000"/>
          <w:sz w:val="18"/>
        </w:rPr>
        <w:t>California Department of Healthcare Services has adopted regulatory changes limiting the availability of D-SNP contracts. Since contract year 2024, DHCS will only contract with new D-SNPs that are affiliated with a Medi-Cal managed care plan. Furthermore, beginning in contract year 2025, existing D-SNPs without such affiliations are prohibited from enrolling new members. These regulatory developments are likely to restrict the types of plans we can offer and the membership mix we can maintain in our plans. To the extent we have to offer enhanced benefits to attract or retain dual-eligible members in certain plans, the profitability of such plans may be impacted. These regulatory developments may accordingly have an adverse impact on our membership, financial condition, results of operations and cash flows</w:t>
      </w:r>
      <w:r>
        <w:rPr>
          <w:rFonts w:ascii="Times New Roman;serif" w:hAnsi="Times New Roman;serif"/>
          <w:b/>
          <w:i/>
          <w:color w:val="000000"/>
          <w:sz w:val="18"/>
        </w:rPr>
        <w:t>.</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If we lost the services of the licensed physicians who own our associated physician practices for any reason, the contractual arrangements with our associated physician practices could be in jeopardy.</w:t>
      </w:r>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As described above, because of regulations preventing the corporate practice of medicine, certain of our associated physician practice groups that operate our clinics are wholly owned or primarily owned by physicians employed by us. Although we retain certain rights regarding the succession of ownership of the associated practices through succession agreements and other arrangements with their physician equity holders, if current owners died, were incapacitated or otherwise were no longer affiliated with us, there could be a material adverse effect on the relationship between us and the associated physician practices and, therefore, our business operations could be adversely affected. Recently, Oregon and California have passed laws codifying and strengthening their existing corporate practice of medicine prohibitions in ways which may require us to adjust contractual arrangements with our affiliated physician-owned professional groups.</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The contractual arrangements we have with our associated physician practices are not as secure as direct ownership of such entities.</w:t>
      </w:r>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As described above, because of laws prohibiting the corporate practice of medicine, we enter into contractual arrangements to manage certain of our affiliated physician practices. If we were to hold the equity of such physician practices directly, we would be able to exercise our rights as an equity holder directly to effect changes in the boards of directors of those entities, which could effect changes at the management and operational level. In contrast, under our current contractual arrangements with our associated physician groups, we may not be able to directly change the members of the boards of directors of these entities and would have to rely on the entities and the entities’ equity holders to perform their obligations in order to exercise our control over the entities. If any of these affiliated entities or their equity holders fail to perform their respective obligations under the contractual arrangements, we may have to incur substantial costs and expend additional resources to enforce such arrangements. Further, the enforceability of equity transfer restriction agreements has been called into question by state courts and regulators in New Jersey, New York, California, and Oregon. The invalidation of our transfer restriction agreements in such states may have a detrimental effect on our relationship with our affiliated physician-owned professional entities.</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Changes in tax laws may adversely affect us, and the Internal Revenue Service or a court may disagree with tax positions taken by us, which may result in adverse effects on our financial condition or the value of our common stock.</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There can be no assurance that future tax law changes will not increase the rate of the corporate income tax significantly, impose new limitations on deductions, credits or other tax benefits, or make other changes that may adversely affect our business, cash flows or financial performance. Executive or Congressional actions could materially increase our tax obligations and significantly impact our effective tax rate in the period such guidance is issued or such actions take effect, and in future periods. In addition, it may be the case that the Internal Revenue Service (the "Service") has yet to issue guidance on a number of important issues regarding the changes made by recent or future legislation. In the absence of such guidance, we may take positions with respect to a number of unsettled issues. There is no assurance that the Service or a court will agree with the positions taken by us, in which case tax penalties and interest may be imposed that could adversely affect our business, cash flows or financial performance. </w:t>
      </w:r>
    </w:p>
    <w:p>
      <w:pPr>
        <w:pStyle w:val="TextBody"/>
        <w:bidi w:val="0"/>
        <w:spacing w:lineRule="auto" w:line="288" w:before="200" w:after="200"/>
        <w:jc w:val="left"/>
        <w:rPr>
          <w:rFonts w:ascii="Times New Roman;serif" w:hAnsi="Times New Roman;serif"/>
          <w:b/>
          <w:color w:val="000000"/>
          <w:sz w:val="18"/>
        </w:rPr>
      </w:pPr>
      <w:r>
        <w:rPr>
          <w:rFonts w:ascii="Times New Roman;serif" w:hAnsi="Times New Roman;serif"/>
          <w:b/>
          <w:color w:val="000000"/>
          <w:sz w:val="18"/>
        </w:rPr>
        <w:t>Risks Related to Our Indebtedness and our Capital Requirements</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Our existing indebtedness could adversely affect our business and growth prospects.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On November 22, 2024 we completed the sale of $330.0 million of our 4.25% Convertible Senior Notes (the "Convertible Notes"). The Convertible Notes were issued pursuant to an indenture, dated as of November 22, 2024, between the Company and U.S. Bank Trust Company, National Association, as trustee. The Convertible Notes are senior, unsecured obligations of the Company, and interest will be payable semi-annually in arrears at a rate of 4.25% per annum beginning on May 15, 2025. The Convertible Notes will mature on November 15, 2029, unless earlier repurchased, redeemed or converted in accordance with their terms. The Convertible Notes have an initial conversion rate of 62.4 shares of common stock per $1,000 principal amount of the Convertible Notes (subject to adjustment for certain events). This represents an initial conversion price of approximately $16.04 per share. </w:t>
      </w:r>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Additionally, we have entered into a senior secured revolving credit facility with various banks (the “Revolving Credit Facility”) in the principal amount of up to $200,000,000. Indebtedness under the Revolving Credit Facility bears interest at a variable rate based on (i) the prime rate announced by Citibank, (ii) the federal funds effective rate or (iii) the forward-looking Secured Overnight Financing Rate ("SOFR"), plus, in each case, an applicable margin based on a consolidated senior secured leverage ratio, as set forth in the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agreement governing the Revolving Credit Facility (the "Credit Agreement"). We have not yet borrowed any amount under the Revolving Credit Facility.</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Our indebtedness under the Convertible Notes, or any additional indebtedness we may incur under the Revolving Credit Facility or otherwise,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Because the interest rate applicable to our Revolving Credit Facility is based on, at our option, the prime rate, federal funds effective rate or SOFR, it is therefore subject to increases in interest rates. Fluctuations in interest rates can increase borrowing costs. To the extent the interest rates applicable to the Revolving Credit Facility increase, our interest expense will increase, in which event we may have difficulties making interest payments and funding our other fixed costs, and our available cash flow for general corporate requirements may be adversely affected.</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indebtedness under the Convertible Notes and any other indebtedness we may incur under the Revolving Credit Facility or otherwise, and the cash flow needed to satisfy our debt, have other important consequences, including: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limiting funds otherwise available for financing our capital expenditures by requiring us to dedicate a portion of our cash flows from operations to the repayment of debt and the interest on this debt;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placing us at a competitive disadvantage to our competitors that are not as highly leveraged; and </w:t>
      </w:r>
    </w:p>
    <w:p>
      <w:pPr>
        <w:pStyle w:val="TextBody"/>
        <w:bidi w:val="0"/>
        <w:spacing w:lineRule="auto" w:line="288" w:before="200" w:after="200"/>
        <w:ind w:left="0" w:right="0" w:hanging="450"/>
        <w:jc w:val="left"/>
        <w:rPr/>
      </w:pPr>
      <w:r>
        <w:rPr>
          <w:color w:val="000000"/>
        </w:rPr>
        <w:t>•</w:t>
      </w:r>
      <w:r>
        <w:rPr>
          <w:rFonts w:ascii="Times New Roman;serif" w:hAnsi="Times New Roman;serif"/>
          <w:b w:val="false"/>
          <w:color w:val="000000"/>
          <w:sz w:val="18"/>
        </w:rPr>
        <w:t xml:space="preserve">making us more vulnerable in the event of a downturn in our business.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Moreover,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 In addition, developments in tax policy, such as the disallowance of tax deductions for interest paid on outstanding indebtedness, could have an adverse effect on our liquidity and our business, financial conditions and results of operations.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expect to use cash flow from operations to meet current and future financial obligations, including funding our operations,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We may not be able to generate sufficient cash flow to service all of our indebtedness and may be forced to take other actions to satisfy our obligations under such indebtedness, including refinancing such indebtedness, which may not be successful.</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penalties or defaults, which would also harm our ability to incur additional indebtedness.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If our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We may not be able to obtain sufficient funds to enable us to repay or refinance our debt obligations on commercially reasonable terms, or at all, and accordingly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If we cannot meet our debt service obligations, the holders of our indebtedness may accelerate such indebtedness and, to the extent such indebtedness is secured, foreclose on our assets. In such an event, we may not have sufficient assets to repay all of our indebtedness.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We may not have the ability to raise the funds necessary to settle conversions of our convertible notes, repurchase our convertible notes upon a fundamental change, or repay our convertible notes in cash at their maturity, and our future debt may contain limitations on our ability to pay cash upon conversion or repurchase of our convertible notes.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will need to make cash payments (a) if holders of the Convertible Notes require us to repurchase all, or a portion of, their Convertible Notes before the maturity date upon the occurrence of a fundamental change (e.g., a change of control of Alignment Healthcare, Inc.) or (b) to repay the Convertible Notes in cash at their maturity unless earlier converted, repurchased or redeemed. If our cash provided by operating activities, together with our existing cash, cash equivalents, and investments, and existing sources of financing, are inadequate to satisfy these obligations, we will need to obtain third-party financing, which may not be available to us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commercially reasonable terms or at all, to meet these payment obligations. Under the terms of the Convertible Notes, we also have the option to settle the amount of our conversion obligation in cash, shares of our common stock or a combination of cash and shares, at our election. If we are unable to settle such obligations in cash, we would be required to settle such obligations by delivering shares of our common stock, which may have a significant dilutive impact on our stockholders.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If a takeover transaction constitutes a make-whole fundamental change under the Indenture, we may be required to increase the conversion rate for holders who convert their notes in connection with such takeover. In either case, and in other cases, our obligations under the Convertible Notes and the Indenture could increase the cost of acquiring us or otherwise discourage a third party from acquiring us or removing incumbent management, including in a transaction that holders of the Convertible Notes or holders of our common stock may view as favorable.</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 addition, our ability to repurchase or to pay cash upon conversion of the Convertible Notes may be limited by law, regulatory authority, or agreements governing our future indebtedness. Our failure to repurchase the Convertible Notes at a time when the repurchase is required by the Indenture or to pay cash upon conversion of the Convertible Notes as required by the Indenture would constitute a default under the indenture. A default under the Indenture or the fundamental change itself could also lead to a default under agreements governing our future indebtedness, if any. If the payment of the related indebtedness were to be accelerated after any applicable notice or grace periods, we may not have sufficient funds to repay the indebtedness and repurchase the Convertible Notes or to pay cash upon conversion of the Convertible Notes. </w:t>
      </w:r>
    </w:p>
    <w:p>
      <w:pPr>
        <w:pStyle w:val="TextBody"/>
        <w:bidi w:val="0"/>
        <w:spacing w:lineRule="auto" w:line="288" w:before="0" w:after="200"/>
        <w:jc w:val="left"/>
        <w:rPr>
          <w:rFonts w:ascii="Times New Roman;serif" w:hAnsi="Times New Roman;serif"/>
          <w:b/>
          <w:i/>
          <w:color w:val="000000"/>
          <w:sz w:val="18"/>
        </w:rPr>
      </w:pPr>
      <w:r>
        <w:rPr>
          <w:rFonts w:ascii="Times New Roman;serif" w:hAnsi="Times New Roman;serif"/>
          <w:b/>
          <w:i/>
          <w:color w:val="000000"/>
          <w:sz w:val="18"/>
        </w:rPr>
        <w:t>The terms and conditions of our Revolving Credit Facility restrict our current and future operations, particularly our ability to respond to changes or to take certain actions.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Our Revolving Credit Facility contains a number of restrictive covenants that impose significant operating and financial restrictions on us and may limit our ability to engage in acts that may be in our long-term best interests, including restrictions on our ability to: </w:t>
      </w:r>
    </w:p>
    <w:p>
      <w:pPr>
        <w:pStyle w:val="TextBody"/>
        <w:bidi w:val="0"/>
        <w:spacing w:lineRule="auto" w:line="288" w:before="180" w:after="200"/>
        <w:ind w:left="0" w:right="0" w:hanging="450"/>
        <w:jc w:val="left"/>
        <w:rPr/>
      </w:pPr>
      <w:r>
        <w:rPr>
          <w:color w:val="000000"/>
        </w:rPr>
        <w:t>•</w:t>
      </w:r>
      <w:r>
        <w:rPr>
          <w:rFonts w:ascii="Times New Roman;serif" w:hAnsi="Times New Roman;serif"/>
          <w:b w:val="false"/>
          <w:color w:val="000000"/>
          <w:sz w:val="18"/>
        </w:rPr>
        <w:t xml:space="preserve">incur additional indebtedness or other contingent obligations; </w:t>
      </w:r>
    </w:p>
    <w:p>
      <w:pPr>
        <w:pStyle w:val="TextBody"/>
        <w:bidi w:val="0"/>
        <w:spacing w:lineRule="auto" w:line="288" w:before="180" w:after="200"/>
        <w:ind w:left="0" w:right="0" w:hanging="450"/>
        <w:jc w:val="left"/>
        <w:rPr/>
      </w:pPr>
      <w:r>
        <w:rPr>
          <w:color w:val="000000"/>
        </w:rPr>
        <w:t>•</w:t>
      </w:r>
      <w:r>
        <w:rPr>
          <w:rFonts w:ascii="Times New Roman;serif" w:hAnsi="Times New Roman;serif"/>
          <w:b w:val="false"/>
          <w:color w:val="000000"/>
          <w:sz w:val="18"/>
        </w:rPr>
        <w:t xml:space="preserve">create liens; </w:t>
      </w:r>
    </w:p>
    <w:p>
      <w:pPr>
        <w:pStyle w:val="TextBody"/>
        <w:bidi w:val="0"/>
        <w:spacing w:lineRule="auto" w:line="288" w:before="180" w:after="200"/>
        <w:ind w:left="0" w:right="0" w:hanging="450"/>
        <w:jc w:val="left"/>
        <w:rPr/>
      </w:pPr>
      <w:r>
        <w:rPr>
          <w:color w:val="000000"/>
        </w:rPr>
        <w:t>•</w:t>
      </w:r>
      <w:r>
        <w:rPr>
          <w:rFonts w:ascii="Times New Roman;serif" w:hAnsi="Times New Roman;serif"/>
          <w:b w:val="false"/>
          <w:color w:val="000000"/>
          <w:sz w:val="18"/>
        </w:rPr>
        <w:t xml:space="preserve">make investments, acquisitions, loans and advances; </w:t>
      </w:r>
    </w:p>
    <w:p>
      <w:pPr>
        <w:pStyle w:val="TextBody"/>
        <w:bidi w:val="0"/>
        <w:spacing w:lineRule="auto" w:line="288" w:before="180" w:after="200"/>
        <w:ind w:left="0" w:right="0" w:hanging="450"/>
        <w:jc w:val="left"/>
        <w:rPr/>
      </w:pPr>
      <w:r>
        <w:rPr>
          <w:color w:val="000000"/>
        </w:rPr>
        <w:t>•</w:t>
      </w:r>
      <w:r>
        <w:rPr>
          <w:rFonts w:ascii="Times New Roman;serif" w:hAnsi="Times New Roman;serif"/>
          <w:b w:val="false"/>
          <w:color w:val="000000"/>
          <w:sz w:val="18"/>
        </w:rPr>
        <w:t xml:space="preserve">consolidate, merge, liquidate or dissolve; </w:t>
      </w:r>
    </w:p>
    <w:p>
      <w:pPr>
        <w:pStyle w:val="TextBody"/>
        <w:bidi w:val="0"/>
        <w:spacing w:lineRule="auto" w:line="288" w:before="180" w:after="200"/>
        <w:ind w:left="0" w:right="0" w:hanging="450"/>
        <w:jc w:val="left"/>
        <w:rPr/>
      </w:pPr>
      <w:r>
        <w:rPr>
          <w:color w:val="000000"/>
        </w:rPr>
        <w:t>•</w:t>
      </w:r>
      <w:r>
        <w:rPr>
          <w:rFonts w:ascii="Times New Roman;serif" w:hAnsi="Times New Roman;serif"/>
          <w:b w:val="false"/>
          <w:color w:val="000000"/>
          <w:sz w:val="18"/>
        </w:rPr>
        <w:t xml:space="preserve">sell, transfer or otherwise dispose of our assets; </w:t>
      </w:r>
    </w:p>
    <w:p>
      <w:pPr>
        <w:pStyle w:val="TextBody"/>
        <w:bidi w:val="0"/>
        <w:spacing w:lineRule="auto" w:line="288" w:before="180" w:after="200"/>
        <w:ind w:left="0" w:right="0" w:hanging="450"/>
        <w:jc w:val="left"/>
        <w:rPr/>
      </w:pPr>
      <w:r>
        <w:rPr>
          <w:color w:val="000000"/>
        </w:rPr>
        <w:t>•</w:t>
      </w:r>
      <w:r>
        <w:rPr>
          <w:rFonts w:ascii="Times New Roman;serif" w:hAnsi="Times New Roman;serif"/>
          <w:b w:val="false"/>
          <w:color w:val="000000"/>
          <w:sz w:val="18"/>
        </w:rPr>
        <w:t xml:space="preserve">pay dividends on our equity interests or make other payments in respect of capital stock; and </w:t>
      </w:r>
    </w:p>
    <w:p>
      <w:pPr>
        <w:pStyle w:val="TextBody"/>
        <w:bidi w:val="0"/>
        <w:spacing w:lineRule="auto" w:line="288" w:before="180" w:after="200"/>
        <w:ind w:left="0" w:right="0" w:hanging="450"/>
        <w:jc w:val="left"/>
        <w:rPr/>
      </w:pPr>
      <w:r>
        <w:rPr>
          <w:color w:val="000000"/>
        </w:rPr>
        <w:t>•</w:t>
      </w:r>
      <w:r>
        <w:rPr>
          <w:rFonts w:ascii="Times New Roman;serif" w:hAnsi="Times New Roman;serif"/>
          <w:b w:val="false"/>
          <w:color w:val="000000"/>
          <w:sz w:val="18"/>
        </w:rPr>
        <w:t>materially alter the business we conduct.</w:t>
      </w:r>
    </w:p>
    <w:p>
      <w:pPr>
        <w:pStyle w:val="TextBody"/>
        <w:bidi w:val="0"/>
        <w:spacing w:lineRule="auto" w:line="288" w:before="180" w:after="180"/>
        <w:jc w:val="left"/>
        <w:rPr>
          <w:rFonts w:ascii="Times New Roman;serif" w:hAnsi="Times New Roman;serif"/>
          <w:b w:val="false"/>
          <w:color w:val="000000"/>
          <w:sz w:val="18"/>
        </w:rPr>
      </w:pPr>
      <w:r>
        <w:rPr>
          <w:rFonts w:ascii="Times New Roman;serif" w:hAnsi="Times New Roman;serif"/>
          <w:b w:val="false"/>
          <w:color w:val="000000"/>
          <w:sz w:val="18"/>
        </w:rPr>
        <w:t>The Credit Agreement includes financial covenants that require us to maintain, as of the last day of each fiscal quarter (commencing with the fiscal quarter ending June 30, 2026), (i) a ratio of senior secured indebtedness that is not subordinated in right of payment to the obligations under the Credit Agreement (including the indebtedness under the Credit Agreement) to Consolidated EBITDA (as defined in the Credit Agreement) for the period of four consecutive fiscal quarters ended on such date, of not more than 2.50 to 1.00 and (ii) Consolidated EBITDA for the period of four consecutive fiscal quarters ended on such date, of amounts specified in the Credit Agreement. Our ability to satisfy those tests can be affected by events beyond our control.  </w:t>
      </w:r>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A breach of the covenants or restrictions under the Credit Agreement could result in an event of default under such document. Pursuant to a security agreement with the lenders, we granted a first priority security interest in substantially all of our assets (excluding those held by certain subsidiaries), including certain intellectual property and a pledge of the equity interests in certain subsidiaries, subject to customary exceptions. Accordingly, an event of default may allow the lenders to accelerate the debt and to seize our assets that serve as collateral for any outstanding indebtedness under the Credit Agreement. In the event lenders under the Credit Agreement accelerate the repayment, we may not have sufficient assets to repay that indebtedness or be able to borrow sufficient funds to refinance it. Even if we are able to obtain new financing, it may not be on commercially reasonable terms or on terms acceptable to us. As a result of these restrictions, we may be: </w:t>
      </w:r>
    </w:p>
    <w:p>
      <w:pPr>
        <w:pStyle w:val="TextBody"/>
        <w:bidi w:val="0"/>
        <w:spacing w:lineRule="auto" w:line="288" w:before="180" w:after="200"/>
        <w:ind w:left="0" w:right="0" w:hanging="450"/>
        <w:jc w:val="left"/>
        <w:rPr/>
      </w:pPr>
      <w:r>
        <w:rPr>
          <w:color w:val="000000"/>
        </w:rPr>
        <w:t>•</w:t>
      </w:r>
      <w:r>
        <w:rPr>
          <w:rFonts w:ascii="Times New Roman;serif" w:hAnsi="Times New Roman;serif"/>
          <w:b w:val="false"/>
          <w:color w:val="000000"/>
          <w:sz w:val="18"/>
        </w:rPr>
        <w:t xml:space="preserve">limited in how we conduct our business; </w:t>
      </w:r>
    </w:p>
    <w:p>
      <w:pPr>
        <w:pStyle w:val="TextBody"/>
        <w:bidi w:val="0"/>
        <w:spacing w:lineRule="auto" w:line="288" w:before="180" w:after="200"/>
        <w:ind w:left="0" w:right="0" w:hanging="450"/>
        <w:jc w:val="left"/>
        <w:rPr/>
      </w:pPr>
      <w:r>
        <w:rPr>
          <w:color w:val="000000"/>
        </w:rPr>
        <w:t>•</w:t>
      </w:r>
      <w:r>
        <w:rPr>
          <w:rFonts w:ascii="Times New Roman;serif" w:hAnsi="Times New Roman;serif"/>
          <w:b w:val="false"/>
          <w:color w:val="000000"/>
          <w:sz w:val="18"/>
        </w:rPr>
        <w:t xml:space="preserve">unable to raise additional debt or equity financing to operate during general economic or business downturns; or </w:t>
      </w:r>
    </w:p>
    <w:p>
      <w:pPr>
        <w:pStyle w:val="TextBody"/>
        <w:bidi w:val="0"/>
        <w:spacing w:lineRule="auto" w:line="288" w:before="180" w:after="200"/>
        <w:ind w:left="0" w:right="0" w:hanging="450"/>
        <w:jc w:val="left"/>
        <w:rPr/>
      </w:pPr>
      <w:r>
        <w:rPr>
          <w:color w:val="000000"/>
        </w:rPr>
        <w:t>•</w:t>
      </w:r>
      <w:r>
        <w:rPr>
          <w:rFonts w:ascii="Times New Roman;serif" w:hAnsi="Times New Roman;serif"/>
          <w:b w:val="false"/>
          <w:color w:val="000000"/>
          <w:sz w:val="18"/>
        </w:rPr>
        <w:t>unable to compete effectively or to take advantage of new business opportunities.</w:t>
      </w:r>
    </w:p>
    <w:p>
      <w:pPr>
        <w:pStyle w:val="TextBody"/>
        <w:bidi w:val="0"/>
        <w:spacing w:lineRule="auto" w:line="288" w:before="180" w:after="200"/>
        <w:jc w:val="left"/>
        <w:rPr>
          <w:rFonts w:ascii="Times New Roman;serif" w:hAnsi="Times New Roman;serif"/>
          <w:b w:val="false"/>
          <w:color w:val="000000"/>
          <w:sz w:val="18"/>
        </w:rPr>
      </w:pPr>
      <w:r>
        <w:rPr>
          <w:rFonts w:ascii="Times New Roman;serif" w:hAnsi="Times New Roman;serif"/>
          <w:b w:val="false"/>
          <w:color w:val="000000"/>
          <w:sz w:val="18"/>
        </w:rPr>
        <w:t>These restrictions, along with restrictions that may be contained in agreements evidencing or governing other future indebtedness, may affect our ability to grow in accordance with our growth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Our failure to raise additional capital or generate cash flows necessary to expand our operations and invest in new technologies in the future could reduce our ability to compete successfully and harm our results of operations.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may need to raise additional funds, and we may not be able to obtain additional debt or equity financing on favorable terms or at all. Our need for additional capital will depend on our business needs, requirements and opportunities, including to develop and enhance new and existing products and services, enter new markets, further develop our infrastructure, and comply with any statutory, regulatory or contractual capital and liquidity requirements. In addition, we intend to assess strategic acquisitions as the opportunities arise, some of which may be material to our operations. Our ability to obtain additional capital will depend on our development efforts, business plans, investor demand, operating performance, the condition of the capital markets, and other factors. If we raise additional equity financing or additional convertible note financing, our security holders may experience significant dilution of their ownership interests. The equity securities we issue may also have rights, preferences, or privileges senior to the rights of existing stockholders. If we engage in additional debt financing, we may be required to accept terms that restrict our ability to incur additional indebtedness, force us to maintain specified liquidity or other ratios or restrict our ability to pay dividends or make acquisitions.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If we need additional capital and cannot raise it on acceptable terms, or at all, we may not be able to, among other things: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develop and enhance our member services;</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maintain or expand our marketing efforts;</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maintain our presence in certain existing markets or enter new markets as currently planned, or at all;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continue to expand our organization;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hire, train and retain employees;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respond to competitive pressures or unanticipated working capital requirements; or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pursue acquisition opportunities.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If we are unable to obtain adequate financing or financing on terms satisfactory to us when we require it, our ability to continue to support our business growth and to respond to business challenges could be significantly limited or impaired.</w:t>
      </w:r>
    </w:p>
    <w:p>
      <w:pPr>
        <w:pStyle w:val="TextBody"/>
        <w:bidi w:val="0"/>
        <w:spacing w:lineRule="auto" w:line="288" w:before="200" w:after="200"/>
        <w:jc w:val="left"/>
        <w:rPr>
          <w:rFonts w:ascii="Times New Roman;serif" w:hAnsi="Times New Roman;serif"/>
          <w:b/>
          <w:color w:val="000000"/>
          <w:sz w:val="18"/>
        </w:rPr>
      </w:pPr>
      <w:r>
        <w:rPr>
          <w:rFonts w:ascii="Times New Roman;serif" w:hAnsi="Times New Roman;serif"/>
          <w:b/>
          <w:color w:val="000000"/>
          <w:sz w:val="18"/>
        </w:rPr>
        <w:t>Risks Related to Our Common Stock</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Our operating results and stock price may be volatile, including as a result of factors that are beyond our control.</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quarterly operating results are likely to fluctuate in the future. In addition, securities markets worldwide, and public companies in the healthcare and technology industry in particular,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operating results and the trading price of our shares may fluctuate in response to various factors, including: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market conditions in our industry or the broader stock market;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actual or anticipated fluctuations in our quarterly or annual financial and operating results;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our announcement of actual results for a fiscal period that are higher or lower than revenue or earnings guidance or our announcement of revenue or earnings guidance that is higher or lower than expected;</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introduction of new solutions or services by us or our competitors;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issuance of new or changed securities analysts’ reports or recommendations;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sales, or anticipated sales, of large blocks of our stock;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additions or departures of board members, management or other key personnel;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regulatory or political developments, including those related to Medicare;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litigation and governmental investigations;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changing economic conditions;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investors’ perception of us;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events beyond our control, such as earthquakes, epidemics, weather and war;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any default on our indebtedness.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These and other factors, many of which are beyond our control, may cause our operating results and the market price and demand for our shares to fluctuate substantially. Fluctuations in our quarterly or annual operating results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significantly harm our profitability and reputation. Further, we provide indemnification for our officers and directors for certain claims in connection with such litigation. Large indemnity payments would adversely affect our business, results of operations, and financial condition.</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Our actual operating results may not meet or exceed our guidance and investor expectations, which would likely cause our stock price to decline.</w:t>
      </w:r>
    </w:p>
    <w:p>
      <w:pPr>
        <w:pStyle w:val="TextBody"/>
        <w:bidi w:val="0"/>
        <w:spacing w:lineRule="auto" w:line="288" w:before="200" w:after="200"/>
        <w:jc w:val="left"/>
        <w:rPr/>
      </w:pPr>
      <w:r>
        <w:rPr>
          <w:rFonts w:ascii="Times New Roman;serif" w:hAnsi="Times New Roman;serif"/>
          <w:b w:val="false"/>
          <w:color w:val="000000"/>
          <w:sz w:val="18"/>
        </w:rPr>
        <w:t xml:space="preserve">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Our actual results could differ materially from such projections. Factors that could cause or contribute to such differences include, but are not limited to, those identified in this </w:t>
      </w:r>
      <w:r>
        <w:rPr>
          <w:color w:val="000000"/>
        </w:rPr>
        <w:t>“</w:t>
      </w:r>
      <w:r>
        <w:rPr>
          <w:rFonts w:ascii="Times New Roman;serif" w:hAnsi="Times New Roman;serif"/>
          <w:b w:val="false"/>
          <w:i/>
          <w:color w:val="000000"/>
          <w:sz w:val="18"/>
        </w:rPr>
        <w:t>Risk Factors”</w:t>
      </w:r>
      <w:r>
        <w:rPr>
          <w:color w:val="000000"/>
        </w:rPr>
        <w:t xml:space="preserve"> </w:t>
      </w:r>
      <w:r>
        <w:rPr>
          <w:rFonts w:ascii="Times New Roman;serif" w:hAnsi="Times New Roman;serif"/>
          <w:b w:val="false"/>
          <w:color w:val="000000"/>
          <w:sz w:val="18"/>
        </w:rPr>
        <w:t>section.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common stock may decline.</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An active, liquid trading market for our common stock may not be sustained.</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Although our common stock is currently listed on the Nasdaq Stock Market under the symbol “ALHC,” an active trading market for our shares may not be sustained. Accordingly, if an active trading market for our common stock is not maintained, the liquidity of our common stock would be limited, and holders of our common stock may not be able to sell their shares when desired. Moreover, the prices that they may obtain for their shares would be adversely affected. An inactive market may also impair our ability to raise capital to continue to fund operations by issuing shares and may impair our ability to acquire other companies or technologies by using our shares as consideration.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Future sales and issuances by us of our common stock could result in additional dilution to you and could cause the price of our common stock to drop significantly. Additionally, a significant portion of our total outstanding shares may be sold into the market in the future. This could also cause the market price of our common stock to drop significantly, even if our business is doing well.</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As of December 31, 2025, we had 204,153,619 outstanding shares of common stock. We also had $330 million in aggregate principal amount of convertible notes outstanding that could be converted into additional shares of common stock. From time to time in the future, we may issue additional shares of our common stock or securities convertible into our common stock pursuant to a variety of transactions, including acquisitions. The issuance by us of additional shares of our common stock or securities convertible into our common stock would dilute the ownership of our existing stockholders and may cause the price of our common stock to drop significantly.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Moreover, sales of a substantial number of shares of our common stock in the public market by the existing holders thereof could occur at any time. For example, General Atlantic, which holds approximately 6.7% of our outstanding shares as of December 31, 2025, is entitled, under a registration rights agreement, to require us to register shares owned by it for public sale in the United States. Additionally, we have registered shares of common stock that we may issue under our equity compensation plans. Subject to the satisfaction of vesting conditions, such shares can be freely sold in the public market upon issuance. Sales by these holders, or the perception in the market that the holders of a large number of shares intend to sell shares, could reduce the market price of our common stock. These factors could also make it more difficult for us to raise additional funds through future offerings of our shares of common stock or other securities.</w:t>
      </w:r>
    </w:p>
    <w:p>
      <w:pPr>
        <w:pStyle w:val="TextBody"/>
        <w:bidi w:val="0"/>
        <w:spacing w:lineRule="auto" w:line="288" w:before="200" w:after="200"/>
        <w:jc w:val="left"/>
        <w:rPr/>
      </w:pPr>
      <w:r>
        <w:rPr>
          <w:rFonts w:ascii="Times New Roman;serif" w:hAnsi="Times New Roman;serif"/>
          <w:b/>
          <w:i/>
          <w:color w:val="000000"/>
          <w:sz w:val="18"/>
        </w:rPr>
        <w:t>Conversion of our convertible notes may dilute the percentage of ownership of our stockholders</w:t>
      </w:r>
      <w:r>
        <w:rPr>
          <w:color w:val="000000"/>
        </w:rPr>
        <w:t xml:space="preserve"> </w:t>
      </w:r>
      <w:r>
        <w:rPr>
          <w:rFonts w:ascii="Times New Roman;serif" w:hAnsi="Times New Roman;serif"/>
          <w:b/>
          <w:i/>
          <w:color w:val="000000"/>
          <w:sz w:val="18"/>
        </w:rPr>
        <w:t>and could negatively impact the trading prices of our common stock.</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Upon conversion of the Convertible Notes, we have the option to pay or deliver, as the case may be, cash, shares of our common stock, or a combination of cash and shares, at our election. If we elect to settle conversions of the Convertible Notes by delivering shares of our common stock (or a combination of cash and shares), or if we are otherwise required to do so because we do not have the funds available to settle such conversions in cash, the conversion of some or all of the Convertible Notes may have a significant dilutive impact on our stockholders and could negatively impact the trading prices of our common stock. In addition, if we elect to settle our conversion obligation in shares of our common stock (or a combination of cash and shares), any sales in the public market of our shares issuable upon such conversion could adversely affect prevailing market prices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Our outstanding convertible notes may impact the trading price of our common stock.</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believe that many investors in, and potential purchasers of, convertible debt instruments employ, or seek to employ, a convertible arbitrage strategy with respect to these instruments. Investors that employ a convertible arbitrage strategy with respect to convertible debt instruments typically implement that strategy by selling short the common stock underlying the convertible instrument and dynamically adjusting their short position while they hold the instrument. The implementation of this strategy by investors in the Convertible Notes, as well as related market regulatory actions, could have a significant impact on the trading prices of our common stock, and the trading prices and liquidity of the Convertible Notes. The price of our common stock and the Convertible Notes could also be affected by possible sales of our common stock by investors who view the Convertible Notes as more attractive means of equity participation in us.</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If securities or industry analysts do not publish research or reports about our business, if they adversely change their recommendations regarding our shares or if our results of operations do not meet their expectations, our stock price and trading volume could decline.</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The trading market for our shares is influenced by the research and reports that industry or securities analysts publish about us or our business. We do not have any control over these analysts. If one or more of these analysts cease coverage of us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 xml:space="preserve">We may issue shares of preferred stock in the future, which could make it difficult for another company to acquire us or could otherwise adversely affect holders of our common stock, which could depress the price of our common stock.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adversely affect the market price and the voting and other rights of the holders of our common stock.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We have no current plans to pay regular cash dividends on our common stock for the foreseeable future.</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do not anticipate paying any regular cash dividends on our common stock for the foreseeable future.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Therefore, any return on investment in our common stock is solely dependent upon the appreciation of the price of our common stock on the open market, which may not occur.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Provisions of our corporate governance documents could make an acquisition of us more difficult and may prevent attempts by our shareholders to replace or remove our current management, even if beneficial to our shareholders.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certificate of incorporation and bylaws and the Delaware General Corporation Law (the “DGCL”) contain provisions that could make it more difficult for a third-party to acquire us, even if doing so might be beneficial to our shareholders. Among other things, these provisions: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provide that any amendment, alteration, rescission or repeal of our certificate of incorporation or our bylaws by our stockholders will require the affirmative vote of the holders of at least 66 2/3% in voting power of all the then-outstanding shares of our stock entitled to vote thereon, voting together as a single class;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allow us to authorize the issuance of undesignated preferred stock, the terms of which may be established and the shares of which may be issued without shareholder approval, and which may include supermajority voting, special approval, dividend, or other rights or preferences superior to the rights of stockholders;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provide for a classified board of directors with staggered three-year terms;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 xml:space="preserve">prohibit stockholder action by written consent; and </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18"/>
        </w:rPr>
        <w:t>establish advance notice requirements for nominations for elections to our Board or for proposing matters that can be acted upon by stockholders at stockholder meetings.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certificate of incorporation contains a provision that provides us with protections similar to Section 203 of the DGCL, and prevents us from engaging in a business combination with a person who acquires at least 15% of our common stock for a period of three years from the date such person (excluding the Lead Sponsor and any of its direct or indirect transferees and any group as to which such persons are a party) acquired such common stock, unless Board or stockholder approval is obtained prior to the acquisition. These provisions could discourage, delay or prevent a transaction involving a change in control of our company. These provisions could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discourage proxy contests and make it more difficult for stockholders to elect directors of their choosing and cause us to take other corporate actions they desire, including actions that they may deem advantageous, or negatively affect the trading price of our common stock. In addition, because our Board is responsible for appointing the members of our management team, these provisions could in turn affect any attempt by our stockholders to replace current members of our management team.</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These and other provisions in our certificate of incorporation, bylaws and Delaware law could make it more difficult for stockholders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for our stockholders to realize value in a corporate transaction.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The provision of our certificate of incorporation requiring exclusive forum in the Court of Chancery of the State of Delaware or the federal district courts of the United States for certain types of lawsuits may have the effect of discouraging lawsuits against our directors and officers.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Pursuant to our certificate of incorporation, unless we consent in writing to the selection of an alternative forum, the Court of Chancery of the State of Delaware will be the sole and exclusive forum for (1) any derivative action or proceeding brought on our behalf, (2) any action asserting a claim of breach of a fiduciary duty owed by any of our directors, officers or other employees to us or our shareholders, (3) any action asserting a claim against us arising pursuant to any provision of the DGCL, our certificate of incorporation or our bylaws or (4)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Securities Act, the Exchange Act or any other claim for which there is exclusive federal or concurrent federal and state jurisdiction. Additionally, unless we consent in writing to the selection of an alternative forum, the federal district courts of the United States of America shall be the exclusive forum for the resolution of any complaint asserting a cause of action arising under the Securities Act.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or stockholders, which may discourage lawsuits with respect to such claims. Our stockholders will not be deemed to have waived our compliance with the federal securities laws and the rules and regulations thereunder as a result of our exclusive forum provisions. Further, in the event a court finds any such exclusive forum provision contained in our certificate of incorporation to be unenforceable or inapplicable in an action, we may incur additional costs associated with resolving such action in other jurisdictions, which could harm our business, operating results and financial condition. Our certificate of incorporation further provides that any person or entity purchasing or otherwise acquiring any interest in shares of our capital stock is deemed to have notice of and consented to the provisions of our certificate of incorporation described above. The forum selection clauses in our certificate of incorporation may have the effect of discouraging lawsuits against us or our directors and officers and may limit our shareholders’ ability to obtain a favorable judicial forum for disputes with us. </w:t>
      </w:r>
    </w:p>
    <w:p>
      <w:pPr>
        <w:pStyle w:val="TextBody"/>
        <w:bidi w:val="0"/>
        <w:spacing w:lineRule="auto" w:line="288" w:before="200" w:after="200"/>
        <w:jc w:val="left"/>
        <w:rPr>
          <w:rFonts w:ascii="Times New Roman;serif" w:hAnsi="Times New Roman;serif"/>
          <w:b/>
          <w:color w:val="000000"/>
          <w:sz w:val="18"/>
        </w:rPr>
      </w:pPr>
      <w:r>
        <w:rPr>
          <w:rFonts w:ascii="Times New Roman;serif" w:hAnsi="Times New Roman;serif"/>
          <w:b/>
          <w:color w:val="000000"/>
          <w:sz w:val="18"/>
        </w:rPr>
        <w:t>General Risk Factors</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Economic downturn or unstable market and economic conditions, including rising rates of inflation, may have serious adverse consequences on our business, financial condition and share price.</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Any such volatility and disruptions, or a general sustained economic downturn, may have adverse consequences on us or the third parties on whom we rely. Increased inflation rates, for example, have previously and may in the future adversely affect us by increasing our costs, including interest rates applicable to outstanding indebtedness, labor and employee benefit costs and increasing medical expenses. Additionally, if the equity and credit markets deteriorate, including as a result of natural disaster or due to political unrest or war, it may make any necessary debt or equity financing more difficult to obtain in a timely manner or on favorable terms, more costly or more dilutive. During periods of economic downturn or high unemployment, governmental entities often experience budget deficits as a result of increased costs and lower than expected tax collections. Budget deficits at federal, state and local government entities have decreased, and may continue to decrease, spending for health and human service programs, including Medicare and similar programs, which represents the most significant revenue source for us. Any of these negative economic conditions could have a material adverse effect on our business, results of operations and financial condition.</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Our corporate culture has contributed to our success, and if we cannot maintain this culture as we grow, we could lose the innovation, creativity and teamwork fostered by our culture and our business may be harmed.</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We believe that our culture has been and will continue to be a critical contributor to our differentiated model. We expect to continue to hire aggressively as we expand, and we believe our corporate culture has been crucial in our success and our ability to attract highly skilled personnel. If we do not continue to develop our corporate culture or maintain and preserve our core values of always putting the senior first, supporting doctors, using data and technology to revolutionize healthcare and acting with a serving heart, as we grow and evolve, we may be unable to foster the innovation, curiosity, creativity, focus on execution, teamwork and the facilitation of critical knowledge transfer and knowledge sharing we believe we need to support our growth. Our anticipated headcount growth and our transition from a private company to a public company may result in a change to our corporate culture,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The requirements of being a public company may strain our resources and distract our management, which could make it difficult to manage our business.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As a public company, we incur legal, accounting and other expenses that we did not previously incur. We are subject to the reporting requirements of the Exchange Act and the Sarbanes-Oxley Act of 2002 (the “Sarbanes-Oxley Act”), the listing requirements of and other applicable securities rules and regulations. Compliance with these rules and regulations will continue to increase our legal and financial compliance costs, make some activities more difficult, time-consuming or costly and increase demand on our systems and resources. The Exchange Act requires that we file annual, quarterly and current reports with respect to our business, financial condition and results of operations. The Sarbanes-Oxley Act requires, among other things, that we establish and maintain effective internal controls and procedures for financial reporting, as discussed further below. Furthermore, the need to establish the corporate infrastructure demanded of a public company may divert our management’s attention from implementing our growth strategy, which could prevent us from improving our business, financial condition and results of operations.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In addition,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incur substantial costs to maintain the same or similar coverage. These additional obligations could have a material adverse effect on our business, financial condition and results of operations.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and will continue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As a result of becoming a public company, we are obligated to develop and maintain proper and effective internal control over financial reporting in order to comply with Section 404 of the Sarbanes-Oxley Act.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These internal controls may not be determined to be effective, which may adversely affect investor confidence in us and, as a result, the value of our common stock.</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We are required by Section 404 of the Sarbanes-Oxley Act to furnish a report by management on, among other things, the effectiveness of our internal control over financial reporting. If during the evaluation and testing process we identify one or more material weaknesses or significant deficiencies in our internal control over financial reporting, our management may be unable to assert that our internal control over financial reporting is effective.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Additionally, our independent registered public accounting firm is required to formally attest to the effectiveness of our internal control over financial reporting. Even if our management concludes that our internal control over financial reporting is effective, our independent registered public accounting firm may issue a report that is qualified if it is not satisfied with our controls or the level at which our controls are documented, designed, operated or reviewed.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If we are not able to comply with the requirements of Section 404 of the Sarbanes-Oxley Act,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Third parties may initiate legal proceedings alleging that we are infringing, misappropriating or otherwise violating their intellectual property rights, the outcome of which would be uncertain and could have a material adverse effect on our business, financial condition and results of operations.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Our commercial success depends on our ability to develop and commercialize our products and services and use our internally developed technology without infringing the intellectual property or proprietary rights of third parties. Intellectual property disputes can be costly to defend and may cause our business, operating results and financial condition to suffer. As the market for healthcare in the United States expands and more patents are issued, the risk increases that there may be patents issued to third parties that relate to our technology of which we are not aware or that we must challenge in order to continue our operations as currently or in the future contemplated. Whether merited or not, we may face allegations that we, our partners or parties indemnified by us have infringed, misappropriated or otherwise violated the patents, trademarks, copyrights, trade secrets or other intellectual property rights of third parties. Such claims may be made by competitors seeking to obtain a competitive advantage or by other parties. Additionally, in recent years, individuals and groups have begun purchasing intellectual property assets for the purpose of making such claims and attempting to extract settlements from companies like ours. We may also face allegations that our employees have misappropriated the trade secrets or other intellectual property or proprietary rights of their former employers or other third parties.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It may be necessary for us to initiate litigation to defend ourselves in order to determine the scope, enforceability, validity or ownership of third-party intellectual property or proprietary rights, or to establish our respective rights. We may not be able to successfully settle or otherwise resolve such adversarial proceedings or litigation. If we are unable to successfully settle future claims on terms acceptable to us we may be required to engage in or to continue claims, regardless of whether such claims have merit, that can be time-consuming, divert management’s attention and financial resources and be costly to evaluate and defend. Results of any such litigation are difficult to predict and may require us to stop commercializing or using our technology, obtain licenses, modify our services and technology while we develop non-infringing substitutes or incur substantial damages, settlement costs or face a temporary or permanent injunction prohibiting us from marketing or providing the affected products and services. If we require a third-party license, it may not be available on reasonable terms or at all, and we may have to pay substantial royalties and upfront or ongoing fees, or grant cross-licenses to our own intellectual property rights. Such licenses may also be non-exclusive, which could allow competitors and other parties to use the subject technology in competition with us. We may also have to redesign our services so they do not infringe, misappropriate or otherwise violate third-party intellectual property rights, which may not be possible or may require substantial monetary expenditures and time, during which our technology may not be available for commercialization or use. Even if we have an agreement to indemnify us against such costs, the indemnifying party may be unable to uphold its contractual obligations. If we cannot or do not obtain a third-party license to the infringed technology at all, license the technology on reasonable terms or obtain similar technology from another source, our revenue and earnings could be adversely impacted.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From time to time, we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Moreover, any uncertainties resulting from the initiation and continuation of any legal proceedings could have a material adverse effect on our ability to raise the funds necessary to continue our operations. Any of the foregoing could have a material adverse effect on our business,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1B. Unresolved Staff Comments.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1C. Cybersecurity.</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Risk Management and Strategy</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As we are a company that leverages data, technology and analytics to improve health care, we invest in long-term solutions to address current and foreseeable risks and threats to data security and privacy, while also enabling technological development that enhances the member experience. We recognize the critical importance of developing, implementing, and maintaining robust cybersecurity measures to safeguard our information systems and protect the confidentiality, integrity, and availability of our data.</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 have designed and deployed a comprehensive cybersecurity risk management program that is embedded in our broader risk management framework, all of which is overseen by our Board of Directors. Our program is designed to include ongoing assessment of our critical assets; detection and analysis of potential threats; timely management of identified security risks; and prompt remediation planning and implementation. To successfully operate and monitor our security readiness, we maintain a data security and privacy team with substantial real-world experience to detect and respond to cybersecurity threats. Our multi-layered security is bolstered by technologies and partners and includes annual employee and vendor security awareness trainings, enhanced access control, data loss protection and vulnerability management, among other technical and process security controls. Our proprietary data architecture, AVA, incorporates high security controls around member data. Our information security program considers how attackers are using emerging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technologies (such as artificial intelligence) to help inform our defensive tactics. Our team also regularly reviews emerging product technology to improve our capabilities.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In 2021, we received the externally validated HITRUST certification, the gold standard compliance framework in the health care industry. Through our data security and privacy program and policies, we adhere to the requirements of the Health Insurance Portability and Accountability Act of 1996 (HIPAA), other federal regulations and best-practices within the health care industry. Moreover, our risk analysis methodology is consistent with ISO 27001, the Federal Information Security Management Act and the U.S. Department of Commerce National Institute of Standards and Technology and Center for Internet Security Special Publication 800-66.</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Our strict protection and security measures have resulted in zero security incident-related disruptions or downtime to our business continuity. However, there is no guarantee that a future security incident would not materially affect our business strategy, results of operations or financial condition. See “Risk Factors” beginning on page 1 of this Form 10-K.</w:t>
      </w:r>
    </w:p>
    <w:p>
      <w:pPr>
        <w:pStyle w:val="TextBody"/>
        <w:bidi w:val="0"/>
        <w:spacing w:lineRule="auto" w:line="288" w:before="20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Engagement of Third Parties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Our information security program is under nearly constant third-party review as part of Sarbanes-Oxley compliance and the HITRUST certification process, including independent third-party penetration testing of all information technology assets at least annually and assessment of our vulnerability to ransomware. Multiple industry-standard third-party tools are utilized to detect vulnerabilities. Alignment is a member of the Healthcare Information Sharing and Analysis Center (Health-ISAC) operated by the U.S. Department of Health and Human Services and the Department of Homeland Security and is affiliated with the FBI InfraGard program, providing deep, actionable intelligence regarding healthcare security and privacy threats and countermeasures. We continuously monitor the Health-ISAC reporting to anticipate and respond to potential threats. </w:t>
      </w:r>
    </w:p>
    <w:p>
      <w:pPr>
        <w:pStyle w:val="TextBody"/>
        <w:bidi w:val="0"/>
        <w:spacing w:lineRule="auto" w:line="288" w:before="200" w:after="283"/>
        <w:jc w:val="left"/>
        <w:rPr>
          <w:rFonts w:ascii="Times New Roman;serif" w:hAnsi="Times New Roman;serif"/>
          <w:b w:val="false"/>
          <w:i/>
          <w:color w:val="000000"/>
          <w:sz w:val="18"/>
        </w:rPr>
      </w:pPr>
      <w:r>
        <w:rPr>
          <w:rFonts w:ascii="Times New Roman;serif" w:hAnsi="Times New Roman;serif"/>
          <w:b w:val="false"/>
          <w:i/>
          <w:color w:val="000000"/>
          <w:sz w:val="18"/>
        </w:rPr>
        <w:t>Management of Third-Party Cyber-Risk</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rely on third-party vendors to provide supplemental benefits to our members and for a variety of other key business functions. Accordingly, our vendor onboarding process includes a comprehensive security assessment. Moreover, at least quarterly, we assess the risks from cybersecurity threats relating to each of our member-facing and other key third-party service providers with whom we share protected health information, personal identifying information and confidential information. We generally require our suppliers to adopt security-control principles based on industry-recognized standards and we seek audit rights over their security protocols.</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 xml:space="preserve">Cybersecurity Governance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 a component of its general oversight over key risks to our business, our Board of Directors has established robust oversight mechanisms designed to ensure effective governance in managing risks associated with cybersecurity threats. As a technology-enabled Medicare Advantage platform, we have selected directors with backgrounds in technology and expertise in data privacy and cybersecurity matters, which represent important elements of our risk management strategy.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Our Audit Committee is responsible for the direct oversight of risks from cybersecurity threats. Members of the Audit Committee receive updates on at least a quarterly basis from senior management, including leaders from our information security, compliance and legal teams regarding matters of cybersecurity. Reports by management to the Audit Committee include existing and new cybersecurity risks, status updates regarding how management is addressing and/or mitigating those risks, cybersecurity and data privacy incidents (if any) and status on key information security initiatives. The Audit Committee’s involvement ensures that cybersecurity considerations are integrated into the Company’s broader strategic objectives. The Audit Committee conducts an annual review of the company’s cybersecurity posture and the effectiveness of its risk management strategies. This review helps in identifying areas for improvement and ensuring the alignment of cybersecurity efforts with the overall risk management framework. As needed, this framework also includes consultations with our enterprise risk management committee, led by our Chief Compliance and Privacy Officer.</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Alignment’s cybersecurity organization is led by David MacLeod, our Chief Information Security Officer, who is responsible for the prevention, detection, mitigation, and remediation of cybersecurity incidents and reports to our Chief Digital Officer, as well as to the Audit Committee. Mr. MacLeod has served as our CISO since December 2022, has over 26 years of diverse leadership experience in the healthcare information space (including over 20 years as a certified information systems security professional and chief information security officer) and holds advanced degrees in information technology management and computer science.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CISO is continually informed about the latest developments in cybersecurity, including potential threats and innovative risk management techniques. The CISO implements and oversees processes for the regular monitoring of our information systems. This includes the deployment of advanced security measures and regular system audits to identify potential vulnerabilities. In the event of a cybersecurity incident, the CISO is equipped with a well-defined incident response plan. This plan includes immediate actions to mitigate the impact and long-term strategies for remediation and prevention of future incidents.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2. Properties.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Our corporate headquarters are located in Orange, California at 1100 W. Town and Country Rd, Suite 1600, where we lease approximately 47,321 square feet of office space under a lease that terminates in May 2030. We also have offices located in New York, New York; Las Vegas, Nevada; El Paso, Texas; Sahuarita, and Tucson, Arizona; and Venice, Florida. We also have small clinics located in Milpitas, Modesto and Downey, California; and Raleigh, North Carolina. We believe that our properties are generally suitable to meet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our needs for the foreseeable future. In addition, to the extent we require additional space in the future, we believe that it would be readily available on commercially reasonable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3. Legal Proceedings.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are from time to time subject to, and are presently involved in, litigation and other legal proceedings. We believe that there are no pending lawsuits or claims that, individually or in the aggregate, may have a material effect on our business, financial condition or operating results. The results of any future claims or proceedings cannot be predicted with certainty, and regardless of the outcome, litigation can have an adverse impact on us because of defense and litigation costs, diversion of management resources, and other factors. For a discussion of our material legal actions, including those not in the ordinary course of business, see "Legal Proceedings" in Note 14 to the audited Consolidated Financial Statements included in 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5. Market for Registrant’s Common Equity, Related Stockholder Matters and Issuer Purchases of Equity Securities.</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Market Information</w:t>
      </w:r>
    </w:p>
    <w:p>
      <w:pPr>
        <w:pStyle w:val="TextBody"/>
        <w:bidi w:val="0"/>
        <w:spacing w:lineRule="auto" w:line="288" w:before="200" w:after="283"/>
        <w:jc w:val="left"/>
        <w:rPr/>
      </w:pPr>
      <w:r>
        <w:rPr>
          <w:rFonts w:ascii="Times New Roman;serif" w:hAnsi="Times New Roman;serif"/>
          <w:b w:val="false"/>
          <w:color w:val="000000"/>
          <w:sz w:val="18"/>
        </w:rPr>
        <w:t xml:space="preserve">Our common stock has been traded under the symbol “ALHC” on the Nasdaq Global Select Market since our initial public offering on March 26, 2021. Prior to that time, there was no public market for our common stock. </w:t>
      </w:r>
      <w:r>
        <w:rPr>
          <w:rFonts w:ascii="Times New Roman;serif" w:hAnsi="Times New Roman;serif"/>
          <w:b w:val="false"/>
          <w:color w:val="000000"/>
          <w:sz w:val="18"/>
          <w:shd w:fill="FFFFFF" w:val="clear"/>
        </w:rPr>
        <w:t>As o</w:t>
      </w:r>
      <w:r>
        <w:rPr>
          <w:rFonts w:ascii="Times New Roman;serif" w:hAnsi="Times New Roman;serif"/>
          <w:b w:val="false"/>
          <w:color w:val="000000"/>
          <w:sz w:val="18"/>
        </w:rPr>
        <w:t>f February 24, 2026, there were approximately 44 holders of record of our common stock.</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Dividend Policy</w:t>
      </w:r>
    </w:p>
    <w:p>
      <w:pPr>
        <w:pStyle w:val="TextBody"/>
        <w:bidi w:val="0"/>
        <w:spacing w:lineRule="auto" w:line="288" w:before="200" w:after="283"/>
        <w:jc w:val="left"/>
        <w:rPr/>
      </w:pPr>
      <w:r>
        <w:rPr>
          <w:rFonts w:ascii="Times New Roman;serif" w:hAnsi="Times New Roman;serif"/>
          <w:b w:val="false"/>
          <w:color w:val="000000"/>
          <w:sz w:val="18"/>
        </w:rPr>
        <w:t>We currently intend to retain all available funds and any future earnings to fund the development and growth of our business and to potentially repay any indebtedness and, therefore, we do not anticipate paying any cash dividends in the foreseeable future. Additionally, because we are a holding company, our ability to pay dividends on our common stock may be limited by restrictions on the ability of our regulated insurance subsidiaries to pay dividends or make distributions to us. Any future determination to pay dividends will be at the discretion of our Board, subject to compliance with covenants in current and future agreements governing our and our subsidiaries’ indebtedness, and will depend on our results of operations, financial condition, capital requirements and other factors that our Board may deem relevant. Our outstanding term loan restricts our ability to pay dividends. See the discussion of our term loan in “</w:t>
      </w:r>
      <w:r>
        <w:rPr>
          <w:rFonts w:ascii="Times New Roman;serif" w:hAnsi="Times New Roman;serif"/>
          <w:b w:val="false"/>
          <w:i/>
          <w:color w:val="000000"/>
          <w:sz w:val="18"/>
        </w:rPr>
        <w:t>Item 7. Management’s Discussion and Analysis of Financial Condition and Results of Operations—Liquidity and Capital Resources</w:t>
      </w:r>
      <w:r>
        <w:rPr>
          <w:rFonts w:ascii="Times New Roman;serif" w:hAnsi="Times New Roman;serif"/>
          <w:b w:val="false"/>
          <w:color w:val="000000"/>
          <w:sz w:val="18"/>
        </w:rPr>
        <w:t>.”</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Securities Authorized for Issuance Under Equity Compensation Plans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For information regarding securities authorized for issuance under our equity compensation plans, see Part III, Item 12, “Security Ownership of Certain Beneficial Owners and Management and Related Stockholder Matters.”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Performance Graph</w:t>
      </w:r>
    </w:p>
    <w:p>
      <w:pPr>
        <w:pStyle w:val="TextBody"/>
        <w:bidi w:val="0"/>
        <w:spacing w:lineRule="auto" w:line="288" w:before="200" w:after="283"/>
        <w:jc w:val="left"/>
        <w:rPr>
          <w:rFonts w:ascii="Times New Roman;serif" w:hAnsi="Times New Roman;serif"/>
          <w:b w:val="false"/>
          <w:i/>
          <w:color w:val="000000"/>
          <w:sz w:val="18"/>
        </w:rPr>
      </w:pPr>
      <w:r>
        <w:rPr>
          <w:rFonts w:ascii="Times New Roman;serif" w:hAnsi="Times New Roman;serif"/>
          <w:b w:val="false"/>
          <w:i/>
          <w:color w:val="000000"/>
          <w:sz w:val="18"/>
        </w:rPr>
        <w:t>This performance graph below shall not be deemed “soliciting material” or to be “filed” with the SEC for purposes of Section 18 of the Exchange Act, or otherwise subject to the liabilities under that Section, and shall not be deemed to be incorporated by reference into this Annual Report on Form 10-K or any other filing of Alignment Healthcare, Inc. under the Exchange Act or the Securities Act, whether made before or after the date hereof and irrespective of any general incorporation language in any such filing, except to the extent that we specifically incorporate this information by reference therein.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graph set forth below compares the cumulative total stockholder return on our common stock between March 26, 2021 (the date our common stock commenced trading on the Nasdaq Global Select Market) and December 31, 2025, with the cumulative total return of (a) the Nasdaq Healthcare Index and (b) the S&amp;P 500, over the same period. This graph assumes the investment of $100 on March 26, 2021 in our common stock, the Nasdaq Healthcare Index, and the Nasdaq S&amp;P 500 and assumes the reinvestment of dividends, if any. The graph assumes our closing sales price on March 26, 2021 of $17.31 per share as the initial value of our common stock and not the initial offering price to the public of $18.00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pStyle w:val="TextBody"/>
        <w:bidi w:val="0"/>
        <w:spacing w:before="200" w:after="283"/>
        <w:jc w:val="center"/>
        <w:rPr/>
      </w:pPr>
      <w:r>
        <w:rPr/>
        <w:drawing>
          <wp:inline distT="0" distB="0" distL="0" distR="0">
            <wp:extent cx="5572125" cy="3381375"/>
            <wp:effectExtent l="0" t="0" r="0" b="0"/>
            <wp:docPr id="5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 descr=""/>
                    <pic:cNvPicPr>
                      <a:picLocks noChangeAspect="1" noChangeArrowheads="1"/>
                    </pic:cNvPicPr>
                  </pic:nvPicPr>
                  <pic:blipFill>
                    <a:blip r:embed="rId2"/>
                    <a:stretch>
                      <a:fillRect/>
                    </a:stretch>
                  </pic:blipFill>
                  <pic:spPr bwMode="auto">
                    <a:xfrm>
                      <a:off x="0" y="0"/>
                      <a:ext cx="5572125" cy="3381375"/>
                    </a:xfrm>
                    <a:prstGeom prst="rect">
                      <a:avLst/>
                    </a:prstGeom>
                  </pic:spPr>
                </pic:pic>
              </a:graphicData>
            </a:graphic>
          </wp:inline>
        </w:drawing>
      </w:r>
      <w:bookmarkStart w:id="0" w:name="i-1"/>
      <w:bookmarkEnd w:id="0"/>
    </w:p>
    <w:tbl>
      <w:tblPr>
        <w:tblW w:w="10019" w:type="dxa"/>
        <w:jc w:val="left"/>
        <w:tblInd w:w="0" w:type="dxa"/>
        <w:tblLayout w:type="fixed"/>
        <w:tblCellMar>
          <w:top w:w="28" w:type="dxa"/>
          <w:left w:w="28" w:type="dxa"/>
          <w:bottom w:w="28" w:type="dxa"/>
          <w:right w:w="28" w:type="dxa"/>
        </w:tblCellMar>
      </w:tblPr>
      <w:tblGrid>
        <w:gridCol w:w="993"/>
        <w:gridCol w:w="873"/>
        <w:gridCol w:w="878"/>
        <w:gridCol w:w="196"/>
        <w:gridCol w:w="646"/>
        <w:gridCol w:w="109"/>
        <w:gridCol w:w="109"/>
        <w:gridCol w:w="109"/>
        <w:gridCol w:w="109"/>
        <w:gridCol w:w="208"/>
        <w:gridCol w:w="591"/>
        <w:gridCol w:w="115"/>
        <w:gridCol w:w="109"/>
        <w:gridCol w:w="109"/>
        <w:gridCol w:w="109"/>
        <w:gridCol w:w="208"/>
        <w:gridCol w:w="591"/>
        <w:gridCol w:w="115"/>
        <w:gridCol w:w="109"/>
        <w:gridCol w:w="109"/>
        <w:gridCol w:w="109"/>
        <w:gridCol w:w="208"/>
        <w:gridCol w:w="591"/>
        <w:gridCol w:w="115"/>
        <w:gridCol w:w="109"/>
        <w:gridCol w:w="109"/>
        <w:gridCol w:w="109"/>
        <w:gridCol w:w="196"/>
        <w:gridCol w:w="646"/>
        <w:gridCol w:w="109"/>
        <w:gridCol w:w="109"/>
        <w:gridCol w:w="109"/>
        <w:gridCol w:w="109"/>
        <w:gridCol w:w="196"/>
        <w:gridCol w:w="646"/>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3/26/2021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12/31/2025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Alignment Healthcare, Inc. (ALHC)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Nasdaq Healthcare Index</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123.78</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S&amp;P 500</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117.86</w:t>
            </w:r>
          </w:p>
        </w:tc>
      </w:tr>
    </w:tbl>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Recent Sales of Unregistered Securities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Purchase of Equity Securities by the Issuer and Affiliated Purchasers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7. Management’s Discussion and Analysis of Financial Condition and Results of Operations.</w:t>
      </w:r>
    </w:p>
    <w:p>
      <w:pPr>
        <w:pStyle w:val="TextBody"/>
        <w:bidi w:val="0"/>
        <w:spacing w:lineRule="auto" w:line="288" w:before="200" w:after="283"/>
        <w:jc w:val="left"/>
        <w:rPr>
          <w:rFonts w:ascii="Times New Roman;serif" w:hAnsi="Times New Roman;serif"/>
          <w:b w:val="false"/>
          <w:i/>
          <w:color w:val="000000"/>
          <w:sz w:val="18"/>
        </w:rPr>
      </w:pPr>
      <w:r>
        <w:rPr>
          <w:rFonts w:ascii="Times New Roman;serif" w:hAnsi="Times New Roman;serif"/>
          <w:b w:val="false"/>
          <w:i/>
          <w:color w:val="000000"/>
          <w:sz w:val="18"/>
        </w:rPr>
        <w:t>The following discussion should be read in conjunction with the consolidated financial statements and accompanying notes, which appear elsewhere in this Annual Report on Form 10-K. This discussion contains forward-looking statements that involve risks and uncertainties. Our actual results could differ materially from those anticipated in these forward-looking statements as a result of various factors, including those discussed below and elsewhere in this Annual Report on Form 10-K. See Part I. Item 1A. Risk Factors and Cautionary Note Regarding Forward-Looking Statements. For discussion of 2023 items and year-over-year comparisons between 2024 and 2023 that are not included in this Form 10-K, refer to Item 7. "Management's Discussion and Analysis of Financial Condition and Results of Operations" found in our Annual Report on Form 10-K for the year ended December 31, 2024, filed with the Securities and Exchange Commission on 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Overview</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Alignment is a next generation, consumer-centric and clinically focused platform designed to improve the healthcare experience for seniors. We deliver this experience through our Medicare Advantage plans, which are customized to meet the needs of a diverse array of seniors. Our innovative model of consumer-centric healthcare is purpose-built to provide seniors with care as it should be: high quality, low cost and accompanied by a vastly improved consumer experience. We combine a proprietary technology platform and a high-touch clinical model that enhances our members’ lifestyles and health outcomes while simultaneously controlling costs, which allows us to reinvest savings back into our platform and products to directly benefit the senior consumers. </w:t>
      </w:r>
    </w:p>
    <w:p>
      <w:pPr>
        <w:pStyle w:val="TextBody"/>
        <w:bidi w:val="0"/>
        <w:spacing w:lineRule="auto" w:line="288" w:before="240" w:after="200"/>
        <w:jc w:val="left"/>
        <w:rPr>
          <w:rFonts w:ascii="Times New Roman;serif" w:hAnsi="Times New Roman;serif"/>
          <w:b w:val="false"/>
          <w:color w:val="000000"/>
          <w:sz w:val="18"/>
        </w:rPr>
      </w:pPr>
      <w:r>
        <w:rPr>
          <w:rFonts w:ascii="Times New Roman;serif" w:hAnsi="Times New Roman;serif"/>
          <w:b w:val="false"/>
          <w:color w:val="000000"/>
          <w:sz w:val="18"/>
        </w:rPr>
        <w:t>We have grown Health Plan Membership, which we define as members enrolled in our health maintenance organization ("HMO") and preferred provider organization ("PPO") contracts (the "Alignment Health Plan"), from approximately 13,000 at inception to 236,300 as of December 31, 2025, representing a 30% compound annual growth rate across 45 markets and 5 states. Our ultimate goal is to bring this differentiated, advocacy-driven healthcare experience to millions of senior consumers in the United States and to become the most trusted senior healthcare brand in the country.</w:t>
      </w:r>
    </w:p>
    <w:p>
      <w:pPr>
        <w:pStyle w:val="TextBody"/>
        <w:bidi w:val="0"/>
        <w:spacing w:lineRule="auto" w:line="288" w:before="24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For the 2025 plan year, Alignment offered plans in 45 markets across California (22 markets), North Carolina (16 markets), Nevada (2 markets), Arizona (3 markets) and Texas (2 markets). There are approximately 8.4 million Medicare-eligible seniors in our current markets.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erif" w:hAnsi="Times New Roman;serif"/>
          <w:b/>
          <w:color w:val="000000"/>
          <w:sz w:val="18"/>
        </w:rPr>
      </w:pPr>
      <w:r>
        <w:rPr>
          <w:rFonts w:ascii="Times New Roman;serif" w:hAnsi="Times New Roman;serif"/>
          <w:b/>
          <w:color w:val="000000"/>
          <w:sz w:val="18"/>
        </w:rPr>
        <w:t>Factors Affecting Our Performance</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Our unique clinical model, led by employed clinical teams known as Care Anywhere, acts upon insights derived from our proprietary technology platform, AVA. This integration between our technology and employed care model is a key element of our business with capabilities that we expect to impact our future performance. AVA’s data insights, combined with the clinical control of our care model, enable us to personalize and manage our member relationships, care quality, and to coordinate and manage risk with our provider partners. AVA’s unified platform, analytical tools and data across the healthcare ecosystem enable us to produce consistent outcomes, unit economics and support new member growth. Additionally, our historical financial performance has been, and we expect our financial performance in the future will be, driven by our ability to:</w:t>
      </w:r>
    </w:p>
    <w:p>
      <w:pPr>
        <w:pStyle w:val="TextBody"/>
        <w:bidi w:val="0"/>
        <w:spacing w:lineRule="auto" w:line="288" w:before="200" w:after="200"/>
        <w:ind w:left="0" w:right="0" w:hanging="450"/>
        <w:jc w:val="left"/>
        <w:rPr/>
      </w:pPr>
      <w:r>
        <w:rPr>
          <w:color w:val="000000"/>
        </w:rPr>
        <w:t>•</w:t>
      </w:r>
      <w:r>
        <w:rPr>
          <w:rFonts w:ascii="Times New Roman;serif" w:hAnsi="Times New Roman;serif"/>
          <w:b/>
          <w:i/>
          <w:color w:val="000000"/>
          <w:sz w:val="18"/>
        </w:rPr>
        <w:t xml:space="preserve">Capitalize on Our Existing Market Growth Opportunity: </w:t>
      </w:r>
      <w:r>
        <w:rPr>
          <w:rFonts w:ascii="Times New Roman;serif" w:hAnsi="Times New Roman;serif"/>
          <w:b w:val="false"/>
          <w:color w:val="000000"/>
          <w:sz w:val="18"/>
        </w:rPr>
        <w:t xml:space="preserve">Our ability to attract and retain members to grow in our existing markets depends on our ability to offer a superior value proposition. We routinely take market share from large established players in highly competitive markets, a key source of our health plan membership growth in excess of the industry average. We believe that there are still significant opportunities for future growth even in some of our most mature markets where we have approximately 10-30% market share. As of January 1, 2026, we have approximately 275,300 Health Plan Members, which, according to CMS data, represent only 6% market share of Medicare Advantage enrollees in our markets. </w:t>
      </w:r>
    </w:p>
    <w:p>
      <w:pPr>
        <w:pStyle w:val="TextBody"/>
        <w:bidi w:val="0"/>
        <w:spacing w:lineRule="auto" w:line="288" w:before="0" w:after="200"/>
        <w:ind w:left="0" w:right="0" w:hanging="450"/>
        <w:jc w:val="left"/>
        <w:rPr/>
      </w:pPr>
      <w:r>
        <w:rPr>
          <w:color w:val="000000"/>
        </w:rPr>
        <w:t>•</w:t>
      </w:r>
      <w:r>
        <w:rPr>
          <w:rFonts w:ascii="Times New Roman;serif" w:hAnsi="Times New Roman;serif"/>
          <w:b/>
          <w:i/>
          <w:color w:val="000000"/>
          <w:sz w:val="18"/>
        </w:rPr>
        <w:t xml:space="preserve">Drive Growth and Consistent Outcomes Through New Market Expansion: </w:t>
      </w:r>
      <w:r>
        <w:rPr>
          <w:rFonts w:ascii="Times New Roman;serif" w:hAnsi="Times New Roman;serif"/>
          <w:b w:val="false"/>
          <w:color w:val="000000"/>
          <w:sz w:val="18"/>
        </w:rPr>
        <w:t xml:space="preserve">As part of our long-term growth strategy, we may enter new markets with the goal of building brand awareness across our key stakeholders to achieve meaningful market share over time. We intend to focus on markets with significant senior populations where we expect to be able to replicate our model most effectively. Our existing markets also feature a diverse array of membership profiles across ethnicities, income levels and acuity. Since 2020, we have expanded into 29 markets and four states. </w:t>
      </w:r>
    </w:p>
    <w:p>
      <w:pPr>
        <w:pStyle w:val="TextBody"/>
        <w:bidi w:val="0"/>
        <w:spacing w:lineRule="auto" w:line="288" w:before="120" w:after="200"/>
        <w:ind w:left="0" w:right="0" w:hanging="450"/>
        <w:jc w:val="left"/>
        <w:rPr/>
      </w:pPr>
      <w:r>
        <w:rPr>
          <w:color w:val="000000"/>
        </w:rPr>
        <w:t>•</w:t>
      </w:r>
      <w:r>
        <w:rPr>
          <w:rFonts w:ascii="Times New Roman;serif" w:hAnsi="Times New Roman;serif"/>
          <w:b/>
          <w:i/>
          <w:color w:val="000000"/>
          <w:sz w:val="18"/>
        </w:rPr>
        <w:t xml:space="preserve">Provide Superior Service, Care and Consumer Satisfaction: </w:t>
      </w:r>
      <w:r>
        <w:rPr>
          <w:rFonts w:ascii="Times New Roman;serif" w:hAnsi="Times New Roman;serif"/>
          <w:b w:val="false"/>
          <w:color w:val="000000"/>
          <w:sz w:val="18"/>
        </w:rPr>
        <w:t xml:space="preserve">We are highly focused on providing superior service and care to our members and on maintaining high levels of consumer satisfaction, which are key to our financial performance and growth. The CMS Five Star Quality Rating System provides economic incentives to Medicare Advantage plans that achieve higher Star ratings by (i) meeting certain care criteria (such as completing particular preventative screening procedures or ensuring proper follow-up care is provided for specific conditions or episodes) and (ii) receiving high member satisfaction ratings. These incentives impact financial performance in the year following the CMS Rating Year (for example, CMS’s announcement of the 2026 Ratings occurred in the second half of 2025 and will impact our financial performance in 2027). One hundred percent of our health plan members are enrolled in plans rated 4 stars and above, meaning our members consistently receive a high-quality care experience, as defined under CMS star measurement criteria. The California HMO plan has achieved a 4 star or greater rating for nine consecutive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00"/>
        <w:ind w:left="0" w:right="0" w:hanging="450"/>
        <w:jc w:val="left"/>
        <w:rPr/>
      </w:pPr>
      <w:r>
        <w:rPr>
          <w:color w:val="000000"/>
        </w:rPr>
        <w:t>•</w:t>
      </w:r>
      <w:r>
        <w:rPr>
          <w:rFonts w:ascii="Times New Roman;serif" w:hAnsi="Times New Roman;serif"/>
          <w:b/>
          <w:i/>
          <w:color w:val="000000"/>
          <w:sz w:val="18"/>
        </w:rPr>
        <w:t xml:space="preserve">Effectively Manage the Quality of Care to Improve Member Outcomes: </w:t>
      </w:r>
      <w:r>
        <w:rPr>
          <w:rFonts w:ascii="Times New Roman;serif" w:hAnsi="Times New Roman;serif"/>
          <w:b w:val="false"/>
          <w:color w:val="000000"/>
          <w:sz w:val="18"/>
        </w:rPr>
        <w:t>Our care delivery model is based on a clinical continuum through which we have created a highly personalized experience that is unique to each member depending on their personal health and circumstances. Utilizing data and predictive analytics generated by AVA, our clinical continuum separates seniors into four categories in order to provide optimized care for every stage of a senior’s life: healthy, healthy utilizer, pre-chronic and chronic. We partner with our broader network of community providers to service members in our non-chronic categories, and we have developed a Care Anywhere program implemented by our internal clinical teams to care for our higher risk and/or chronically ill members. By investing in our members’ care proactively, our model has consistently reduced unnecessary and costly care while improving the quality of our members’ lifestyle and healthcare experience. By delivering superior care and preventing avoidable utilization of the healthcare system, we are able to reduce our claims expenditures in some of our largest medical expense categories, which translates to superior medical benefits ratio (“MBR”) financial performance and ultimately the ability to offer richer products in the market.</w:t>
      </w:r>
    </w:p>
    <w:p>
      <w:pPr>
        <w:pStyle w:val="TextBody"/>
        <w:bidi w:val="0"/>
        <w:spacing w:lineRule="auto" w:line="288" w:before="120" w:after="200"/>
        <w:ind w:left="0" w:right="0" w:hanging="450"/>
        <w:jc w:val="left"/>
        <w:rPr/>
      </w:pPr>
      <w:r>
        <w:rPr>
          <w:color w:val="000000"/>
        </w:rPr>
        <w:t>•</w:t>
      </w:r>
      <w:r>
        <w:rPr>
          <w:rFonts w:ascii="Times New Roman;serif" w:hAnsi="Times New Roman;serif"/>
          <w:b/>
          <w:i/>
          <w:color w:val="000000"/>
          <w:sz w:val="18"/>
        </w:rPr>
        <w:t xml:space="preserve">Achieve Superior Unit Economics: </w:t>
      </w:r>
      <w:r>
        <w:rPr>
          <w:rFonts w:ascii="Times New Roman;serif" w:hAnsi="Times New Roman;serif"/>
          <w:b w:val="false"/>
          <w:color w:val="000000"/>
          <w:sz w:val="18"/>
        </w:rPr>
        <w:t>As our senior population ages, their healthcare needs become more frequent and complex. To combat the healthcare cost increases that typically result, we proactively look to (i) connect with our population early in their enrollment with Alignment to assess their care needs, (ii) develop care plans and engage those members with more chronic, complex health challenges in our clinical model, and (iii) continue to monitor and evaluate our healthier members in a preventative fashion over time. Given the Medicare Advantage payment mechanism and the retention of the vast majority of our members who continue to choose Alignment after their initial selection year, we are able to focus our efforts on driving favorable long-term health outcomes for our entire population. As a result, our clinical model efforts have demonstrated the ability to lower the MBRs of our returning members. We believe this is evidence of our ability to manage the financial risk of our members as they age, and that these favorable underlying unit economic trends translate directly to our ability to continue to deliver a richer product to the marketplace. With this dynamic in mind, our consolidated MBR may be impacted year-to-year based on our pace of new member growth and mix of members by cohort. However, we believe our ability to sustain MBR performance improvement over time positions us well to invest in new member growth to drive long-term financial performance.</w:t>
      </w:r>
    </w:p>
    <w:p>
      <w:pPr>
        <w:pStyle w:val="TextBody"/>
        <w:bidi w:val="0"/>
        <w:spacing w:lineRule="auto" w:line="288" w:before="120" w:after="200"/>
        <w:ind w:left="0" w:right="0" w:hanging="450"/>
        <w:jc w:val="left"/>
        <w:rPr/>
      </w:pPr>
      <w:r>
        <w:rPr>
          <w:color w:val="000000"/>
        </w:rPr>
        <w:t>•</w:t>
      </w:r>
      <w:r>
        <w:rPr>
          <w:rFonts w:ascii="Times New Roman;serif" w:hAnsi="Times New Roman;serif"/>
          <w:b/>
          <w:i/>
          <w:color w:val="000000"/>
          <w:sz w:val="18"/>
        </w:rPr>
        <w:t>Invest in our Platform and Growth:</w:t>
      </w:r>
      <w:r>
        <w:rPr>
          <w:color w:val="000000"/>
        </w:rPr>
        <w:t xml:space="preserve"> </w:t>
      </w:r>
      <w:r>
        <w:rPr>
          <w:rFonts w:ascii="Times New Roman;serif" w:hAnsi="Times New Roman;serif"/>
          <w:b w:val="false"/>
          <w:color w:val="000000"/>
          <w:sz w:val="18"/>
        </w:rPr>
        <w:t>We plan to continue to invest in our business in order to further develop our AVA platform, pursue new expansion opportunities and create innovative product offerings. In addition, in order to maintain a differentiated value proposition for our members, we continue to invest in innovative product offerings and supplemental benefits to meet the evolving needs of the senior consumer. We anticipate further investments in our business as we expand into new markets and pursue strategic acquisitions, which we expect will primarily be focused on healthcare delivery groups in key geographies, standalone and provider-sponsored Medicare Advantage plans and other complementary risk bearing assets.</w:t>
      </w:r>
    </w:p>
    <w:p>
      <w:pPr>
        <w:pStyle w:val="TextBody"/>
        <w:bidi w:val="0"/>
        <w:spacing w:lineRule="auto" w:line="288" w:before="120" w:after="200"/>
        <w:ind w:left="0" w:right="0" w:hanging="450"/>
        <w:jc w:val="left"/>
        <w:rPr/>
      </w:pPr>
      <w:r>
        <w:rPr>
          <w:color w:val="000000"/>
        </w:rPr>
        <w:t>•</w:t>
      </w:r>
      <w:r>
        <w:rPr>
          <w:rFonts w:ascii="Times New Roman;serif" w:hAnsi="Times New Roman;serif"/>
          <w:b/>
          <w:i/>
          <w:color w:val="000000"/>
          <w:sz w:val="18"/>
        </w:rPr>
        <w:t>Navigate Seasonality to our Business:</w:t>
      </w:r>
      <w:r>
        <w:rPr>
          <w:color w:val="000000"/>
        </w:rPr>
        <w:t xml:space="preserve"> </w:t>
      </w:r>
      <w:r>
        <w:rPr>
          <w:rFonts w:ascii="Times New Roman;serif" w:hAnsi="Times New Roman;serif"/>
          <w:b w:val="false"/>
          <w:color w:val="000000"/>
          <w:sz w:val="18"/>
        </w:rPr>
        <w:t>Our operational and financial results will experience some variability depending upon the time of year in which they are measured. We experience the largest portion of member growth during the first quarter, when plan enrollment selections made during the annual enrollment period ("AEP") from October 15th through December 7th of the prior year take effect. As a result, we expect to see a significant percentage of our member growth occur on January 1 of a given calendar year. As the year progresses, our per-member revenue often declines as new members join us, typically with less complete or accurate documentation (and therefore lower risk-adjustment scores), and senior mortality disproportionately impacts our higher-acuity (and therefore greater revenue) members. Medical costs will vary seasonally depending on a number of factors, but most significantly the seasons. Certain illnesses, such as the influenza virus, are far more prevalent during colder months of the year, which will result in an increase in medical expenses during these time periods. We therefore expect to see higher levels of per-member medical costs in the first and fourth quarters. The design of our prescription drug coverage (Medicare Part D) results in coverage that varies as a member’s cumulative out-of-pocket costs pass through successive stages of a member’s plan period, which begins annually on January 1 for renewals. Starting in 2025, the benefit redesign under the Inflation Reduction Act resulted in more moderate seasonality than we have experienced in past years. Members still pass through the benefit phases, but our share of the total liability is more consistent through each phase than it has been in the past. In addition, we expect our corporate, general and administrative expenses to increase in absolute dollars for the foreseeable future to support our growth. Due to the timing of many of these investments, including our primary sales and marketing season, we typically incur a greater level of investment in the second half of the year relative to the first half of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Key Business Metrics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In addition to our financial information in accordance with accounting principles generally accepted in the United States of America (“U.S. GAAP”), we review a number of operating and financial metrics, including the following key metrics, to evaluate our business, measure our performance, identify trends affecting our business, formulate business plans and make strategic decisions.</w:t>
      </w:r>
    </w:p>
    <w:tbl>
      <w:tblPr>
        <w:tblW w:w="7764" w:type="dxa"/>
        <w:jc w:val="left"/>
        <w:tblInd w:w="0" w:type="dxa"/>
        <w:tblLayout w:type="fixed"/>
        <w:tblCellMar>
          <w:top w:w="28" w:type="dxa"/>
          <w:left w:w="28" w:type="dxa"/>
          <w:bottom w:w="28" w:type="dxa"/>
          <w:right w:w="28" w:type="dxa"/>
        </w:tblCellMar>
      </w:tblPr>
      <w:tblGrid>
        <w:gridCol w:w="1058"/>
        <w:gridCol w:w="932"/>
        <w:gridCol w:w="935"/>
        <w:gridCol w:w="109"/>
        <w:gridCol w:w="109"/>
        <w:gridCol w:w="109"/>
        <w:gridCol w:w="196"/>
        <w:gridCol w:w="871"/>
        <w:gridCol w:w="256"/>
        <w:gridCol w:w="109"/>
        <w:gridCol w:w="109"/>
        <w:gridCol w:w="109"/>
        <w:gridCol w:w="196"/>
        <w:gridCol w:w="871"/>
        <w:gridCol w:w="256"/>
        <w:gridCol w:w="109"/>
        <w:gridCol w:w="109"/>
        <w:gridCol w:w="109"/>
        <w:gridCol w:w="323"/>
        <w:gridCol w:w="323"/>
        <w:gridCol w:w="566"/>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(dollars in '000's,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 Change</w:t>
            </w:r>
            <w:r>
              <w:rPr>
                <w:color w:val="000000"/>
                <w:shd w:fill="FFFFFF" w:val="clear"/>
              </w:rPr>
              <w:t xml:space="preserve"> </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Health plan membership (at period 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Medical benefits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3,948,719 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2,703,561 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(128,071)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8111.1 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Adjusted gross profit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494,775 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(1)See "Adjusted EBITDA" and "Adjusted Gross Profit" below for reconciliation to the most directly comparable financial measure calculated in accordance with GAAP and related disclosures.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Health Plan Membership</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 define Health Plan Membership as the number of members enrolled in our HMO and PPO contracts as of the end of a reporting period. We believe this is an important metric to assess growth of our underlying business, which is indicative of our ability to consistently offer a superior value proposition to seniors. This metric excludes third-party payor members which we are at-risk for managing their healthcare expenditures, which represented approximately 300 and 400 members as of December 31, 2025 and December 31, 2024, respectively. It also excludes approximately 6,400 and 8,300 ACO REACH members as of December 31, 2025 and December 31, 2024, respectively. We discontinued our participation in the ACO REACH model as of December 31, 2025. </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Adjusted Gross Profit and Medical Benefits Ratio</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 is a non-GAAP financial measure that we define as income (loss) from operations before depreciation and amortization, medical equity-based compensation expense, clinical restructuring costs and selling, general, and administrative expenses. Adjusted gross profit is a key measure used by our management and Board to understand and evaluate our operating performance and trends before the impact of our consolidated selling, general and administrative expenses.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 should not be considered in isolation of, or as an alternative to, measures prepared in accordance with GAAP. There are a number of limitations related to the use of adjusted gross profit in lieu of income (loss) from operations, which is the most directly comparable financial measure calculated in accordance with GAAP.</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Our use of the term adjusted gross profit may vary from the use of similar terms by other companies in our industry and accordingly may not be comparable to similarly titled measures used by other companies.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 is reconciled as follows:</w:t>
      </w:r>
    </w:p>
    <w:tbl>
      <w:tblPr>
        <w:tblW w:w="5993" w:type="dxa"/>
        <w:jc w:val="left"/>
        <w:tblInd w:w="0" w:type="dxa"/>
        <w:tblLayout w:type="fixed"/>
        <w:tblCellMar>
          <w:top w:w="28" w:type="dxa"/>
          <w:left w:w="28" w:type="dxa"/>
          <w:bottom w:w="28" w:type="dxa"/>
          <w:right w:w="28" w:type="dxa"/>
        </w:tblCellMar>
      </w:tblPr>
      <w:tblGrid>
        <w:gridCol w:w="1253"/>
        <w:gridCol w:w="1104"/>
        <w:gridCol w:w="1107"/>
        <w:gridCol w:w="196"/>
        <w:gridCol w:w="736"/>
        <w:gridCol w:w="109"/>
        <w:gridCol w:w="109"/>
        <w:gridCol w:w="109"/>
        <w:gridCol w:w="109"/>
        <w:gridCol w:w="196"/>
        <w:gridCol w:w="811"/>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(101,555)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 (medical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(medical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 xml:space="preserve">Restructuring costs (medical expenses) </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Depreciation and amortization</w:t>
            </w:r>
            <w:r>
              <w:rPr>
                <w:color w:val="000000"/>
              </w:rPr>
              <w:t xml:space="preserve"> </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add back</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480,023 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404,162 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494,775 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302,607 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(1)Represents severance and related costs incurred as part of a corporate restructuring designed to streamline our organizational structure and drive operational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 xml:space="preserve">(2)Amortization expense for the year ended December 31, 2025 includes $0.6 million in impairment expense related to the remeasurement of goodwill associated with one of our subsidiaries. Amortization expense for the year ended December 31, 2024 includes $0.6 million in impairment expense related to intangible assets that were written off during the year.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calculate our MBR by dividing total medical expenses, excluding depreciation, medical equity-based compensation and clinical restructuring costs, by total revenues in a given period. We believe our MBR is an indicator of our gross profit for our Medicare Advantage plans and demonstrates the ability of our clinical model to produce differentiated outcomes by identifying and providing targeted care to our high-risk members resulting in improved member health and reduced total population medical expenses. We expect that this metric may fluctuate over time due to a variety of factors, including our pace of new member growth given that new members typically join Alignment with higher MBRs, while our model has demonstrated an ability to improve MBR for a given cohort over time.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When we determine, on an annual basis, whether we have satisfied the CMS minimum Medical Loss Ratio of 85%, adjustments are made to the MBR calculation to include certain additional expenses related to improving the quality of care provided, and to exclude certain taxes and fees, in each case as permitted or required by CMS and applicable regulatory requirements.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Adjusted EBITDA</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Adjusted EBITDA is a non-GAAP financial measure that we define as net income (loss) before interest expense, income taxes, depreciation and amortization expense, acquisition expenses, certain litigation costs, gains or losses on right of use ("ROU") assets, gains or losses on sale of property and equipment, restructuring costs, equity-based compensation expense, and loss on extinguishment of debt. Adjusted EBITDA is a key measure used by our management and our Board to understand and evaluate our operating performance and trends, to prepare and approve our annual budget and to develop short and long-term operating plans. In particular, we believe that the exclusion of the amounts eliminated in calculating Adjusted EBITDA provides useful measures for period-to-period comparisons of our business, as we do not consider the excluded items to be part of our ongoing results of operations. Given our intent to continue to invest in our platform and the scalability of our business in the short to medium-term, we believe Adjusted EBITDA over the long term will be an important indicator of value creation.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Adjusted EBITDA should not be considered in isolation of, or as an alternative to, measures prepared in accordance with GAAP. There are a number of limitations related to the use of Adjusted EBITDA in lieu of net income (loss), which is the most directly comparable financial measure calculated in accordance with GAAP.</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Our use of the term Adjusted EBITDA may vary from the use of similar terms by other companies in our industry and accordingly may not be comparable to similarly titled measures used by other companies.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Adjusted EBITDA is reconciled as follows:</w:t>
      </w:r>
    </w:p>
    <w:tbl>
      <w:tblPr>
        <w:tblW w:w="6294" w:type="dxa"/>
        <w:jc w:val="left"/>
        <w:tblInd w:w="0" w:type="dxa"/>
        <w:tblLayout w:type="fixed"/>
        <w:tblCellMar>
          <w:top w:w="28" w:type="dxa"/>
          <w:left w:w="28" w:type="dxa"/>
          <w:bottom w:w="28" w:type="dxa"/>
          <w:right w:w="28" w:type="dxa"/>
        </w:tblCellMar>
      </w:tblPr>
      <w:tblGrid>
        <w:gridCol w:w="1361"/>
        <w:gridCol w:w="1200"/>
        <w:gridCol w:w="1204"/>
        <w:gridCol w:w="196"/>
        <w:gridCol w:w="736"/>
        <w:gridCol w:w="109"/>
        <w:gridCol w:w="109"/>
        <w:gridCol w:w="109"/>
        <w:gridCol w:w="109"/>
        <w:gridCol w:w="196"/>
        <w:gridCol w:w="811"/>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(128,071)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 xml:space="preserve">Depreciation and amortization </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Equity-based compensation </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Acquisition expenses </w:t>
            </w:r>
            <w:r>
              <w:rPr>
                <w:rFonts w:ascii="Times New Roman;serif" w:hAnsi="Times New Roman;serif"/>
                <w:b w:val="false"/>
                <w:color w:val="000000"/>
                <w:sz w:val="12"/>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Litigation costs </w:t>
            </w:r>
            <w:r>
              <w:rPr>
                <w:rFonts w:ascii="Times New Roman;serif" w:hAnsi="Times New Roman;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(Gain) loss on ROU assets </w:t>
            </w:r>
            <w:r>
              <w:rPr>
                <w:rFonts w:ascii="Times New Roman;serif" w:hAnsi="Times New Roman;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 xml:space="preserve">Restructuring costs </w:t>
            </w:r>
            <w:r>
              <w:rPr>
                <w:rFonts w:ascii="Times New Roman;serif" w:hAnsi="Times New Roman;serif"/>
                <w:b w:val="false"/>
                <w:color w:val="000000"/>
                <w:sz w:val="12"/>
              </w:rPr>
              <w:t>(6)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(1)Amortization expense for the year ended December 31, 2025 includes $0.6 million in impairment expense related to the remeasurement of goodwill associated with one of our subsidiaries. Amortization expense for the year ended December 31, 2024 includes $0.6 million in impairment expense related to intangible assets that were written off during the year.</w:t>
      </w:r>
    </w:p>
    <w:p>
      <w:pPr>
        <w:pStyle w:val="TextBody"/>
        <w:bidi w:val="0"/>
        <w:spacing w:lineRule="auto" w:line="288" w:before="120" w:after="283"/>
        <w:ind w:left="0" w:right="0" w:hanging="180"/>
        <w:jc w:val="left"/>
        <w:rPr/>
      </w:pP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14"/>
        </w:rPr>
        <w:t>Represents equity-based compensation related to grants made in the applicable year</w:t>
      </w:r>
    </w:p>
    <w:p>
      <w:pPr>
        <w:pStyle w:val="TextBody"/>
        <w:bidi w:val="0"/>
        <w:spacing w:lineRule="auto" w:line="288" w:before="120" w:after="283"/>
        <w:ind w:left="0" w:right="0" w:hanging="180"/>
        <w:jc w:val="left"/>
        <w:rPr/>
      </w:pP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14"/>
        </w:rPr>
        <w:t>Represents acquisition-related fees, such as legal and advisory fees, that are non-capitalizable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83"/>
        <w:ind w:left="0" w:right="0" w:hanging="180"/>
        <w:jc w:val="left"/>
        <w:rPr/>
      </w:pPr>
      <w:r>
        <w:rPr>
          <w:rFonts w:ascii="Times New Roman;serif" w:hAnsi="Times New Roman;serif"/>
          <w:b w:val="false"/>
          <w:color w:val="000000"/>
          <w:sz w:val="14"/>
        </w:rPr>
        <w:t>(4)</w:t>
      </w:r>
      <w:r>
        <w:rPr>
          <w:color w:val="000000"/>
        </w:rPr>
        <w:t xml:space="preserve"> </w:t>
      </w:r>
      <w:r>
        <w:rPr>
          <w:rFonts w:ascii="Times New Roman;serif" w:hAnsi="Times New Roman;serif"/>
          <w:b w:val="false"/>
          <w:color w:val="000000"/>
          <w:sz w:val="14"/>
        </w:rPr>
        <w:t>Represents litigation costs considered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pStyle w:val="TextBody"/>
        <w:bidi w:val="0"/>
        <w:spacing w:lineRule="auto" w:line="288" w:before="120" w:after="283"/>
        <w:ind w:left="0" w:right="0" w:hanging="180"/>
        <w:jc w:val="left"/>
        <w:rPr/>
      </w:pPr>
      <w:r>
        <w:rPr>
          <w:rFonts w:ascii="Times New Roman;serif" w:hAnsi="Times New Roman;serif"/>
          <w:b w:val="false"/>
          <w:color w:val="000000"/>
          <w:sz w:val="14"/>
        </w:rPr>
        <w:t>(5)</w:t>
      </w:r>
      <w:r>
        <w:rPr>
          <w:color w:val="000000"/>
        </w:rPr>
        <w:t xml:space="preserve"> </w:t>
      </w:r>
      <w:r>
        <w:rPr>
          <w:rFonts w:ascii="Times New Roman;serif" w:hAnsi="Times New Roman;serif"/>
          <w:b w:val="false"/>
          <w:color w:val="000000"/>
          <w:sz w:val="14"/>
        </w:rPr>
        <w:t>Represents gains or losses related to ROU assets that were terminated or subleased in the respective period</w:t>
      </w:r>
    </w:p>
    <w:p>
      <w:pPr>
        <w:pStyle w:val="TextBody"/>
        <w:bidi w:val="0"/>
        <w:spacing w:lineRule="auto" w:line="288" w:before="120" w:after="283"/>
        <w:ind w:left="0" w:right="0" w:hanging="180"/>
        <w:jc w:val="left"/>
        <w:rPr/>
      </w:pPr>
      <w:r>
        <w:rPr>
          <w:rFonts w:ascii="Times New Roman;serif" w:hAnsi="Times New Roman;serif"/>
          <w:b w:val="false"/>
          <w:color w:val="000000"/>
          <w:sz w:val="14"/>
        </w:rPr>
        <w:t>(6)</w:t>
      </w:r>
      <w:r>
        <w:rPr>
          <w:color w:val="000000"/>
        </w:rPr>
        <w:t xml:space="preserve"> </w:t>
      </w:r>
      <w:r>
        <w:rPr>
          <w:rFonts w:ascii="Times New Roman;serif" w:hAnsi="Times New Roman;serif"/>
          <w:b w:val="false"/>
          <w:color w:val="000000"/>
          <w:sz w:val="14"/>
        </w:rPr>
        <w:t>Represents severance and related costs incurred as part of a corporate restructuring designed to streamline our organizational structure and drive operational efficiencies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Results of Operations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operate and manage our business as a single reporting and operating segment, which is to provide healthcare services to our seniors. The components of our results of operations are as follows: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Revenues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Our revenue is comprised of earned premiums and other revenue. We receive and record premium revenue on a monthly basis from the federal government based on our contract with CMS. In accordance with this arrangement, we assume the responsibility for the outcomes and the economic risk of funding our members’ healthcare, supplemental benefits and related administration costs. We recognize premium revenue in the month that members are entitled to receive healthcare services, and premiums collected in advance are deferred. The monthly premium that we receive under our contract with CMS includes a PMPM which is adjusted based on certain risk factors derived from medical diagnoses for our members. The adjustments are estimated by projecting the ultimate annual premium and are recognized ratably during the year, with adjustments in each period to the amount of revenue recognized to reflect changes in the estimated ultimate premium. Premiums are also recorded net of estimated uncollectible amounts and retroactive membership adjustments.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Our recognized premium revenue for the Alignment Health Plan is subject to a minimum annual medical loss ratio (“MLR”) of 85%. The MLR represents medical costs as a percentage of premium revenue. The Code of Federal Regulations defines what specifically constitutes medical expenses and premium revenue for the MLR test, and if the minimum MLR is not met, we are required to remit a portion of the premiums back to the federal government. The amount remitted, if any, is recognized as an adjustment to premium revenues in the consolidated statement of operations. The amounts payable under this provision were immaterial at December 31, 2025 and December 31, 2024. </w:t>
      </w:r>
    </w:p>
    <w:p>
      <w:pPr>
        <w:pStyle w:val="TextBody"/>
        <w:bidi w:val="0"/>
        <w:spacing w:lineRule="auto" w:line="288" w:before="200" w:after="283"/>
        <w:jc w:val="left"/>
        <w:rPr/>
      </w:pPr>
      <w:r>
        <w:rPr>
          <w:rFonts w:ascii="Times New Roman;serif" w:hAnsi="Times New Roman;serif"/>
          <w:b w:val="false"/>
          <w:color w:val="000000"/>
          <w:sz w:val="18"/>
        </w:rPr>
        <w:t>The premium and capitation payments we receive monthly from CMS for our members are based on the annual bid that we submit to CMS. These payments represent revenues for providing healthcare coverage, including Medicare Part D benefits. Under the Medicare Part D program, our members and the members of the third-party payors receive standard drug benefits. We may also provide enhanced benefits at our own expense. We recognize premium or capitation revenue for providing this insurance coverage in the month that members are entitled to receive health care services and any premium or capitation collected in advance is deferred. Our CMS payment related to Medicare Part D is subject to risk sharing through the Medicare Part D risk corridor provisions. See “—</w:t>
      </w:r>
      <w:r>
        <w:rPr>
          <w:rFonts w:ascii="Times New Roman;serif" w:hAnsi="Times New Roman;serif"/>
          <w:b w:val="false"/>
          <w:i/>
          <w:color w:val="000000"/>
          <w:sz w:val="18"/>
        </w:rPr>
        <w:t>Critical Accounting Estimates</w:t>
      </w:r>
      <w:r>
        <w:rPr>
          <w:color w:val="000000"/>
        </w:rPr>
        <w:t>—</w:t>
      </w:r>
      <w:r>
        <w:rPr>
          <w:rFonts w:ascii="Times New Roman;serif" w:hAnsi="Times New Roman;serif"/>
          <w:b w:val="false"/>
          <w:i/>
          <w:color w:val="000000"/>
          <w:sz w:val="18"/>
        </w:rPr>
        <w:t>Revenue”</w:t>
      </w:r>
      <w:r>
        <w:rPr>
          <w:color w:val="000000"/>
        </w:rPr>
        <w:t xml:space="preserve"> </w:t>
      </w:r>
      <w:r>
        <w:rPr>
          <w:rFonts w:ascii="Times New Roman;serif" w:hAnsi="Times New Roman;serif"/>
          <w:b w:val="false"/>
          <w:color w:val="000000"/>
          <w:sz w:val="18"/>
        </w:rPr>
        <w:t>below</w:t>
      </w:r>
      <w:r>
        <w:rPr>
          <w:rFonts w:ascii="Times New Roman;serif" w:hAnsi="Times New Roman;serif"/>
          <w:b w:val="false"/>
          <w:i/>
          <w:color w:val="000000"/>
          <w:sz w:val="18"/>
        </w:rPr>
        <w:t>.</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 also participate in the CMS “ACO Realizing Equity, Access, and Community Health Model” or “ACO REACH” model, formerly the Direct Contracting Model ("DCE"). CMS serves as the claim adjudicator for institutional and specialists care, and directly pays for such fee for service claims. The ACO REACH entity ("ACO") is responsible for the cost of health care services related to the patient population attributed to the ACO by participating in 100% savings/losses via the risk share model and in some cases, are financially responsible for the supplemental benefits provided to the patients. In 2024, we entered into a management services and risk management agreement with a third-party healthcare company. The third-party is responsible for arranging and controlling the health care services provided to the ACO members, and for providing certain management and support services with respect to ACO operations. The third-party also assumes specified upside and downside financial risks relative to the ACO’s performance. As a result of this arrangement, revenue is recorded on a net basis within other revenue on the consolidated statement of operations for the years ended December 31, 2025 and 2024. On July 30, 2025, we notified CMS that we will discontinue our participation in the ACO REACH model as of December 31, 2025. We expect this to have an immaterial impact to our financial results. </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Expenses</w:t>
      </w:r>
    </w:p>
    <w:p>
      <w:pPr>
        <w:pStyle w:val="TextBody"/>
        <w:bidi w:val="0"/>
        <w:spacing w:lineRule="auto" w:line="288" w:before="200" w:after="283"/>
        <w:jc w:val="left"/>
        <w:rPr/>
      </w:pPr>
      <w:r>
        <w:rPr>
          <w:rFonts w:ascii="Times New Roman;serif" w:hAnsi="Times New Roman;serif"/>
          <w:b w:val="false"/>
          <w:i/>
          <w:color w:val="000000"/>
          <w:sz w:val="18"/>
        </w:rPr>
        <w:t xml:space="preserve">Medical Expenses. </w:t>
      </w:r>
      <w:r>
        <w:rPr>
          <w:rFonts w:ascii="Times New Roman;serif" w:hAnsi="Times New Roman;serif"/>
          <w:b w:val="false"/>
          <w:color w:val="000000"/>
          <w:sz w:val="18"/>
        </w:rPr>
        <w:t>Medical expenses include claim payments, capitation payments, pharmacy costs net of rebates, allocations of certain centralized expenses, supplemental benefits, internal care delivery expenses and various other costs incurred to provide health insurance coverage to members, as well as estimates of future payments to hospitals and others for medical care previously provided to our members. Medical expenses also include clinical depreciation and restructuring costs, as discussed above.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have contracts with a network of hospitals, physicians, and other providers and compensate those providers and ancillary organizations based on contractual arrangements or CMS Medicare compensation guidelines. We pay these contracting providers either through fee-for-service arrangements in which the provider is paid negotiated rates for specific services provided, or through capitation payments, which represent monthly contractual fees disbursed for each member regardless of medical services provided to the member. We are ultimately responsible for the entirety of the cost of healthcare services related to our member population, in addition to supplemental benefits that we provide to our seniors.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Capitation-related expenses are recorded on an accrual basis during the coverage period. Expenses related to fee-for-service contracts are recorded in the period in which the related services are dispensed.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Pharmacy costs represent payments for members’ prescription drug benefits, net of rebates from drug manufacturers. Receivables for such manufacturer rebates are included in accounts receivable in the consolidated balance sheet.</w:t>
      </w:r>
    </w:p>
    <w:p>
      <w:pPr>
        <w:pStyle w:val="TextBody"/>
        <w:bidi w:val="0"/>
        <w:spacing w:lineRule="auto" w:line="288" w:before="200" w:after="283"/>
        <w:jc w:val="left"/>
        <w:rPr/>
      </w:pPr>
      <w:r>
        <w:rPr>
          <w:rFonts w:ascii="Times New Roman;serif" w:hAnsi="Times New Roman;serif"/>
          <w:b w:val="false"/>
          <w:i/>
          <w:color w:val="000000"/>
          <w:sz w:val="18"/>
        </w:rPr>
        <w:t>Selling, General and Administrative Expenses.</w:t>
      </w:r>
      <w:r>
        <w:rPr>
          <w:color w:val="000000"/>
        </w:rPr>
        <w:t xml:space="preserve"> </w:t>
      </w:r>
      <w:r>
        <w:rPr>
          <w:rFonts w:ascii="Times New Roman;serif" w:hAnsi="Times New Roman;serif"/>
          <w:b w:val="false"/>
          <w:color w:val="000000"/>
          <w:sz w:val="18"/>
        </w:rPr>
        <w:t>Selling, general and administrative expenses consist of (i) personnel expenses including salaries, bonuses, equity-based compensation expense and benefits for non-clinical employees; (ii) all corporate technology, occupancy costs and allocated overhead costs; (iii) professional and outside services, including external vendors and professional services; (iv) costs associated with administering our contracts with CMS, including claims adjudication, member and concierge services, provider engagement, and other health plan functions; and (v) central and community-based advertising costs to generate greater awareness, engagement and retention among our current and prospective members, as well as the infrastructure required to support all of our marketing efforts and ongoing commission payments. These expenses also include restructuring costs, as discussed above, and certain growth expenditures, including business development and various new market expansion activities. Our investments in our sales, marketing and other growth activities are an important component of our selling, general and administrative expenses in a typical year given our desire to continue to grow on an accelerated trajectory. We anticipate continuing to invest heavily in our growth efforts in the near future, which we believe will be an important driver of long-term value creation.</w:t>
      </w:r>
    </w:p>
    <w:p>
      <w:pPr>
        <w:pStyle w:val="TextBody"/>
        <w:bidi w:val="0"/>
        <w:spacing w:lineRule="auto" w:line="288" w:before="200" w:after="283"/>
        <w:jc w:val="left"/>
        <w:rPr/>
      </w:pPr>
      <w:r>
        <w:rPr>
          <w:rFonts w:ascii="Times New Roman;serif" w:hAnsi="Times New Roman;serif"/>
          <w:b w:val="false"/>
          <w:i/>
          <w:color w:val="000000"/>
          <w:sz w:val="18"/>
        </w:rPr>
        <w:t>Depreciation and Amortization</w:t>
      </w:r>
      <w:r>
        <w:rPr>
          <w:rFonts w:ascii="Times New Roman;serif" w:hAnsi="Times New Roman;serif"/>
          <w:b w:val="false"/>
          <w:color w:val="000000"/>
          <w:sz w:val="18"/>
        </w:rPr>
        <w:t>. Depreciation and amortization expenses are primarily attributable to our capital investment and consist of fixed asset depreciation, amortization of intangibles considered to have definite lives and amortization of capitalized internal-use software costs.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Other Expense</w:t>
      </w:r>
    </w:p>
    <w:p>
      <w:pPr>
        <w:pStyle w:val="TextBody"/>
        <w:bidi w:val="0"/>
        <w:spacing w:lineRule="auto" w:line="288" w:before="200" w:after="283"/>
        <w:jc w:val="left"/>
        <w:rPr/>
      </w:pPr>
      <w:r>
        <w:rPr>
          <w:rFonts w:ascii="Times New Roman;serif" w:hAnsi="Times New Roman;serif"/>
          <w:b w:val="false"/>
          <w:i/>
          <w:color w:val="000000"/>
          <w:sz w:val="18"/>
        </w:rPr>
        <w:t xml:space="preserve">Interest Expense. </w:t>
      </w:r>
      <w:r>
        <w:rPr>
          <w:rFonts w:ascii="Times New Roman;serif" w:hAnsi="Times New Roman;serif"/>
          <w:b w:val="false"/>
          <w:color w:val="000000"/>
          <w:sz w:val="18"/>
        </w:rPr>
        <w:t>Interest expense consists primarily of interest payments related to the convertible notes that were issued in November 2024. See “—</w:t>
      </w:r>
      <w:r>
        <w:rPr>
          <w:rFonts w:ascii="Times New Roman;serif" w:hAnsi="Times New Roman;serif"/>
          <w:b w:val="false"/>
          <w:i/>
          <w:color w:val="000000"/>
          <w:sz w:val="18"/>
        </w:rPr>
        <w:t>Liquidity and Capital Resources.</w:t>
      </w:r>
      <w:r>
        <w:rPr>
          <w:color w:val="000000"/>
        </w:rPr>
        <w:t>”</w:t>
      </w:r>
    </w:p>
    <w:p>
      <w:pPr>
        <w:pStyle w:val="TextBody"/>
        <w:bidi w:val="0"/>
        <w:spacing w:lineRule="auto" w:line="288" w:before="200" w:after="283"/>
        <w:jc w:val="left"/>
        <w:rPr/>
      </w:pPr>
      <w:r>
        <w:rPr>
          <w:rFonts w:ascii="Times New Roman;serif" w:hAnsi="Times New Roman;serif"/>
          <w:b w:val="false"/>
          <w:i/>
          <w:color w:val="000000"/>
          <w:sz w:val="18"/>
        </w:rPr>
        <w:t xml:space="preserve">Other (Income) Expenses. </w:t>
      </w:r>
      <w:r>
        <w:rPr>
          <w:rFonts w:ascii="Times New Roman;serif" w:hAnsi="Times New Roman;serif"/>
          <w:b w:val="false"/>
          <w:color w:val="000000"/>
          <w:sz w:val="18"/>
        </w:rPr>
        <w:t>Other (income) expenses consist primarily of gains or losses on the disposition of assets, as well as sublease income.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following table sets forth our consolidated statements of operations data for the periods indicated:</w:t>
      </w:r>
    </w:p>
    <w:tbl>
      <w:tblPr>
        <w:tblW w:w="6488" w:type="dxa"/>
        <w:jc w:val="left"/>
        <w:tblInd w:w="0" w:type="dxa"/>
        <w:tblLayout w:type="fixed"/>
        <w:tblCellMar>
          <w:top w:w="28" w:type="dxa"/>
          <w:left w:w="28" w:type="dxa"/>
          <w:bottom w:w="28" w:type="dxa"/>
          <w:right w:w="28" w:type="dxa"/>
        </w:tblCellMar>
      </w:tblPr>
      <w:tblGrid>
        <w:gridCol w:w="1361"/>
        <w:gridCol w:w="1200"/>
        <w:gridCol w:w="1203"/>
        <w:gridCol w:w="196"/>
        <w:gridCol w:w="871"/>
        <w:gridCol w:w="109"/>
        <w:gridCol w:w="109"/>
        <w:gridCol w:w="109"/>
        <w:gridCol w:w="109"/>
        <w:gridCol w:w="196"/>
        <w:gridCol w:w="871"/>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Earned premiums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2,671,931 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3,948,719 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2,703,561 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Medical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3,460,156 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2,406,870 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3,933,967 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2,805,116 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(101,555)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26,495 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(128,050)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(128,071)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Alignment Healthcare, Inc.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(128,035)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following table sets forth our consolidated statements of operations data expressed as a percentage of total revenues for the periods indicated:</w:t>
      </w:r>
    </w:p>
    <w:tbl>
      <w:tblPr>
        <w:tblW w:w="6240" w:type="dxa"/>
        <w:jc w:val="left"/>
        <w:tblInd w:w="0" w:type="dxa"/>
        <w:tblLayout w:type="fixed"/>
        <w:tblCellMar>
          <w:top w:w="28" w:type="dxa"/>
          <w:left w:w="28" w:type="dxa"/>
          <w:bottom w:w="28" w:type="dxa"/>
          <w:right w:w="28" w:type="dxa"/>
        </w:tblCellMar>
      </w:tblPr>
      <w:tblGrid>
        <w:gridCol w:w="1358"/>
        <w:gridCol w:w="1200"/>
        <w:gridCol w:w="1206"/>
        <w:gridCol w:w="278"/>
        <w:gridCol w:w="278"/>
        <w:gridCol w:w="395"/>
        <w:gridCol w:w="168"/>
        <w:gridCol w:w="168"/>
        <w:gridCol w:w="168"/>
        <w:gridCol w:w="278"/>
        <w:gridCol w:w="278"/>
        <w:gridCol w:w="465"/>
      </w:tblGrid>
      <w:tr>
        <w:trPr/>
        <w:tc>
          <w:tcPr>
            <w:tcW w:w="1358"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 of revenue)</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Earned premiums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Medical expenses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Alignment Healthcare, Inc.</w:t>
            </w:r>
          </w:p>
        </w:tc>
        <w:tc>
          <w:tcPr>
            <w:tcW w:w="55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4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Revenues</w:t>
      </w:r>
    </w:p>
    <w:tbl>
      <w:tblPr>
        <w:tblW w:w="7046" w:type="dxa"/>
        <w:jc w:val="left"/>
        <w:tblInd w:w="0" w:type="dxa"/>
        <w:tblLayout w:type="fixed"/>
        <w:tblCellMar>
          <w:top w:w="28" w:type="dxa"/>
          <w:left w:w="28" w:type="dxa"/>
          <w:bottom w:w="28" w:type="dxa"/>
          <w:right w:w="28" w:type="dxa"/>
        </w:tblCellMar>
      </w:tblPr>
      <w:tblGrid>
        <w:gridCol w:w="640"/>
        <w:gridCol w:w="564"/>
        <w:gridCol w:w="566"/>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233"/>
        <w:gridCol w:w="233"/>
        <w:gridCol w:w="301"/>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Change</w:t>
            </w:r>
            <w:r>
              <w:rPr>
                <w:color w:val="000000"/>
                <w:shd w:fill="FFFFFF" w:val="clear"/>
              </w:rPr>
              <w:t xml:space="preserve"> </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w:t>
            </w:r>
            <w:r>
              <w:rPr>
                <w:color w:val="000000"/>
                <w:shd w:fill="FFFFFF" w:val="clear"/>
              </w:rPr>
              <w:t xml:space="preserve"> </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Earned premiums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1,239,787 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3,948,719 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2,703,561 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1,245,158 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83"/>
        <w:jc w:val="left"/>
        <w:rPr/>
      </w:pPr>
      <w:r>
        <w:rPr>
          <w:rFonts w:ascii="Times New Roman;serif" w:hAnsi="Times New Roman;serif"/>
          <w:b w:val="false"/>
          <w:i/>
          <w:color w:val="000000"/>
          <w:sz w:val="18"/>
        </w:rPr>
        <w:t xml:space="preserve">Earned Premiums. </w:t>
      </w:r>
      <w:r>
        <w:rPr>
          <w:rFonts w:ascii="Times New Roman;serif" w:hAnsi="Times New Roman;serif"/>
          <w:b w:val="false"/>
          <w:color w:val="000000"/>
          <w:sz w:val="18"/>
        </w:rPr>
        <w:t xml:space="preserve">Earned premium revenues were $3,911.7 million and $2,671.9 million for the years ended December 31, 2025 and 2024, respectively, an increase of $1,239.8 million or 46.4%. The increase was primarily driven by growth in our Health Plan membership, which increased 25.0% between December 31, 2025 and December 31, 2024 and higher revenue per member per month. The increase in revenue per member per month is primarily attributable to an increase in the CMS benchmark rates and Part D revenue rates from changes arising from the Inflation Reduction Act. </w:t>
      </w:r>
    </w:p>
    <w:p>
      <w:pPr>
        <w:pStyle w:val="TextBody"/>
        <w:bidi w:val="0"/>
        <w:spacing w:lineRule="auto" w:line="288" w:before="200" w:after="283"/>
        <w:jc w:val="left"/>
        <w:rPr/>
      </w:pPr>
      <w:r>
        <w:rPr>
          <w:rFonts w:ascii="Times New Roman;serif" w:hAnsi="Times New Roman;serif"/>
          <w:b w:val="false"/>
          <w:i/>
          <w:color w:val="000000"/>
          <w:sz w:val="18"/>
        </w:rPr>
        <w:t xml:space="preserve">Other Revenues. </w:t>
      </w:r>
      <w:r>
        <w:rPr>
          <w:rFonts w:ascii="Times New Roman;serif" w:hAnsi="Times New Roman;serif"/>
          <w:b w:val="false"/>
          <w:color w:val="000000"/>
          <w:sz w:val="18"/>
        </w:rPr>
        <w:t>Other revenues increased $5.4 million for the year ended December 31, 2025 compared to the year ended December 31, 2024. The increase is mainly attributable to an increase in the interest rate of our interest earning cash balances and current investments and an increase in revenue from services provided to third-party providers. Cash and cash equivalents, and other current investments were $604.2 million as of December 31, 2025 compared to $470.7 million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58</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Expenses</w:t>
      </w:r>
    </w:p>
    <w:tbl>
      <w:tblPr>
        <w:tblW w:w="8515" w:type="dxa"/>
        <w:jc w:val="left"/>
        <w:tblInd w:w="0" w:type="dxa"/>
        <w:tblLayout w:type="fixed"/>
        <w:tblCellMar>
          <w:top w:w="28" w:type="dxa"/>
          <w:left w:w="28" w:type="dxa"/>
          <w:bottom w:w="28" w:type="dxa"/>
          <w:right w:w="28" w:type="dxa"/>
        </w:tblCellMar>
      </w:tblPr>
      <w:tblGrid>
        <w:gridCol w:w="1171"/>
        <w:gridCol w:w="1032"/>
        <w:gridCol w:w="1036"/>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233"/>
        <w:gridCol w:w="233"/>
        <w:gridCol w:w="301"/>
      </w:tblGrid>
      <w:tr>
        <w:trPr/>
        <w:tc>
          <w:tcPr>
            <w:tcW w:w="117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Change</w:t>
            </w:r>
            <w:r>
              <w:rPr>
                <w:color w:val="000000"/>
                <w:shd w:fill="FFFFFF" w:val="clear"/>
              </w:rPr>
              <w:t xml:space="preserve"> </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w:t>
            </w:r>
            <w:r>
              <w:rPr>
                <w:color w:val="000000"/>
                <w:shd w:fill="FFFFFF" w:val="clear"/>
              </w:rPr>
              <w:t xml:space="preserve"> </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Medical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3,460,156 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2,406,870 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443,407 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371,374 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72,033 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30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3,933,967 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2,805,116 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1,128,851 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3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83"/>
        <w:jc w:val="left"/>
        <w:rPr/>
      </w:pPr>
      <w:r>
        <w:rPr>
          <w:rFonts w:ascii="Times New Roman;serif" w:hAnsi="Times New Roman;serif"/>
          <w:b w:val="false"/>
          <w:i/>
          <w:color w:val="000000"/>
          <w:sz w:val="18"/>
        </w:rPr>
        <w:t>Medical Expenses.</w:t>
      </w:r>
      <w:r>
        <w:rPr>
          <w:color w:val="000000"/>
        </w:rPr>
        <w:t xml:space="preserve"> </w:t>
      </w:r>
      <w:r>
        <w:rPr>
          <w:rFonts w:ascii="Times New Roman;serif" w:hAnsi="Times New Roman;serif"/>
          <w:b w:val="false"/>
          <w:color w:val="000000"/>
          <w:sz w:val="18"/>
        </w:rPr>
        <w:t>Medical expenses were $3,460.2 million and $2,406.9 million for the years ended December 31, 2025 and 2024, respectively, an increase of $1,053.3 million, or 43.8%. The increase was driven primarily by the growth in Alignment Health Plan membership, which increased 25.0% between December 31, 2025 and December 31, 2024, an increase in unit costs and an increase to our Part D cost sharing due to changes arising from the Inflation Reduction Act. Overall, medical expenses for the year ended December 31, 2025 grew at a lower rate than earned premium revenues compared to the year ended December 31, 2024, primarily due to a higher percentage of new members relative to returning members in 2024 compared to 2025. The increase was offset by increases in unit costs.</w:t>
      </w:r>
    </w:p>
    <w:p>
      <w:pPr>
        <w:pStyle w:val="TextBody"/>
        <w:bidi w:val="0"/>
        <w:spacing w:lineRule="auto" w:line="288" w:before="200" w:after="283"/>
        <w:jc w:val="left"/>
        <w:rPr/>
      </w:pPr>
      <w:r>
        <w:rPr>
          <w:rFonts w:ascii="Times New Roman;serif" w:hAnsi="Times New Roman;serif"/>
          <w:b w:val="false"/>
          <w:i/>
          <w:color w:val="000000"/>
          <w:sz w:val="18"/>
        </w:rPr>
        <w:t>Selling, General and Administrative Expenses.</w:t>
      </w:r>
      <w:r>
        <w:rPr>
          <w:color w:val="000000"/>
        </w:rPr>
        <w:t xml:space="preserve"> </w:t>
      </w:r>
      <w:r>
        <w:rPr>
          <w:rFonts w:ascii="Times New Roman;serif" w:hAnsi="Times New Roman;serif"/>
          <w:b w:val="false"/>
          <w:color w:val="000000"/>
          <w:sz w:val="18"/>
        </w:rPr>
        <w:t>Selling, general and administrative expenses were $443.4 million and $371.4 million for the years ended December 31, 2025 and 2024, respectively, an increase of $72.0 million, or 19.4%. The increase was primarily due to an increase in ongoing investments and expenditures in operations, network development and sales and marketing to support the growth of Alignment's Health Plan membership. Selling, general, and administrative expenses as a percentage of revenue decreased for the year ended December 31, 2025 compared to the year ended December 31, 2024 due to economies of scale gained from Alignment's membership growth.</w:t>
      </w:r>
    </w:p>
    <w:p>
      <w:pPr>
        <w:pStyle w:val="TextBody"/>
        <w:bidi w:val="0"/>
        <w:spacing w:lineRule="auto" w:line="288" w:before="200" w:after="283"/>
        <w:jc w:val="left"/>
        <w:rPr/>
      </w:pPr>
      <w:r>
        <w:rPr>
          <w:rFonts w:ascii="Times New Roman;serif" w:hAnsi="Times New Roman;serif"/>
          <w:b w:val="false"/>
          <w:i/>
          <w:color w:val="000000"/>
          <w:sz w:val="18"/>
        </w:rPr>
        <w:t xml:space="preserve">Depreciation and Amortization. </w:t>
      </w:r>
      <w:r>
        <w:rPr>
          <w:rFonts w:ascii="Times New Roman;serif" w:hAnsi="Times New Roman;serif"/>
          <w:b w:val="false"/>
          <w:color w:val="000000"/>
          <w:sz w:val="18"/>
        </w:rPr>
        <w:t xml:space="preserve">Depreciation and amortization expense was $30.4 million and $26.9 million for the years ended December 31, 2025 and 2024, respectively, an increase of $3.5 million, or 13.1%. The increase was primarily due to the amount and timing of our capital expenditures and the associated depreciation relative to 2024. </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Other Expenses</w:t>
      </w:r>
    </w:p>
    <w:p>
      <w:pPr>
        <w:pStyle w:val="TextBody"/>
        <w:bidi w:val="0"/>
        <w:spacing w:lineRule="auto" w:line="288" w:before="200" w:after="283"/>
        <w:jc w:val="left"/>
        <w:rPr/>
      </w:pPr>
      <w:r>
        <w:rPr>
          <w:rFonts w:ascii="Times New Roman;serif" w:hAnsi="Times New Roman;serif"/>
          <w:b w:val="false"/>
          <w:i/>
          <w:color w:val="000000"/>
          <w:sz w:val="18"/>
        </w:rPr>
        <w:t>Interest expense.</w:t>
      </w:r>
      <w:r>
        <w:rPr>
          <w:color w:val="000000"/>
        </w:rPr>
        <w:t xml:space="preserve"> </w:t>
      </w:r>
      <w:r>
        <w:rPr>
          <w:rFonts w:ascii="Times New Roman;serif" w:hAnsi="Times New Roman;serif"/>
          <w:b w:val="false"/>
          <w:color w:val="000000"/>
          <w:sz w:val="18"/>
        </w:rPr>
        <w:t>Interest expense was $15.8 million and $23.5 million for the years ended December 31, 2025</w:t>
      </w:r>
      <w:r>
        <w:rPr>
          <w:color w:val="EE2724"/>
        </w:rPr>
        <w:t xml:space="preserve"> </w:t>
      </w:r>
      <w:r>
        <w:rPr>
          <w:rFonts w:ascii="Times New Roman;serif" w:hAnsi="Times New Roman;serif"/>
          <w:b w:val="false"/>
          <w:color w:val="000000"/>
          <w:sz w:val="18"/>
        </w:rPr>
        <w:t xml:space="preserve">and 2024, respectively, a decrease of $7.7 million or 32.8%. The decrease in interest expense was mainly attributable to a decrease in the interest rate on our debt following refinancing in November 2024. The convertible notes have an interest rate of 4.25%, compared to our prior term loans which had an average interest rate of 11.77% for the year ended December 31, 2024. The decrease in interest rate was offset by an increase in our average long-term debt balance which was $330.0 million for the year ended December 31, 2025 compared to an average balance of $247.5 million for the year ended December 31, 2024. </w:t>
      </w:r>
    </w:p>
    <w:p>
      <w:pPr>
        <w:pStyle w:val="TextBody"/>
        <w:bidi w:val="0"/>
        <w:spacing w:lineRule="auto" w:line="288" w:before="200" w:after="283"/>
        <w:jc w:val="left"/>
        <w:rPr/>
      </w:pPr>
      <w:r>
        <w:rPr>
          <w:rFonts w:ascii="Times New Roman;serif" w:hAnsi="Times New Roman;serif"/>
          <w:b w:val="false"/>
          <w:i/>
          <w:color w:val="000000"/>
          <w:sz w:val="18"/>
        </w:rPr>
        <w:t>Other income, net</w:t>
      </w:r>
      <w:r>
        <w:rPr>
          <w:rFonts w:ascii="Times New Roman;serif" w:hAnsi="Times New Roman;serif"/>
          <w:b w:val="false"/>
          <w:color w:val="000000"/>
          <w:sz w:val="18"/>
        </w:rPr>
        <w:t>. Other income was $0.1 million and $0.1 million for the years ended December 31, 2025</w:t>
      </w:r>
      <w:r>
        <w:rPr>
          <w:color w:val="EE2724"/>
        </w:rPr>
        <w:t xml:space="preserve"> </w:t>
      </w:r>
      <w:r>
        <w:rPr>
          <w:rFonts w:ascii="Times New Roman;serif" w:hAnsi="Times New Roman;serif"/>
          <w:b w:val="false"/>
          <w:color w:val="000000"/>
          <w:sz w:val="18"/>
        </w:rPr>
        <w:t>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Liquidity and Capital Resources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General</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 date, we have financed our operations principally through our IPO, private placements of our equity securities, revenues, certain term loans and convertible notes (described below). As of December 31, 2025, we had $604.2 million in cash, cash equivalents and short-term investments.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operate as a holding company in a highly regulated industry. Alignment Healthcare, Inc., our parent company, is dependent upon dividends and administrative expense reimbursements from our subsidiaries, most of which are subject to regulatory restrictions. We maintain significant levels of aggregate excess statutory capital and surplus in our state-regulated operating subsidiaries. As of December 31, 2025, our operating parent company (an indirect wholly owned subsidiary of our parent company) had $171.2 million in cash, cash equivalents and short-term investments.</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We may incur operating losses in the future due to the investments we intend to continue to make in expanding our operations and sales and marketing, in further developing our technology and due to the general and administrative costs we expect to incur in connection with continuing to operate as a public company. As a result, we may require additional capital resources to execute strategic initiatives to grow our business.</w:t>
      </w:r>
    </w:p>
    <w:p>
      <w:pPr>
        <w:pStyle w:val="TextBody"/>
        <w:bidi w:val="0"/>
        <w:spacing w:lineRule="auto" w:line="276"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 believe that our liquid assets will be sufficient to fund our operating and organic capital needs for at least the next 12 months. Our assessment of the period of time through which our financial resources will be adequate to support our operations is a forward-looking statement and involves risks and uncertainties. Our actual results could vary because of, and our future capital requirements will depend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59</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76" w:before="240" w:after="283"/>
        <w:jc w:val="left"/>
        <w:rPr>
          <w:rFonts w:ascii="Times New Roman;serif" w:hAnsi="Times New Roman;serif"/>
          <w:b w:val="false"/>
          <w:color w:val="000000"/>
          <w:sz w:val="18"/>
        </w:rPr>
      </w:pPr>
      <w:r>
        <w:rPr>
          <w:rFonts w:ascii="Times New Roman;serif" w:hAnsi="Times New Roman;serif"/>
          <w:b w:val="false"/>
          <w:color w:val="000000"/>
          <w:sz w:val="18"/>
        </w:rPr>
        <w:t>on, many factors, including our growth rate, the timing and extent of spending to expand our presence in existing markets, expand into new markets, increase our sales and marketing activities and develop our technology. Additionally, in the future we may enter into arrangements to acquire or invest in complementary businesses, services and technologies, including intellectual property rights, which may also substantially increase our capital needs.</w:t>
      </w:r>
    </w:p>
    <w:p>
      <w:pPr>
        <w:pStyle w:val="TextBody"/>
        <w:bidi w:val="0"/>
        <w:spacing w:lineRule="auto" w:line="276" w:before="240" w:after="283"/>
        <w:jc w:val="left"/>
        <w:rPr>
          <w:rFonts w:ascii="Times New Roman;serif" w:hAnsi="Times New Roman;serif"/>
          <w:b w:val="false"/>
          <w:color w:val="000000"/>
          <w:sz w:val="18"/>
        </w:rPr>
      </w:pPr>
      <w:r>
        <w:rPr>
          <w:rFonts w:ascii="Times New Roman;serif" w:hAnsi="Times New Roman;serif"/>
          <w:b w:val="false"/>
          <w:color w:val="000000"/>
          <w:sz w:val="18"/>
        </w:rPr>
        <w:t>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pStyle w:val="TextBody"/>
        <w:bidi w:val="0"/>
        <w:spacing w:lineRule="auto" w:line="276" w:before="240" w:after="283"/>
        <w:jc w:val="left"/>
        <w:rPr>
          <w:rFonts w:ascii="Times New Roman;serif" w:hAnsi="Times New Roman;serif"/>
          <w:b w:val="false"/>
          <w:color w:val="000000"/>
          <w:sz w:val="18"/>
        </w:rPr>
      </w:pPr>
      <w:r>
        <w:rPr>
          <w:rFonts w:ascii="Times New Roman;serif" w:hAnsi="Times New Roman;serif"/>
          <w:b w:val="false"/>
          <w:color w:val="000000"/>
          <w:sz w:val="18"/>
        </w:rPr>
        <w:t>Certain states in which we operate as a CMS-licensed Medicare Advantage company may require us to meet certain capital adequacy performance standards and tests. The National Association of Insurance Commissioners has adopted rules which, if implemented by the states, set minimum capitalization requirements for insurance companies, HMOs, and other entities bearing risk for healthcare coverage. The requirements take the form of risk-based capital (“RBC”) rules, which may vary from state to state. Certain states in which our health plans or risk bearing entities operate have adopted the RBC rules. Other states in which our health plans or risk bearing entities operate have chosen not to adopt the RBC rules, but instead have designed and implemented their own rules regarding capital adequacy, such as the tangible net equity ("TNE") requirements for our health plans in California. As of December 31, 2025, our health plans or risk-bearing entities were in compliance with the minimum capital requirements.</w:t>
      </w:r>
    </w:p>
    <w:p>
      <w:pPr>
        <w:pStyle w:val="TextBody"/>
        <w:bidi w:val="0"/>
        <w:spacing w:lineRule="auto" w:line="288" w:before="200" w:after="283"/>
        <w:jc w:val="left"/>
        <w:rPr>
          <w:rFonts w:ascii="Times New Roman;serif" w:hAnsi="Times New Roman;serif"/>
          <w:b w:val="false"/>
          <w:i/>
          <w:color w:val="000000"/>
          <w:sz w:val="18"/>
        </w:rPr>
      </w:pPr>
      <w:r>
        <w:rPr>
          <w:rFonts w:ascii="Times New Roman;serif" w:hAnsi="Times New Roman;serif"/>
          <w:b w:val="false"/>
          <w:i/>
          <w:color w:val="000000"/>
          <w:sz w:val="18"/>
        </w:rPr>
        <w:t>Oxford Term Loan</w:t>
      </w:r>
    </w:p>
    <w:p>
      <w:pPr>
        <w:pStyle w:val="TextBody"/>
        <w:bidi w:val="0"/>
        <w:spacing w:lineRule="auto" w:line="288" w:before="200" w:after="283"/>
        <w:jc w:val="left"/>
        <w:rPr/>
      </w:pPr>
      <w:r>
        <w:rPr>
          <w:rFonts w:ascii="Times New Roman;serif" w:hAnsi="Times New Roman;serif"/>
          <w:b w:val="false"/>
          <w:color w:val="000000"/>
          <w:sz w:val="18"/>
        </w:rPr>
        <w:t>On September 2, 2022 (the “Effective Date”), we, Alignment Healthcare USA, LLC, an indirect subsidiary of the Company (the “Borrower”) and certain of our other subsidiaries (together with the Company and the Borrower, the “Borrower Parties”) entered into a term loan agreement (the “Oxford Loan Agreement”) with Oxford Finance LLC (“Oxford”), as administrative agent, collateral agent and a lender, and the other lenders from time to time party thereto (collectively, the “Lenders”), pursuant to which the Lenders have agreed to lend the Borrower an aggregate principal amount of up to $250.0 million in a series of term loans (the “Term Loans”). Pursuant to the Oxford Loan Agreement, the Borrower received an initial Term Loan of $165.0 million on the Effective Date and had the option to borrow up to an additional $85.0 million of Term Loans (such additional Term Loans, the “Delayed Draw Term Loans”). On June 14, 2024, we borrowed $50.0 million in aggregate principal amount of the Delayed Draw Term Loans prior to the expiration date for such amount of the Delayed Draw Term Loans of June 30, 2024.</w:t>
      </w:r>
      <w:r>
        <w:rPr>
          <w:color w:val="000000"/>
        </w:rPr>
        <w:t xml:space="preserve"> </w:t>
      </w:r>
      <w:r>
        <w:rPr>
          <w:rFonts w:ascii="Times New Roman;serif" w:hAnsi="Times New Roman;serif"/>
          <w:b w:val="false"/>
          <w:color w:val="000000"/>
          <w:sz w:val="18"/>
        </w:rPr>
        <w:t xml:space="preserve">Interest on the Term Loans was a variable rate equal to (i) the secured overnight financing rate administered by the Federal Reserve Bank of New York for a one-month tenor, subject to a floor of 1.00%, plus (ii) an applicable margin of 6.50%.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In connection with the issuance of the convertible senior notes, as noted below, we repaid all amounts outstanding under the term loans with Oxford Finance on November 22, 2024.</w:t>
      </w:r>
    </w:p>
    <w:p>
      <w:pPr>
        <w:pStyle w:val="TextBody"/>
        <w:bidi w:val="0"/>
        <w:spacing w:lineRule="auto" w:line="288" w:before="200" w:after="283"/>
        <w:jc w:val="left"/>
        <w:rPr>
          <w:rFonts w:ascii="Times New Roman;serif" w:hAnsi="Times New Roman;serif"/>
          <w:b w:val="false"/>
          <w:i/>
          <w:color w:val="000000"/>
          <w:sz w:val="18"/>
        </w:rPr>
      </w:pPr>
      <w:r>
        <w:rPr>
          <w:rFonts w:ascii="Times New Roman;serif" w:hAnsi="Times New Roman;serif"/>
          <w:b w:val="false"/>
          <w:i/>
          <w:color w:val="000000"/>
          <w:sz w:val="18"/>
        </w:rPr>
        <w:t>Convertible Senior Notes</w:t>
      </w:r>
    </w:p>
    <w:p>
      <w:pPr>
        <w:pStyle w:val="TextBody"/>
        <w:bidi w:val="0"/>
        <w:spacing w:lineRule="auto" w:line="288" w:before="200" w:after="283"/>
        <w:jc w:val="left"/>
        <w:rPr/>
      </w:pPr>
      <w:r>
        <w:rPr>
          <w:rFonts w:ascii="Times New Roman;serif" w:hAnsi="Times New Roman;serif"/>
          <w:b w:val="false"/>
          <w:color w:val="000000"/>
          <w:sz w:val="18"/>
        </w:rPr>
        <w:t>On November 22, 2024 (the "Effective Date"), Alignment Healthcare Inc. (the "Company") completed the sale of $330.0 million of its 4.25%</w:t>
      </w:r>
      <w:r>
        <w:rPr>
          <w:color w:val="000000"/>
        </w:rPr>
        <w:t xml:space="preserve"> </w:t>
      </w:r>
      <w:r>
        <w:rPr>
          <w:rFonts w:ascii="Times New Roman;serif" w:hAnsi="Times New Roman;serif"/>
          <w:b w:val="false"/>
          <w:color w:val="000000"/>
          <w:sz w:val="18"/>
        </w:rPr>
        <w:t>Convertible Senior Notes (the "Notes"). The Notes were issued pursuant to an indenture (the "Indenture"), dated as of November 22, 2024, between the Company and U.S. Bank Trust Company, National Association, as trustee (the "Trustee"). The Notes are senior, unsecured obligations of the Company, and interest will be payable semi-annually in arrears at a rate of 4.25% per annum beginning on May 15, 2025. The Notes will mature on November 15, 2029, unless earlier repurchased, redeemed or converted in accordance with their terms. The net cash proceeds from the sale of the Notes was approximately $321.1 million, after subtracting fees, discounts and estimated expenses in connection with the transaction.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Prior to the close of business on the business day immediately preceding August 15, 2029, the Notes will be convertible at the option of holders during certain periods, upon satisfaction of certain conditions. On or after August 15, 2029, the Notes will be convertible at any time until the close of business on the second scheduled trading day immediately preceding the maturity date. Upon conversion, the Notes may be settled in shares of Company common stock, cash or a combination of cash and shares of Company common stock, at the Company’s election.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Notes have an initial conversion rate of 62.4 shares of Company common stock per $1,000 principal amount of the Notes. The conversion rate will be subject to adjustment in certain events, including adjustment in the event of certain significant corporate transactions. This represents an initial conversion price of approximately $16.04 per share. The initial conversion price of the Notes represents a premium of approximately 25% to the closing price of the Company's common stock on November 14, 2024.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60</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has used the proceeds from the sale of the Notes to repay in full the $215.0 million aggregate principal amount, accrued interest and fees related to the Oxford term loans, as well as certain fees and expenses incurred in connection with the transaction.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Indenture contains customary terms and covenants, including that upon certain events of default occurring and continuing, either the Trustee or the holders of at least 25% in principal amount of the outstanding notes may declare 100% of the principal of, and accrued and unpaid special interest, if any, on, all the notes to be due and payable.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Company has recognized the Notes in their entirety as a liability on the consolidated balance sheet and no portion of the proceeds from the issuance of the convertible debt instrument was accounted for separately as an embedded conversion feature within stockholders’ equity.</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Cash Flows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a summary of our consolidated cash flows from operating, investing and financing activities for the periods indicated.</w:t>
      </w:r>
    </w:p>
    <w:tbl>
      <w:tblPr>
        <w:tblW w:w="7134" w:type="dxa"/>
        <w:jc w:val="left"/>
        <w:tblInd w:w="0" w:type="dxa"/>
        <w:tblLayout w:type="fixed"/>
        <w:tblCellMar>
          <w:top w:w="28" w:type="dxa"/>
          <w:left w:w="28" w:type="dxa"/>
          <w:bottom w:w="28" w:type="dxa"/>
          <w:right w:w="28" w:type="dxa"/>
        </w:tblCellMar>
      </w:tblPr>
      <w:tblGrid>
        <w:gridCol w:w="1693"/>
        <w:gridCol w:w="1491"/>
        <w:gridCol w:w="1496"/>
        <w:gridCol w:w="196"/>
        <w:gridCol w:w="736"/>
        <w:gridCol w:w="109"/>
        <w:gridCol w:w="109"/>
        <w:gridCol w:w="109"/>
        <w:gridCol w:w="109"/>
        <w:gridCol w:w="196"/>
        <w:gridCol w:w="736"/>
        <w:gridCol w:w="154"/>
      </w:tblGrid>
      <w:tr>
        <w:trPr/>
        <w:tc>
          <w:tcPr>
            <w:tcW w:w="169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229,989 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577,937 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434,943 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Operating Activities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For the year ended December 31, 2025, net cash provided by operating activities was $139.9 million, an increase of $105.2 million compared to net cash provided by operating activities of $34.8 million for the year ended December 31, 2024. The increase is mainly attributable to an increase in membership and reduction of net loss, an increase in medical expense payables related to the timing of our payments, and changes to the Part D program related to the Inflation Reduction Act. This increase was partially offset by an increase in prepaid expenses and other current assets due to a change in our Part D balances arising from the Inflation Reduction Act.</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Investing Activities</w:t>
      </w:r>
    </w:p>
    <w:p>
      <w:pPr>
        <w:pStyle w:val="TextBody"/>
        <w:bidi w:val="0"/>
        <w:spacing w:lineRule="auto" w:line="288" w:before="200" w:after="283"/>
        <w:jc w:val="left"/>
        <w:rPr/>
      </w:pPr>
      <w:r>
        <w:rPr>
          <w:rFonts w:ascii="Times New Roman;serif" w:hAnsi="Times New Roman;serif"/>
          <w:b w:val="false"/>
          <w:color w:val="000000"/>
          <w:sz w:val="18"/>
        </w:rPr>
        <w:t>For the year ended December 31, 2025, net cash used in investing activities was $15.0 million, a decrease of $54.2 million compared to net cash provided by investing activities of $39.2 million for the year ended December 31, 2024. The increase in cash used primarily relates to reduced investment maturities during the year ended December 31, 2025 compared to the year ended December 31, 2024. The decrease in investment maturities was offset by a decrease in capital expenditures, which decreased $14.6 million for the year ended December 31, 2025 compared to the year ended December 31, 2024</w:t>
      </w:r>
      <w:r>
        <w:rPr>
          <w:rFonts w:ascii="Times New Roman;serif" w:hAnsi="Times New Roman;serif"/>
          <w:b w:val="false"/>
          <w:color w:val="EE2724"/>
          <w:sz w:val="18"/>
        </w:rPr>
        <w:t>.</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Financing Activities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 the year ended December 31, 2025, net cash provided by financing activities was $18.0 million, a decrease of $138.0 million compared to net cash provided by financing activities of $156.0 million for the year ended December 31, 2024. The decrease is primarily attributable to the convertible note refinance and the $50.0 million draw down of the Oxford Delayed Draw term loan that occurred during the year ended December 31, 2024. This decrease was offset by $18.1 million in proceeds from the exercise of stock options.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61</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Material cash requirements from known contractual and other obligations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Our principal commitments consist of repayments of long-term debt, operating leases and certain purchase obligations. The following table summarizes our contractual and other obligations as of December 31, 2025:</w:t>
      </w:r>
    </w:p>
    <w:tbl>
      <w:tblPr>
        <w:tblW w:w="9289" w:type="dxa"/>
        <w:jc w:val="left"/>
        <w:tblInd w:w="0" w:type="dxa"/>
        <w:tblLayout w:type="fixed"/>
        <w:tblCellMar>
          <w:top w:w="28" w:type="dxa"/>
          <w:left w:w="28" w:type="dxa"/>
          <w:bottom w:w="28" w:type="dxa"/>
          <w:right w:w="28" w:type="dxa"/>
        </w:tblCellMar>
      </w:tblPr>
      <w:tblGrid>
        <w:gridCol w:w="786"/>
        <w:gridCol w:w="693"/>
        <w:gridCol w:w="695"/>
        <w:gridCol w:w="196"/>
        <w:gridCol w:w="736"/>
        <w:gridCol w:w="109"/>
        <w:gridCol w:w="109"/>
        <w:gridCol w:w="109"/>
        <w:gridCol w:w="109"/>
        <w:gridCol w:w="266"/>
        <w:gridCol w:w="876"/>
        <w:gridCol w:w="147"/>
        <w:gridCol w:w="109"/>
        <w:gridCol w:w="109"/>
        <w:gridCol w:w="109"/>
        <w:gridCol w:w="196"/>
        <w:gridCol w:w="646"/>
        <w:gridCol w:w="109"/>
        <w:gridCol w:w="109"/>
        <w:gridCol w:w="109"/>
        <w:gridCol w:w="109"/>
        <w:gridCol w:w="196"/>
        <w:gridCol w:w="736"/>
        <w:gridCol w:w="109"/>
        <w:gridCol w:w="109"/>
        <w:gridCol w:w="109"/>
        <w:gridCol w:w="109"/>
        <w:gridCol w:w="385"/>
        <w:gridCol w:w="798"/>
        <w:gridCol w:w="302"/>
      </w:tblGrid>
      <w:tr>
        <w:trPr/>
        <w:tc>
          <w:tcPr>
            <w:tcW w:w="7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Payments due by Period </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 5 years</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Long term debt obligations</w:t>
            </w:r>
            <w:r>
              <w:rPr>
                <w:rFonts w:ascii="Times New Roman;serif" w:hAnsi="Times New Roman;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Purchase obligations</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16,211 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(1)Represents the estimated full cash repayment upon maturity of the Convertible Senior Notes in November 2029. As discussed above, the Convertible Senior Notes can be repurchased, redeemed, or converted prior to maturity in accordance with their terms.</w:t>
      </w:r>
    </w:p>
    <w:p>
      <w:pPr>
        <w:pStyle w:val="TextBody"/>
        <w:bidi w:val="0"/>
        <w:spacing w:lineRule="auto" w:line="288" w:before="120" w:after="283"/>
        <w:ind w:left="0" w:right="0" w:hanging="180"/>
        <w:jc w:val="left"/>
        <w:rPr/>
      </w:pP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14"/>
        </w:rPr>
        <w:t>Includes fixed, minimum and estimated payments under our existing contractual obligations that are legally enforceable and binding for goods and services. These obligations include agreements that are cancelable with the payment of an early termination penalty and other funding commitments that require fixed or minimum levels of service to be purchased with a specific timing established. Purchase obligations exclude agreements that are cancelable without penalty.</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Not included in the table above are our medical expenses payable which are included within current liabilities in our financial statements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Critical Accounting Estimates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discussion and analysis of our financial condition and results of operations are based upon our consolidated financial statements, which have been prepared in accordance with U.S. GAAP and include the accounts of our wholly owned subsidiaries and three variable interest entities (“VIEs”) in California and North Carolina that meet the consolidation requirements for accounting purposes. All intercompany transactions have been eliminated in consolidation. Noncontrolling interest is presented within the equity section of our consolidated balance sheets.</w:t>
      </w:r>
    </w:p>
    <w:p>
      <w:pPr>
        <w:pStyle w:val="TextBody"/>
        <w:bidi w:val="0"/>
        <w:spacing w:lineRule="auto" w:line="288" w:before="200" w:after="283"/>
        <w:jc w:val="left"/>
        <w:rPr/>
      </w:pPr>
      <w:r>
        <w:rPr>
          <w:rFonts w:ascii="Times New Roman;serif" w:hAnsi="Times New Roman;serif"/>
          <w:b w:val="false"/>
          <w:color w:val="000000"/>
          <w:sz w:val="18"/>
        </w:rPr>
        <w:t>Certain accounting policies involve significant judgments and assumptions by management, which have a material impact on the carrying value of assets and liabilities and the recognition of income and expenses. Management considers these accounting policies to be critical accounting policies. The estimates and assumptions used by management are based on historical experience and other factors, which are believed to be reasonable under the circumstances. The significant accounting policies which we believe are the most critical to aid in fully understanding and evaluating our reported financial results are described below. Refer to Note 2 “</w:t>
      </w:r>
      <w:r>
        <w:rPr>
          <w:rFonts w:ascii="Times New Roman;serif" w:hAnsi="Times New Roman;serif"/>
          <w:b w:val="false"/>
          <w:i/>
          <w:color w:val="000000"/>
          <w:sz w:val="18"/>
        </w:rPr>
        <w:t>Summary of Significant Accounting Policie</w:t>
      </w:r>
      <w:r>
        <w:rPr>
          <w:rFonts w:ascii="Times New Roman;serif" w:hAnsi="Times New Roman;serif"/>
          <w:b w:val="false"/>
          <w:color w:val="000000"/>
          <w:sz w:val="18"/>
        </w:rPr>
        <w:t>s” to our audited consolidated financial statements for more detailed information regarding our critical accounting policies.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Revenue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Payments by CMS to health plans are determined through a competitive bidding process with CMS and are based on the cost of care in a local market and the average utilization of services by the member enrolled. These payments are subject to periodic adjustments under CMS’s “risk adjustment model,” which compensates health plans based on the health severity and certain demographic factors of each individual member. Members diagnosed with certain conditions are paid at a higher monthly payment than members who are healthier. Under this risk adjustment model, CMS calculates the risk adjustment payment using diagnosis data from hospital inpatient, hospital outpatient and physician treatment settings. We and healthcare providers collect, capture, and submit the necessary and available diagnosis data to CMS within prescribed deadlines. Both premium and capitation revenue (including Medicare Part D) are subject to adjustments under the risk adjustment model.</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Throughout the year, we estimate risk adjustment payments based upon the diagnosis data submitted and expected to be submitted to CMS. The risk adjustment payments are recorded as an adjustment to premium and capitation revenue. Our risk adjustment data is also subject to review by the government, including audit by regulators.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Receivables, including risk adjusted premium due from the government or through third-party payors, pharmacy rebates, and other receivables, are shown net of allowances for estimated uncollectible accounts and retroactive membership adjustments.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Medical Expenses Payable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Medical expenses payable includes estimates of our obligations for medical care services that have been rendered on behalf of our members and the members of third-party payors, but for which claims have either not yet been received or processed, loss adjustment expense reserve for the expected costs of settling these claims, and for liabilities related to physician, hospital and other medical cost disputes.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62</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 develop estimates for medical expenses incurred but not yet paid (“IBNP”) which includes an estimate for claims incurred but not reported (“IBNR”) and a payable for adjudicated claims. IBNR is estimated using an actuarial process that is consistently applied and centrally controlled. Medical expenses payable also includes an estimate for the costs necessary to process unpaid claims at the end of each period. We estimate IBNR liability using actuarial methods that are commonly used by health insurance actuaries and meet Actuarial Standards of Practice. These actuarial methods consider factors, such as cost trends and completion factors that are assessed based on historical data for payment patterns, product mix, seasonality, utilization of health care services, and other relevant factors. </w:t>
      </w:r>
    </w:p>
    <w:p>
      <w:pPr>
        <w:pStyle w:val="TextBody"/>
        <w:bidi w:val="0"/>
        <w:spacing w:lineRule="auto" w:line="288" w:before="200" w:after="283"/>
        <w:jc w:val="left"/>
        <w:rPr/>
      </w:pPr>
      <w:r>
        <w:rPr>
          <w:rFonts w:ascii="Times New Roman;serif" w:hAnsi="Times New Roman;serif"/>
          <w:b w:val="false"/>
          <w:i/>
          <w:color w:val="000000"/>
          <w:sz w:val="18"/>
        </w:rPr>
        <w:t>Completion Factors.</w:t>
      </w:r>
      <w:r>
        <w:rPr>
          <w:color w:val="000000"/>
        </w:rPr>
        <w:t xml:space="preserve"> </w:t>
      </w:r>
      <w:r>
        <w:rPr>
          <w:rFonts w:ascii="Times New Roman;serif" w:hAnsi="Times New Roman;serif"/>
          <w:b w:val="false"/>
          <w:color w:val="000000"/>
          <w:sz w:val="18"/>
        </w:rPr>
        <w:t xml:space="preserve">A completion factor is an actuarial estimate, based upon historical experience and analysis of current trends, of the percentage of incurred claims during a given period adjudicated by us at the date of estimation. Completion factors are the most significant factors we use in developing our medical expenses payable estimates for periods prior to the most recent three months. Completion factors include judgments in relation to claim submissions such as the time from date of service to claim receipt, claim levels and processing cycles, as well as other factors. If actual claims submission rates from providers (which can be influenced by a number of factors, including provider mix and electronic versus manual submissions) or our claim processing patterns are different than estimated, our reserve estimates may be significantly impacted.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following table illustrates the sensitivity of these factors and the estimated potential impact on our medical expenses payable estimates for those periods as of December 31, 2025:</w:t>
      </w:r>
    </w:p>
    <w:tbl>
      <w:tblPr>
        <w:tblW w:w="6298" w:type="dxa"/>
        <w:jc w:val="left"/>
        <w:tblInd w:w="0" w:type="dxa"/>
        <w:tblLayout w:type="fixed"/>
        <w:tblCellMar>
          <w:top w:w="28" w:type="dxa"/>
          <w:left w:w="28" w:type="dxa"/>
          <w:bottom w:w="28" w:type="dxa"/>
          <w:right w:w="28" w:type="dxa"/>
        </w:tblCellMar>
      </w:tblPr>
      <w:tblGrid>
        <w:gridCol w:w="875"/>
        <w:gridCol w:w="768"/>
        <w:gridCol w:w="771"/>
        <w:gridCol w:w="764"/>
        <w:gridCol w:w="2520"/>
        <w:gridCol w:w="600"/>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Completion Factors</w:t>
            </w:r>
          </w:p>
        </w:tc>
        <w:tc>
          <w:tcPr>
            <w:tcW w:w="38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 in Medical Expenses Payable</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Increase (Decrease) in Factors</w:t>
            </w:r>
          </w:p>
        </w:tc>
        <w:tc>
          <w:tcPr>
            <w:tcW w:w="38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 xml:space="preserve">(in thousands) </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33,600 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3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22,400 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11,200 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(11,200)</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3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(22,400)</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(33,600)</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i/>
          <w:color w:val="000000"/>
          <w:sz w:val="18"/>
        </w:rPr>
        <w:t>Medical Cost Per Member Per Month Trend Factors</w:t>
      </w:r>
      <w:r>
        <w:rPr>
          <w:rFonts w:ascii="Times New Roman;serif" w:hAnsi="Times New Roman;serif"/>
          <w:b w:val="false"/>
          <w:color w:val="000000"/>
          <w:sz w:val="18"/>
        </w:rPr>
        <w:t>. Medical cost PMPM trend factors are significant factors we use in developing our medical expenses payable estimates for the most recent three months. Medical cost trend factors are developed through a comprehensive analysis of claims incurred in prior months, provider contracting and expected unit costs, benefit design and a review of a broad set of health care utilization indicators. These factors include but are not limited to pharmacy utilization trends and inpatient hospital authorization data. A large number of factors can cause the medical cost trend to vary from our estimates, including: our ability and practices to manage medical and pharmaceutical costs, changes in level and mix of services utilized; mix of benefits offered, including the impact of co-pays and deductibles; changes in medical practices; and catastrophes, epidemics and pandemics, such as COVID-19.</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following table illustrates the sensitivity of these factors and the estimated potential impact on our medical expenses payable estimates for the most recent two months as of December 31, 2025:</w:t>
      </w:r>
    </w:p>
    <w:tbl>
      <w:tblPr>
        <w:tblW w:w="6914" w:type="dxa"/>
        <w:jc w:val="left"/>
        <w:tblInd w:w="0" w:type="dxa"/>
        <w:tblLayout w:type="fixed"/>
        <w:tblCellMar>
          <w:top w:w="28" w:type="dxa"/>
          <w:left w:w="28" w:type="dxa"/>
          <w:bottom w:w="28" w:type="dxa"/>
          <w:right w:w="28" w:type="dxa"/>
        </w:tblCellMar>
      </w:tblPr>
      <w:tblGrid>
        <w:gridCol w:w="1096"/>
        <w:gridCol w:w="963"/>
        <w:gridCol w:w="970"/>
        <w:gridCol w:w="776"/>
        <w:gridCol w:w="2499"/>
        <w:gridCol w:w="610"/>
      </w:tblGrid>
      <w:tr>
        <w:trPr/>
        <w:tc>
          <w:tcPr>
            <w:tcW w:w="109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Medical Cost PMPM Quarterly Trend</w:t>
            </w:r>
          </w:p>
        </w:tc>
        <w:tc>
          <w:tcPr>
            <w:tcW w:w="38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 in Medical Expenses Payable</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Increase (Decrease) in Factors</w:t>
            </w:r>
          </w:p>
        </w:tc>
        <w:tc>
          <w:tcPr>
            <w:tcW w:w="38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3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3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Each period, we re-examine previously established IBNR estimates based on actual claim submissions and other changes in facts and circumstances. As the IBNR estimates recorded in prior periods develop, we adjust the amount of the estimates and include the changes in estimates in medical expenses in the period in which the change is identified.</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Actuarial Standards of Practice generally require that the IBNP estimates be adequate to cover obligations under moderately adverse conditions. Moderately adverse conditions are situations in which the actual claims are expected to be higher than the otherwise estimated value of such claims at the time of estimate.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In many situations, the claims amount ultimately settled will be different than the estimate that satisfies the Actuarial Standards of Practice. We include in our IBNP an estimate for medical claims liability under moderately adverse conditions, which represents the risk of adverse deviation of the estimates in its actuarial method of reserving.</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believe that medical expenses payable is adequate to cover future claims payments required. However, such estimates are based on knowledge of current events and anticipated future events. Therefore, the actual liability could differ materially from the amounts provided. The following tables provide information about incurred and paid claims development as of December 31, 2025:</w:t>
      </w:r>
    </w:p>
    <w:tbl>
      <w:tblPr>
        <w:tblW w:w="6580" w:type="dxa"/>
        <w:jc w:val="left"/>
        <w:tblInd w:w="0" w:type="dxa"/>
        <w:tblLayout w:type="fixed"/>
        <w:tblCellMar>
          <w:top w:w="28" w:type="dxa"/>
          <w:left w:w="28" w:type="dxa"/>
          <w:bottom w:w="28" w:type="dxa"/>
          <w:right w:w="28" w:type="dxa"/>
        </w:tblCellMar>
      </w:tblPr>
      <w:tblGrid>
        <w:gridCol w:w="597"/>
        <w:gridCol w:w="524"/>
        <w:gridCol w:w="528"/>
        <w:gridCol w:w="371"/>
        <w:gridCol w:w="365"/>
        <w:gridCol w:w="180"/>
        <w:gridCol w:w="180"/>
        <w:gridCol w:w="180"/>
        <w:gridCol w:w="180"/>
        <w:gridCol w:w="371"/>
        <w:gridCol w:w="365"/>
        <w:gridCol w:w="180"/>
        <w:gridCol w:w="180"/>
        <w:gridCol w:w="180"/>
        <w:gridCol w:w="180"/>
        <w:gridCol w:w="324"/>
        <w:gridCol w:w="1441"/>
        <w:gridCol w:w="254"/>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Cumulative Incurred Claims, net of reinsurance for the </w:t>
              <w:br/>
              <w:t xml:space="preserve">Years Ended December 31, </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Claims Incurred Year</w:t>
            </w:r>
          </w:p>
        </w:tc>
        <w:tc>
          <w:tcPr>
            <w:tcW w:w="4931"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2022</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492,315 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482,279 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480,412 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832,819 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809,297 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1,136,448 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2,426,157 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52" w:type="dxa"/>
        <w:jc w:val="left"/>
        <w:tblInd w:w="0" w:type="dxa"/>
        <w:tblLayout w:type="fixed"/>
        <w:tblCellMar>
          <w:top w:w="28" w:type="dxa"/>
          <w:left w:w="28" w:type="dxa"/>
          <w:bottom w:w="28" w:type="dxa"/>
          <w:right w:w="28" w:type="dxa"/>
        </w:tblCellMar>
      </w:tblPr>
      <w:tblGrid>
        <w:gridCol w:w="597"/>
        <w:gridCol w:w="524"/>
        <w:gridCol w:w="528"/>
        <w:gridCol w:w="368"/>
        <w:gridCol w:w="368"/>
        <w:gridCol w:w="167"/>
        <w:gridCol w:w="167"/>
        <w:gridCol w:w="167"/>
        <w:gridCol w:w="167"/>
        <w:gridCol w:w="368"/>
        <w:gridCol w:w="368"/>
        <w:gridCol w:w="167"/>
        <w:gridCol w:w="167"/>
        <w:gridCol w:w="167"/>
        <w:gridCol w:w="167"/>
        <w:gridCol w:w="301"/>
        <w:gridCol w:w="1341"/>
        <w:gridCol w:w="167"/>
        <w:gridCol w:w="109"/>
        <w:gridCol w:w="109"/>
        <w:gridCol w:w="109"/>
        <w:gridCol w:w="544"/>
        <w:gridCol w:w="544"/>
        <w:gridCol w:w="771"/>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Cumulative Claims paid, net of reinsurance for the </w:t>
              <w:b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Cumulative Number of </w:t>
            </w:r>
          </w:p>
          <w:p>
            <w:pPr>
              <w:pStyle w:val="TableContents"/>
              <w:bidi w:val="0"/>
              <w:spacing w:lineRule="auto" w:line="276" w:before="0" w:after="0"/>
              <w:jc w:val="center"/>
              <w:rPr/>
            </w:pPr>
            <w:r>
              <w:rPr>
                <w:rFonts w:ascii="Times New Roman;serif" w:hAnsi="Times New Roman;serif"/>
                <w:b/>
                <w:color w:val="000000"/>
                <w:sz w:val="16"/>
                <w:shd w:fill="FFFFFF" w:val="clear"/>
              </w:rPr>
              <w:t>Paid Claims</w:t>
            </w:r>
            <w:r>
              <w:rPr>
                <w:rFonts w:ascii="Times New Roman;serif" w:hAnsi="Times New Roman;serif"/>
                <w:b/>
                <w:color w:val="000000"/>
                <w:sz w:val="10"/>
                <w:shd w:fill="FFFFFF" w:val="clear"/>
              </w:rPr>
              <w:t>(1)</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Claims Incurred Year</w:t>
            </w:r>
          </w:p>
        </w:tc>
        <w:tc>
          <w:tcPr>
            <w:tcW w:w="461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2022</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400,465 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479,148 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478,999 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540,426 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804,462 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1,036,274 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848,206 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1,268,147 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2,131,667 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4"/>
        </w:rPr>
      </w:pPr>
      <w:r>
        <w:rPr>
          <w:rFonts w:ascii="Times New Roman;serif" w:hAnsi="Times New Roman;serif"/>
          <w:b w:val="false"/>
          <w:color w:val="000000"/>
          <w:sz w:val="14"/>
        </w:rPr>
        <w:t>(1) Cumulative number of paid claims are presented in whole amounts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Substantially all of the claims incurred but not paid balance as of December 31, 2025 relate to the current year.</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There is no single or common claim frequency metric used in the health care industry. We believe a relevant metric for our health insurance business is the cumulative number of claims paid for each incurred year. Claims that did not result in a liability are not included in the frequency metric.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Recent Accounting Pronouncements</w:t>
      </w:r>
    </w:p>
    <w:p>
      <w:pPr>
        <w:pStyle w:val="TextBody"/>
        <w:bidi w:val="0"/>
        <w:spacing w:lineRule="auto" w:line="288" w:before="200" w:after="283"/>
        <w:jc w:val="left"/>
        <w:rPr/>
      </w:pPr>
      <w:r>
        <w:rPr>
          <w:rFonts w:ascii="Times New Roman;serif" w:hAnsi="Times New Roman;serif"/>
          <w:b w:val="false"/>
          <w:color w:val="000000"/>
          <w:sz w:val="18"/>
        </w:rPr>
        <w:t>See Note 2 to our audited consolidated financial statements “</w:t>
      </w:r>
      <w:r>
        <w:rPr>
          <w:rFonts w:ascii="Times New Roman;serif" w:hAnsi="Times New Roman;serif"/>
          <w:b w:val="false"/>
          <w:i/>
          <w:color w:val="000000"/>
          <w:sz w:val="18"/>
        </w:rPr>
        <w:t>Summary of Significant Accounting Policies—Recent Accounting Pronouncements Adopted</w:t>
      </w:r>
      <w:r>
        <w:rPr>
          <w:color w:val="000000"/>
        </w:rPr>
        <w:t xml:space="preserve">” </w:t>
      </w:r>
      <w:r>
        <w:rPr>
          <w:rFonts w:ascii="Times New Roman;serif" w:hAnsi="Times New Roman;serif"/>
          <w:b w:val="false"/>
          <w:color w:val="000000"/>
          <w:sz w:val="18"/>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7A. Quantitative and Qualitative Disclosures About Market Risk.</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Market risk represents the risk of loss that may impact our financial position due to adverse changes in financial market prices and rates. Our market risk exposure is primarily a result of exposure due to potential changes in interest rates and inflation. </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Interest Rate Risk</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As of December 31, 2024, we had $29.5 million of U.S. Treasury bills which were classified as held to maturity and had maturities less than twelve months. Due to the short-term duration of our investment portfolio and the low risk profile of our investments, we believe that our exposure to interest rate risk on these investments is not significant. We do not enter into investments for trading purposes.</w:t>
      </w:r>
    </w:p>
    <w:p>
      <w:pPr>
        <w:pStyle w:val="TextBody"/>
        <w:bidi w:val="0"/>
        <w:spacing w:lineRule="auto" w:line="288" w:before="200" w:after="283"/>
        <w:jc w:val="left"/>
        <w:rPr/>
      </w:pPr>
      <w:r>
        <w:rPr>
          <w:rFonts w:ascii="Times New Roman;serif" w:hAnsi="Times New Roman;serif"/>
          <w:b w:val="false"/>
          <w:color w:val="000000"/>
          <w:sz w:val="18"/>
        </w:rPr>
        <w:t>In November 2024, we completed the sale of $330.0 million of 4.25%</w:t>
      </w:r>
      <w:r>
        <w:rPr>
          <w:color w:val="000000"/>
        </w:rPr>
        <w:t xml:space="preserve"> </w:t>
      </w:r>
      <w:r>
        <w:rPr>
          <w:rFonts w:ascii="Times New Roman;serif" w:hAnsi="Times New Roman;serif"/>
          <w:b w:val="false"/>
          <w:color w:val="000000"/>
          <w:sz w:val="18"/>
        </w:rPr>
        <w:t xml:space="preserve">Convertible Senior Notes. Since the notes have a fixed annual interest rate, we have no financial or economic interest exposure associated with changes in interest rates. However, the fair value of fixed rate debt fluctuates when interest rates change. Additionally, the fair value of the Convertible Senior Notes can be impacted when the market price of our common stock fluctuates. </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Inflation Risk</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Based on our analysis of the periods presented, although we have experienced modest increases in unit costs and labor expenses, we believe that inflation has not had a material effect on our operating results. Nonetheless, if our costs were to become subject to significant inflationary pressures, we may not be able to fully offset such higher costs through price increases. There can be no assurance that future inflation will not have an adverse impact on our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64</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8. Financial Statements and Supplementary Data.</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INDEX TO CONSOLIDATED FINANCIAL STATEMENTS</w:t>
      </w:r>
    </w:p>
    <w:tbl>
      <w:tblPr>
        <w:tblW w:w="9087" w:type="dxa"/>
        <w:jc w:val="left"/>
        <w:tblInd w:w="0" w:type="dxa"/>
        <w:tblLayout w:type="fixed"/>
        <w:tblCellMar>
          <w:top w:w="28" w:type="dxa"/>
          <w:left w:w="28" w:type="dxa"/>
          <w:bottom w:w="28" w:type="dxa"/>
          <w:right w:w="28" w:type="dxa"/>
        </w:tblCellMar>
      </w:tblPr>
      <w:tblGrid>
        <w:gridCol w:w="3155"/>
        <w:gridCol w:w="2773"/>
        <w:gridCol w:w="2787"/>
        <w:gridCol w:w="109"/>
        <w:gridCol w:w="109"/>
        <w:gridCol w:w="154"/>
      </w:tblGrid>
      <w:tr>
        <w:trPr/>
        <w:tc>
          <w:tcPr>
            <w:tcW w:w="3155"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5"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w:anchor="i35ff813b07f241c5961a1493f167292b_82">
              <w:r>
                <w:rPr>
                  <w:rStyle w:val="InternetLink"/>
                  <w:rFonts w:ascii="Times New Roman;serif" w:hAnsi="Times New Roman;serif"/>
                  <w:b w:val="false"/>
                  <w:color w:val="0000FF"/>
                  <w:sz w:val="20"/>
                  <w:u w:val="single"/>
                </w:rPr>
                <w:t>Report of Independent Registered Public Accounting Firm</w:t>
              </w:r>
            </w:hyperlink>
            <w:r>
              <w:rPr>
                <w:color w:val="0000FF"/>
              </w:rPr>
              <w:t xml:space="preserve"> </w:t>
            </w:r>
            <w:r>
              <w:rPr>
                <w:rFonts w:ascii="Times New Roman;serif" w:hAnsi="Times New Roman;serif"/>
                <w:b w:val="false"/>
                <w:color w:val="000000"/>
                <w:sz w:val="20"/>
              </w:rPr>
              <w:t>(PCAOB ID No.34)</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82">
              <w:r>
                <w:rPr>
                  <w:rStyle w:val="InternetLink"/>
                  <w:rFonts w:ascii="Times New Roman;serif" w:hAnsi="Times New Roman;serif"/>
                  <w:b w:val="false"/>
                  <w:strike w:val="false"/>
                  <w:dstrike w:val="false"/>
                  <w:color w:val="000000"/>
                  <w:sz w:val="20"/>
                  <w:u w:val="none"/>
                  <w:effect w:val="none"/>
                </w:rPr>
                <w:t>66</w:t>
              </w:r>
            </w:hyperlink>
          </w:p>
        </w:tc>
      </w:tr>
      <w:tr>
        <w:trPr/>
        <w:tc>
          <w:tcPr>
            <w:tcW w:w="87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85">
              <w:r>
                <w:rPr>
                  <w:rStyle w:val="InternetLink"/>
                  <w:rFonts w:ascii="Times New Roman;serif" w:hAnsi="Times New Roman;serif"/>
                  <w:b w:val="false"/>
                  <w:color w:val="0000FF"/>
                  <w:sz w:val="20"/>
                  <w:u w:val="single"/>
                </w:rPr>
                <w:t>Consolidated Balance Sheets as of December 31, 2025 and 2024</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85">
              <w:r>
                <w:rPr>
                  <w:rStyle w:val="InternetLink"/>
                  <w:rFonts w:ascii="Times New Roman;serif" w:hAnsi="Times New Roman;serif"/>
                  <w:b w:val="false"/>
                  <w:strike w:val="false"/>
                  <w:dstrike w:val="false"/>
                  <w:color w:val="000000"/>
                  <w:sz w:val="20"/>
                  <w:u w:val="none"/>
                  <w:effect w:val="none"/>
                </w:rPr>
                <w:t>68</w:t>
              </w:r>
            </w:hyperlink>
          </w:p>
        </w:tc>
      </w:tr>
      <w:tr>
        <w:trPr/>
        <w:tc>
          <w:tcPr>
            <w:tcW w:w="87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88">
              <w:r>
                <w:rPr>
                  <w:rStyle w:val="InternetLink"/>
                  <w:rFonts w:ascii="Times New Roman;serif" w:hAnsi="Times New Roman;serif"/>
                  <w:b w:val="false"/>
                  <w:color w:val="0000FF"/>
                  <w:sz w:val="20"/>
                  <w:u w:val="single"/>
                </w:rPr>
                <w:t>Consolidated Statements of Operations for the Years ended December 31, 2025, 2024 and 2023</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88">
              <w:r>
                <w:rPr>
                  <w:rStyle w:val="InternetLink"/>
                  <w:rFonts w:ascii="Times New Roman;serif" w:hAnsi="Times New Roman;serif"/>
                  <w:b w:val="false"/>
                  <w:strike w:val="false"/>
                  <w:dstrike w:val="false"/>
                  <w:color w:val="000000"/>
                  <w:sz w:val="20"/>
                  <w:u w:val="none"/>
                  <w:effect w:val="none"/>
                </w:rPr>
                <w:t>69</w:t>
              </w:r>
            </w:hyperlink>
          </w:p>
        </w:tc>
      </w:tr>
      <w:tr>
        <w:trPr/>
        <w:tc>
          <w:tcPr>
            <w:tcW w:w="87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91">
              <w:r>
                <w:rPr>
                  <w:rStyle w:val="InternetLink"/>
                  <w:rFonts w:ascii="Times New Roman;serif" w:hAnsi="Times New Roman;serif"/>
                  <w:b w:val="false"/>
                  <w:color w:val="0000FF"/>
                  <w:sz w:val="20"/>
                  <w:u w:val="single"/>
                </w:rPr>
                <w:t>Consolidated Statements of Stockholders’ Equity for the Years ended December 31, 2025, 2024, and 2023</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91">
              <w:r>
                <w:rPr>
                  <w:rStyle w:val="InternetLink"/>
                  <w:rFonts w:ascii="Times New Roman;serif" w:hAnsi="Times New Roman;serif"/>
                  <w:b w:val="false"/>
                  <w:strike w:val="false"/>
                  <w:dstrike w:val="false"/>
                  <w:color w:val="000000"/>
                  <w:sz w:val="20"/>
                  <w:u w:val="none"/>
                  <w:effect w:val="none"/>
                </w:rPr>
                <w:t>70</w:t>
              </w:r>
            </w:hyperlink>
          </w:p>
        </w:tc>
      </w:tr>
      <w:tr>
        <w:trPr/>
        <w:tc>
          <w:tcPr>
            <w:tcW w:w="87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94">
              <w:r>
                <w:rPr>
                  <w:rStyle w:val="InternetLink"/>
                  <w:rFonts w:ascii="Times New Roman;serif" w:hAnsi="Times New Roman;serif"/>
                  <w:b w:val="false"/>
                  <w:color w:val="0000FF"/>
                  <w:sz w:val="20"/>
                  <w:u w:val="single"/>
                </w:rPr>
                <w:t>Consolidated Statements of Cash Flows for the Years ended December 31, 2025, 2024 and 2023</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94">
              <w:r>
                <w:rPr>
                  <w:rStyle w:val="InternetLink"/>
                  <w:rFonts w:ascii="Times New Roman;serif" w:hAnsi="Times New Roman;serif"/>
                  <w:b w:val="false"/>
                  <w:strike w:val="false"/>
                  <w:dstrike w:val="false"/>
                  <w:color w:val="000000"/>
                  <w:sz w:val="20"/>
                  <w:u w:val="none"/>
                  <w:effect w:val="none"/>
                </w:rPr>
                <w:t>71</w:t>
              </w:r>
            </w:hyperlink>
          </w:p>
        </w:tc>
      </w:tr>
      <w:tr>
        <w:trPr/>
        <w:tc>
          <w:tcPr>
            <w:tcW w:w="87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5ff813b07f241c5961a1493f167292b_97">
              <w:r>
                <w:rPr>
                  <w:rStyle w:val="InternetLink"/>
                  <w:rFonts w:ascii="Times New Roman;serif" w:hAnsi="Times New Roman;serif"/>
                  <w:b w:val="false"/>
                  <w:color w:val="0000FF"/>
                  <w:sz w:val="20"/>
                  <w:u w:val="single"/>
                </w:rPr>
                <w:t>Notes to Consolidated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5ff813b07f241c5961a1493f167292b_97">
              <w:r>
                <w:rPr>
                  <w:rStyle w:val="InternetLink"/>
                  <w:rFonts w:ascii="Times New Roman;serif" w:hAnsi="Times New Roman;serif"/>
                  <w:b w:val="false"/>
                  <w:strike w:val="false"/>
                  <w:dstrike w:val="false"/>
                  <w:color w:val="000000"/>
                  <w:sz w:val="20"/>
                  <w:u w:val="none"/>
                  <w:effect w:val="none"/>
                </w:rPr>
                <w:t>72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8"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65</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REPORT OF INDEPENDENT REGISTERED PUBLIC ACCOUNTING FIRM</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To the stockholders and the Board of Directors of Alignment Healthcare, Inc.:</w:t>
      </w:r>
    </w:p>
    <w:p>
      <w:pPr>
        <w:pStyle w:val="TextBody"/>
        <w:bidi w:val="0"/>
        <w:spacing w:lineRule="auto" w:line="288" w:before="200" w:after="200"/>
        <w:jc w:val="left"/>
        <w:rPr>
          <w:rFonts w:ascii="Times New Roman;serif" w:hAnsi="Times New Roman;serif"/>
          <w:b/>
          <w:color w:val="000000"/>
          <w:sz w:val="18"/>
        </w:rPr>
      </w:pPr>
      <w:r>
        <w:rPr>
          <w:rFonts w:ascii="Times New Roman;serif" w:hAnsi="Times New Roman;serif"/>
          <w:b/>
          <w:color w:val="000000"/>
          <w:sz w:val="18"/>
        </w:rPr>
        <w:t>Opinion on the Financial Statements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have audited the accompanying consolidated balance sheets of Alignment Healthcare, Inc. and subsidiaries (the “Company”) as of December 31, 2025 and 2024, the related consolidated statements of operations, changes in stockholders’ equity, and cash flows for each of the three years in the period ended December 31, 2025, and the related notes listed in the accompanying Index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0" w:after="200"/>
        <w:jc w:val="left"/>
        <w:rPr/>
      </w:pPr>
      <w:r>
        <w:rPr>
          <w:rFonts w:ascii="Times New Roman;serif" w:hAnsi="Times New Roman;serif"/>
          <w:b w:val="false"/>
          <w:color w:val="000000"/>
          <w:sz w:val="18"/>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18"/>
        </w:rPr>
        <w:t>Internal Control — Integrated Framework (2013)</w:t>
      </w:r>
      <w:r>
        <w:rPr>
          <w:color w:val="000000"/>
        </w:rPr>
        <w:t xml:space="preserve"> </w:t>
      </w:r>
      <w:r>
        <w:rPr>
          <w:rFonts w:ascii="Times New Roman;serif" w:hAnsi="Times New Roman;serif"/>
          <w:b w:val="false"/>
          <w:color w:val="000000"/>
          <w:sz w:val="18"/>
        </w:rPr>
        <w:t>issued by the Committee of Sponsoring Organizations of the Treadway Commission and our report dated February 26, 2026, expressed an unqualified opinion on the Company's internal control over financial reporting.</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Basis for Opinion</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Critical Audit Matter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The critical audit matter communicated below is a matter arising from the current-period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Medical expenses payable – Incurred but not paid claims - Refer to Notes 2 and 7 to the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Critical Audit Matter Description</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Medical expenses payable includes estimates of obligations for medical care services that have been rendered on behalf of Alignment's members and the members of contracted third party payors, but for which claims have either not yet been received or processed. These estimates are referred to as incurred but not yet paid (IBNP) claim liabilities, which totaled $297.4 million as of December 31, 2025, and includes an estimate for claims incurred but not reported (IBNR). The Company develops estimates for IBNR claim liability by using actuarial methods that requires management judgment in developing its estimates. These actuarial methods consider factors such as 1) historical data for payment patterns, 2) assumptions of cost trends related to the medical cost per member per month, and 3) completion factors to account for the time from date of service to claim receipt.</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identified the estimation of IBNR claim liability as a critical audit matter because of the significant assumptions made by management in estimating the liability. This required complex auditor judgment and an increased extent of effort, including the involvement of actuarial specialists in performing procedures to evaluate the reasonableness of management’s methods, assumptions and judgments in developing the estimate of the IBNR claim liability.</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How the Critical Audit Matter Was Addressed in the Audit</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Our audit procedures related to the IBNR claim liability included the following, among others: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We tested the effectiveness of controls over the Company’s actuarial process for estimating the IBNR claim liability..</w:t>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66</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We tested the underlying claims and membership data and other information that served as the basis for the actuarial analysis, to determine the inputs to the actuarial estimate were complete and accurate.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With the assistance of actuarial specialists, we evaluated the reasonableness of the actuarial methods and assumptions used by management to estimate the IBNR claim liability by: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Performing an overlay of the historical claims data used in management’s actuarial model to the data used in prior periods to determine whether there were material changes to the claims data tested in prior periods.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Performing a retrospective review comparing management’s prior year estimate of the IBNR claim liability to claims processed in 2025 with dates of service in 2024 and prior.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Developing an independent estimate of the IBNR claim liability and comparing our estimate to management’s estimate. Our independent estimate included development of per member per month claims cost trends and completion factors using management’s data, and comparison of these assumptions to current and historical claims trends and current industry benchmarks.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Costa Mesa, California</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February 26, 2026</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have served as the Company’s auditor since 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67</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Alignment Healthcare,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(amounts in thousands, except par value and share amounts)</w:t>
      </w:r>
    </w:p>
    <w:tbl>
      <w:tblPr>
        <w:tblW w:w="10205" w:type="dxa"/>
        <w:jc w:val="left"/>
        <w:tblInd w:w="0" w:type="dxa"/>
        <w:tblLayout w:type="fixed"/>
        <w:tblCellMar>
          <w:top w:w="28" w:type="dxa"/>
          <w:left w:w="28" w:type="dxa"/>
          <w:bottom w:w="28" w:type="dxa"/>
          <w:right w:w="28" w:type="dxa"/>
        </w:tblCellMar>
      </w:tblPr>
      <w:tblGrid>
        <w:gridCol w:w="2919"/>
        <w:gridCol w:w="2334"/>
        <w:gridCol w:w="2323"/>
        <w:gridCol w:w="196"/>
        <w:gridCol w:w="871"/>
        <w:gridCol w:w="109"/>
        <w:gridCol w:w="109"/>
        <w:gridCol w:w="109"/>
        <w:gridCol w:w="109"/>
        <w:gridCol w:w="203"/>
        <w:gridCol w:w="762"/>
        <w:gridCol w:w="161"/>
      </w:tblGrid>
      <w:tr>
        <w:trPr/>
        <w:tc>
          <w:tcPr>
            <w:tcW w:w="291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575,817 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432,859 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(less allowance for credit losses of $833 at December 31, 2025 and $0 at December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153,904 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37,791 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37,084 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951,577 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661,638 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67,139 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34,826 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1,065,786 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782,063 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Medical expenses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289,788 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22,126 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39,931 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556,866 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351,845 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debt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321,428 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886,509 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681,108 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14)</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100,000,000 shares authorized as of December 31, 2025 and 2024, respectively; no shares issued and outstanding as of December 31, 2025 and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1,000,000,000 shares authorized as of December 31, 2025 and December 31, 2024; 204,153,619 and 191,778,639 shares issued and outstanding as of December 31, 2025 and December 31, 2024,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1,188,089 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1,107,952 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(1,009,017)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(1,008,293)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Alignment Healthcare, Inc.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99,851 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100,955 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1,065,786 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782,063 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68</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Alignment Healthcare,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(amounts in thousands, except share and per share amounts)</w:t>
      </w:r>
    </w:p>
    <w:tbl>
      <w:tblPr>
        <w:tblW w:w="9911" w:type="dxa"/>
        <w:jc w:val="left"/>
        <w:tblInd w:w="0" w:type="dxa"/>
        <w:tblLayout w:type="fixed"/>
        <w:tblCellMar>
          <w:top w:w="28" w:type="dxa"/>
          <w:left w:w="28" w:type="dxa"/>
          <w:bottom w:w="28" w:type="dxa"/>
          <w:right w:w="28" w:type="dxa"/>
        </w:tblCellMar>
      </w:tblPr>
      <w:tblGrid>
        <w:gridCol w:w="2059"/>
        <w:gridCol w:w="1809"/>
        <w:gridCol w:w="1816"/>
        <w:gridCol w:w="196"/>
        <w:gridCol w:w="871"/>
        <w:gridCol w:w="109"/>
        <w:gridCol w:w="109"/>
        <w:gridCol w:w="109"/>
        <w:gridCol w:w="109"/>
        <w:gridCol w:w="196"/>
        <w:gridCol w:w="871"/>
        <w:gridCol w:w="109"/>
        <w:gridCol w:w="109"/>
        <w:gridCol w:w="109"/>
        <w:gridCol w:w="109"/>
        <w:gridCol w:w="196"/>
        <w:gridCol w:w="871"/>
        <w:gridCol w:w="154"/>
      </w:tblGrid>
      <w:tr>
        <w:trPr/>
        <w:tc>
          <w:tcPr>
            <w:tcW w:w="205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22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December 31, </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Earned premiums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1,800,933 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3,948,719 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2,703,561 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1,823,630 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Medical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3,460,156 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2,406,870 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1,622,600 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307,433 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3,933,967 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2,805,116 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1,951,447 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(127,817)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(128,050)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(148,195)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 expense (benefit)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(128,071)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(148,173)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Alignment Healthcare, Inc.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(148,017)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Total weighted-average common shares outstanding - basic and diluted</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198,006,216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190,793,552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186,214,784</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Alignment Healthcare, Inc. - basic and diluted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69</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Alignment Healthcare,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Consolidated Statements of Stockholders' Equity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(amounts in thousands, except par value and share amounts)</w:t>
      </w:r>
    </w:p>
    <w:tbl>
      <w:tblPr>
        <w:tblW w:w="10205" w:type="dxa"/>
        <w:jc w:val="left"/>
        <w:tblInd w:w="0" w:type="dxa"/>
        <w:tblLayout w:type="fixed"/>
        <w:tblCellMar>
          <w:top w:w="28" w:type="dxa"/>
          <w:left w:w="28" w:type="dxa"/>
          <w:bottom w:w="28" w:type="dxa"/>
          <w:right w:w="28" w:type="dxa"/>
        </w:tblCellMar>
      </w:tblPr>
      <w:tblGrid>
        <w:gridCol w:w="804"/>
        <w:gridCol w:w="452"/>
        <w:gridCol w:w="453"/>
        <w:gridCol w:w="480"/>
        <w:gridCol w:w="481"/>
        <w:gridCol w:w="338"/>
        <w:gridCol w:w="109"/>
        <w:gridCol w:w="109"/>
        <w:gridCol w:w="109"/>
        <w:gridCol w:w="196"/>
        <w:gridCol w:w="421"/>
        <w:gridCol w:w="109"/>
        <w:gridCol w:w="109"/>
        <w:gridCol w:w="109"/>
        <w:gridCol w:w="109"/>
        <w:gridCol w:w="198"/>
        <w:gridCol w:w="882"/>
        <w:gridCol w:w="110"/>
        <w:gridCol w:w="109"/>
        <w:gridCol w:w="109"/>
        <w:gridCol w:w="109"/>
        <w:gridCol w:w="204"/>
        <w:gridCol w:w="938"/>
        <w:gridCol w:w="113"/>
        <w:gridCol w:w="109"/>
        <w:gridCol w:w="109"/>
        <w:gridCol w:w="109"/>
        <w:gridCol w:w="295"/>
        <w:gridCol w:w="838"/>
        <w:gridCol w:w="165"/>
        <w:gridCol w:w="109"/>
        <w:gridCol w:w="109"/>
        <w:gridCol w:w="109"/>
        <w:gridCol w:w="196"/>
        <w:gridCol w:w="736"/>
        <w:gridCol w:w="161"/>
      </w:tblGrid>
      <w:tr>
        <w:trPr/>
        <w:tc>
          <w:tcPr>
            <w:tcW w:w="80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Noncontrolling interest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2022</w:t>
            </w:r>
          </w:p>
        </w:tc>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187,280,015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970,180 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(732,241)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239,302 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(148,017)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(148,173)</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1,762,086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Forfeitures</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attributable to subsidiary</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Balance at December 31, 2023 </w:t>
            </w:r>
          </w:p>
        </w:tc>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188,951,643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158,071</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(128,035)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(128,071)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2,885,424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Forfeitures</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restricted stock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(69,820)</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exercised</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attributable to subsidiary</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Balance at December 31, 2024 </w:t>
            </w:r>
          </w:p>
        </w:tc>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191,778,639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1,107,952 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(1,008,293)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11,277,430 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exercised</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consolidated subsidiary</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Balance at December 31, 2025 </w:t>
            </w:r>
          </w:p>
        </w:tc>
        <w:tc>
          <w:tcPr>
            <w:tcW w:w="12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204,153,619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1,188,089 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(1,009,017)</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179,277 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3"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70</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Alignment Healthcare,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(amounts in thousands)</w:t>
      </w:r>
    </w:p>
    <w:tbl>
      <w:tblPr>
        <w:tblW w:w="10205" w:type="dxa"/>
        <w:jc w:val="left"/>
        <w:tblInd w:w="0" w:type="dxa"/>
        <w:tblLayout w:type="fixed"/>
        <w:tblCellMar>
          <w:top w:w="28" w:type="dxa"/>
          <w:left w:w="28" w:type="dxa"/>
          <w:bottom w:w="28" w:type="dxa"/>
          <w:right w:w="28" w:type="dxa"/>
        </w:tblCellMar>
      </w:tblPr>
      <w:tblGrid>
        <w:gridCol w:w="2263"/>
        <w:gridCol w:w="1983"/>
        <w:gridCol w:w="1987"/>
        <w:gridCol w:w="196"/>
        <w:gridCol w:w="736"/>
        <w:gridCol w:w="109"/>
        <w:gridCol w:w="109"/>
        <w:gridCol w:w="109"/>
        <w:gridCol w:w="109"/>
        <w:gridCol w:w="196"/>
        <w:gridCol w:w="810"/>
        <w:gridCol w:w="109"/>
        <w:gridCol w:w="109"/>
        <w:gridCol w:w="109"/>
        <w:gridCol w:w="109"/>
        <w:gridCol w:w="196"/>
        <w:gridCol w:w="810"/>
        <w:gridCol w:w="156"/>
      </w:tblGrid>
      <w:tr>
        <w:trPr/>
        <w:tc>
          <w:tcPr>
            <w:tcW w:w="226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97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(148,173)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right of 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Gain on sale of property and equipment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Amortization-investment discount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3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66,835 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(26,950)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Medical expenses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35,264 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(59,187)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(379,058)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Sale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267,790 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(35,995)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(147,263)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employment taxes related to release of restricted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 holders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(206,345)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411,299 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577,937 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204,954 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Supplemental 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in 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cash, cash equivalents and restricted cash reported within the consolidated balance sheets to the total above:</w:t>
      </w:r>
    </w:p>
    <w:tbl>
      <w:tblPr>
        <w:tblW w:w="7433" w:type="dxa"/>
        <w:jc w:val="left"/>
        <w:tblInd w:w="0" w:type="dxa"/>
        <w:tblLayout w:type="fixed"/>
        <w:tblCellMar>
          <w:top w:w="28" w:type="dxa"/>
          <w:left w:w="28" w:type="dxa"/>
          <w:bottom w:w="28" w:type="dxa"/>
          <w:right w:w="28" w:type="dxa"/>
        </w:tblCellMar>
      </w:tblPr>
      <w:tblGrid>
        <w:gridCol w:w="810"/>
        <w:gridCol w:w="710"/>
        <w:gridCol w:w="714"/>
        <w:gridCol w:w="282"/>
        <w:gridCol w:w="1061"/>
        <w:gridCol w:w="157"/>
        <w:gridCol w:w="109"/>
        <w:gridCol w:w="109"/>
        <w:gridCol w:w="109"/>
        <w:gridCol w:w="282"/>
        <w:gridCol w:w="1061"/>
        <w:gridCol w:w="157"/>
        <w:gridCol w:w="109"/>
        <w:gridCol w:w="109"/>
        <w:gridCol w:w="109"/>
        <w:gridCol w:w="279"/>
        <w:gridCol w:w="1047"/>
        <w:gridCol w:w="219"/>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575,817 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432,859 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202,904 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 other assets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577,937 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434,943 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204,954 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71</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Alignment Healthcare,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(amounts in thousands, except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1. Organization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Alignment Healthcare, Inc. (collectively, “we” or “us” or “our” or the “Company”), is a next generation, consumer-centric and clinically focused platform designed to improve the healthcare experience for seniors enrolled in Medicare who choose a private Medicare Advantage plan. Our goal is to provide seniors with easier access to care, better coordination among providers, fewer gaps in care and avoidable hospital visits, and support that meets them where they are—at home, online, or in their community. We deliver this experience through our wide variety of Medicare Advantage plans, which offer varied benefits tailored to the diverse needs, preferences, and lifestyles of seniors. The Company’s operations primarily consist of Medicare Advantage Plans in the states of California, North Carolina, Nevada, Arizona and Texas.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2. Summary of Significant Accounting Policies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Basis of Presentation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consolidated financial statements and accompanying notes have been prepared in accordance with accounting principles generally accepted in the United States of America (“U.S. GAAP”). The consolidated financial statements include the accounts of the Company, our subsidiaries, and three immaterial variable interest entities in which we are the primary beneficiary. All intercompany transactions have been eliminated in consolidation. Noncontrolling interest is presented within the equity section of the consolidated balance sheets. As of December 31, 2025, the Company sold the subsidiary that included the noncontrolling interest. The gain/loss on the sale was immaterial.</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have no components of other comprehensive income (loss), and accordingly, comprehensive income (loss) is the same as the net loss for all periods presented.</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Use of Estimates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preparation of the consolidated financial statements requires management to make estimates and judgments that affect the amounts reported in the consolidated financial statements. Our significant estimates include, but are not limited to, the determination of medical expenses payable; the impact of risk adjustment provisions related to our Medicare contracts; collectability of receivables; valuation of related impairment recognition of long-lived assets, including goodwill and intangible assets; equity-based compensation expense; and contingent liabilities. Estimates and judgments are based upon historical information and on various other assumptions that are believed to be reasonable under the circumstances. Actual results could differ materially from those estimates and the impact of any change in estimates is included in earnings in the period in which the estimate is adjusted.</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Segments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have determined that our chief executive officer is the chief operating decision maker (“CODM”) who regularly reviews financial operating results on a consolidated basis for purposes of allocating resources and evaluating financial performance. We operate and manage the business as one reportable segment and one operating segment, which is to provide healthcare services to our seniors. Factors used in determining the reportable segment include the nature of operating activities, our organizational and reporting structure, and the type of information reviewed by the CODM to allocate resources and evaluate financial performance. All of our assets are located in the United States.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CODM assesses the Company's performance by using consolidated net loss which is reported on the consolidated statements of operations as net loss. This measure is used predominantly by the CODM in the annual budget and forecasting process. The CODM considers budget-to-actual variances on a quarterly basis when making decisions about the allocation of operating and capital resources for the Company.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In addition to net loss, the CODM is also provided information on certain significant segment expenses which are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5"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72</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tbl>
      <w:tblPr>
        <w:tblW w:w="9912" w:type="dxa"/>
        <w:jc w:val="left"/>
        <w:tblInd w:w="0" w:type="dxa"/>
        <w:tblLayout w:type="fixed"/>
        <w:tblCellMar>
          <w:top w:w="28" w:type="dxa"/>
          <w:left w:w="28" w:type="dxa"/>
          <w:bottom w:w="28" w:type="dxa"/>
          <w:right w:w="28" w:type="dxa"/>
        </w:tblCellMar>
      </w:tblPr>
      <w:tblGrid>
        <w:gridCol w:w="2059"/>
        <w:gridCol w:w="1805"/>
        <w:gridCol w:w="1821"/>
        <w:gridCol w:w="196"/>
        <w:gridCol w:w="871"/>
        <w:gridCol w:w="109"/>
        <w:gridCol w:w="109"/>
        <w:gridCol w:w="109"/>
        <w:gridCol w:w="109"/>
        <w:gridCol w:w="196"/>
        <w:gridCol w:w="871"/>
        <w:gridCol w:w="109"/>
        <w:gridCol w:w="109"/>
        <w:gridCol w:w="109"/>
        <w:gridCol w:w="109"/>
        <w:gridCol w:w="196"/>
        <w:gridCol w:w="871"/>
        <w:gridCol w:w="154"/>
      </w:tblGrid>
      <w:tr>
        <w:trPr/>
        <w:tc>
          <w:tcPr>
            <w:tcW w:w="2059"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22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December 31, </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3,948,719 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2,703,561 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1,823,630 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Medical expenses (less depreciation and equity-based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3,453,944 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1,614,805 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 (less equity-based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248,139 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Other segment expenses</w:t>
            </w:r>
            <w:r>
              <w:rPr>
                <w:color w:val="000000"/>
              </w:rPr>
              <w:t xml:space="preserve"> </w:t>
            </w:r>
            <w:r>
              <w:rPr>
                <w:rFonts w:ascii="Times New Roman;serif" w:hAnsi="Times New Roman;serif"/>
                <w:b w:val="false"/>
                <w:color w:val="000000"/>
                <w:sz w:val="12"/>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(128,071)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(148,173)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(1) Other segment items included in segment net loss includes equity-based compensation, depreciation and amortization, other expenses (income), and provision for income tax expenses (benefit). </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Fair Value Measurements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Fair value is the price that would be received to sell an asset or paid to transfer a liability in an orderly transaction between market participants at the measurement date. Our current assets and current liabilities approximate fair value because of the short-term nature of these financial instruments. Financial instruments measured at fair value on a recurring basis were based upon a three-tier hierarchy as follows:</w:t>
      </w:r>
    </w:p>
    <w:p>
      <w:pPr>
        <w:pStyle w:val="TextBody"/>
        <w:bidi w:val="0"/>
        <w:spacing w:lineRule="auto" w:line="288" w:before="200" w:after="283"/>
        <w:jc w:val="left"/>
        <w:rPr/>
      </w:pPr>
      <w:r>
        <w:rPr>
          <w:rFonts w:ascii="Times New Roman;serif" w:hAnsi="Times New Roman;serif"/>
          <w:b/>
          <w:i/>
          <w:color w:val="000000"/>
          <w:sz w:val="18"/>
        </w:rPr>
        <w:t>Level 1</w:t>
      </w:r>
      <w:r>
        <w:rPr>
          <w:color w:val="000000"/>
        </w:rPr>
        <w:t xml:space="preserve"> </w:t>
      </w:r>
      <w:r>
        <w:rPr>
          <w:rFonts w:ascii="Times New Roman;serif" w:hAnsi="Times New Roman;serif"/>
          <w:b w:val="false"/>
          <w:color w:val="000000"/>
          <w:sz w:val="18"/>
        </w:rPr>
        <w:t>- Quoted prices in active markets for identical assets or liabilities</w:t>
      </w:r>
    </w:p>
    <w:p>
      <w:pPr>
        <w:pStyle w:val="TextBody"/>
        <w:bidi w:val="0"/>
        <w:spacing w:lineRule="auto" w:line="288" w:before="200" w:after="283"/>
        <w:jc w:val="left"/>
        <w:rPr/>
      </w:pPr>
      <w:r>
        <w:rPr>
          <w:rFonts w:ascii="Times New Roman;serif" w:hAnsi="Times New Roman;serif"/>
          <w:b/>
          <w:i/>
          <w:color w:val="000000"/>
          <w:sz w:val="18"/>
        </w:rPr>
        <w:t>Level 2</w:t>
      </w:r>
      <w:r>
        <w:rPr>
          <w:color w:val="000000"/>
        </w:rPr>
        <w:t xml:space="preserve"> </w:t>
      </w:r>
      <w:r>
        <w:rPr>
          <w:rFonts w:ascii="Times New Roman;serif" w:hAnsi="Times New Roman;serif"/>
          <w:b w:val="false"/>
          <w:color w:val="000000"/>
          <w:sz w:val="18"/>
        </w:rPr>
        <w:t>- Other inputs that are observable for the asset or liability, either directly or indirectly, for substantially the full term of the asset or liability</w:t>
      </w:r>
    </w:p>
    <w:p>
      <w:pPr>
        <w:pStyle w:val="TextBody"/>
        <w:bidi w:val="0"/>
        <w:spacing w:lineRule="auto" w:line="288" w:before="200" w:after="283"/>
        <w:jc w:val="left"/>
        <w:rPr/>
      </w:pPr>
      <w:r>
        <w:rPr>
          <w:rFonts w:ascii="Times New Roman;serif" w:hAnsi="Times New Roman;serif"/>
          <w:b/>
          <w:i/>
          <w:color w:val="000000"/>
          <w:sz w:val="18"/>
        </w:rPr>
        <w:t>Level 3</w:t>
      </w:r>
      <w:r>
        <w:rPr>
          <w:color w:val="000000"/>
        </w:rPr>
        <w:t xml:space="preserve"> </w:t>
      </w:r>
      <w:r>
        <w:rPr>
          <w:rFonts w:ascii="Times New Roman;serif" w:hAnsi="Times New Roman;serif"/>
          <w:b w:val="false"/>
          <w:color w:val="000000"/>
          <w:sz w:val="18"/>
        </w:rPr>
        <w:t>- Unobservable inputs that reflect management’s best estimate of what market participants would use in pricing the asset or liability at the measurement date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fair value of cash, cash equivalents, restricted cash and U.S. Treasury bills was determined based on Level 1 inputs. The fair value of the convertible senior notes and certificate of deposits, which are recorded in long-term debt and other assets in the consolidated balance sheets, respectively, were determined based on Level 2 inputs. There were no assets or liabilities measured at fair value using Level 3 inputs as of December 31, 2025 and December 31, 2024. Our long-term debt was reported at carrying value.</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Revenue and Accounts Receivable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Earned premium revenue consisting of premium revenue and capitation revenue for the years ended December 31, 2025, 2024, and 2023 were as follows:</w:t>
      </w:r>
    </w:p>
    <w:tbl>
      <w:tblPr>
        <w:tblW w:w="5068" w:type="dxa"/>
        <w:jc w:val="left"/>
        <w:tblInd w:w="0" w:type="dxa"/>
        <w:tblLayout w:type="fixed"/>
        <w:tblCellMar>
          <w:top w:w="28" w:type="dxa"/>
          <w:left w:w="28" w:type="dxa"/>
          <w:bottom w:w="28" w:type="dxa"/>
          <w:right w:w="28" w:type="dxa"/>
        </w:tblCellMar>
      </w:tblPr>
      <w:tblGrid>
        <w:gridCol w:w="304"/>
        <w:gridCol w:w="267"/>
        <w:gridCol w:w="270"/>
        <w:gridCol w:w="196"/>
        <w:gridCol w:w="871"/>
        <w:gridCol w:w="109"/>
        <w:gridCol w:w="109"/>
        <w:gridCol w:w="109"/>
        <w:gridCol w:w="109"/>
        <w:gridCol w:w="196"/>
        <w:gridCol w:w="871"/>
        <w:gridCol w:w="109"/>
        <w:gridCol w:w="109"/>
        <w:gridCol w:w="109"/>
        <w:gridCol w:w="109"/>
        <w:gridCol w:w="196"/>
        <w:gridCol w:w="871"/>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Premium</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3,906,651 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2,666,813 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1,668,131 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3,911,718 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2,671,931 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1,800,933 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Premium revenue is derived monthly from the federal government based on our contracts with the Centers for Medicare and Medicaid Services (“CMS”). In accordance with these arrangements, we assume the responsibility for the outcomes and the economic risk of funding our members’ health care, supplemental benefits and related administration costs. We recognize premium revenue in the month that members are entitled to receive health care services, and premiums collected in advance are deferred. The monthly reimbursement includes a fixed payment per member per month (“PMPM”), which is adjusted based on certain risk factors derived from medical diagnoses and conditions of our members. The adjustments are estimated by projecting the ultimate annual premium and are recognized ratably during the year, with adjustments each period to reflect changes in the estimated ultimate premium. Premiums are also recorded net of estimated uncollectible amounts and retroactive membership adjustments.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Capitation revenue consists primarily of capitated fees for medical care services provided by us under arrangements with third-party payors.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Under those arrangements with third-party payors, we receive a PMPM payment for a defined member population, and we are responsible for providing health care services to the member population over the contract period. We are solely responsible for the cost of health care services related to the member population and in some cases, we are financially responsible for the supplemental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6"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73</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provided by us to the members. We act as a principal in arranging for and controlling the services provided by our provider network and we are at risk for arranging and providing health care services.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premium and capitation payments we receive monthly from CMS for our members are determined from our annual bid or similarly from third-party payors under our capitation arrangement. These payments represent revenues for providing health care coverage, including Medicare Part D benefits. Under the Medicare Part D program, our members and the members of the third-party payors receive standard drug benefits. We may also provide enhanced benefits at our own expense. We recognize premium or capitation revenue for providing this insurance coverage in the month that members are entitled to receive health care services and any premium or capitation collected in advance is deferred. Our CMS payment related to Medicare Part D is subject to risk sharing through the Medicare Part D risk corridor provisions.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 also participated in the CMS “ACO Realizing Equity, Access, and Community Health Model” or “ACO REACH” model, formerly the Direct Contracting Model ("DCE"). CMS serves as the claim adjudicator for institutional and specialists care, and directly pays for such fee for service claims. The ACO REACH entity ("ACO") is responsible for the cost of health care services related to the patient population attributed to the ACO by participating in 100% savings/losses via the risk share model and in some cases, are financially responsible for the supplemental benefits provided to the patients. In 2024, we entered into a management services and risk management agreement with a third-party healthcare company. The third-party is responsible for arranging and controlling the health care services provided to the ACO members, and for providing certain management and support services with respect to ACO operations. The third-party also assumes specified upside and downside financial risks relative to the ACO’s performance. As a result of this arrangement, revenue is recorded on a net basis within other revenue on the consolidated statement of operations. Revenue recognized by the ACO for the year ended December 31, 2025 and 2024 was $1,244 and $984, respectively. We discontinued our participation in the ACO REACH model as of December 31, 2025. We expect this to have an immaterial impact to our financial results.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income earned on our cash deposits and short-term investments is included within other revenue on the consolidated statements of operations. Interest income for the years ended December 31, 2025, 2024 and 2023 was $29,111, $23,986 and $19,586, respectively. </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Revenue Adjustments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Payments by CMS to health plans are determined via a competitive bidding process with CMS and are based upon the cost of care in a local market and the average utilization of services by the member enrolled. These payments are subject to periodic adjustments under CMS’ “risk adjustment model,” which compensates health plans based on the health severity and certain demographic factors of each individual member. Members diagnosed with certain conditions are paid at a higher monthly payment than members who are healthier. Under this risk adjustment model, CMS calculates the risk adjustment payment using diagnosis data from hospital inpatient, hospital outpatient, and physician treatment settings. The Company and health care providers collect, capture, and submit the necessary and available diagnosis data to CMS within prescribed deadlines. Both premium and capitation revenues (including Medicare Part D) are subject to adjustments under the risk adjustment model.</w:t>
      </w:r>
    </w:p>
    <w:p>
      <w:pPr>
        <w:pStyle w:val="TextBody"/>
        <w:bidi w:val="0"/>
        <w:spacing w:lineRule="auto" w:line="276" w:before="200" w:after="283"/>
        <w:jc w:val="left"/>
        <w:rPr>
          <w:rFonts w:ascii="Times New Roman;serif" w:hAnsi="Times New Roman;serif"/>
          <w:b w:val="false"/>
          <w:color w:val="000000"/>
          <w:sz w:val="18"/>
        </w:rPr>
      </w:pPr>
      <w:r>
        <w:rPr>
          <w:rFonts w:ascii="Times New Roman;serif" w:hAnsi="Times New Roman;serif"/>
          <w:b w:val="false"/>
          <w:color w:val="000000"/>
          <w:sz w:val="18"/>
        </w:rPr>
        <w:t>Throughout the year, we estimate risk adjustment payments based upon the diagnosis data submitted and expected to be submitted to CMS. Those estimated risk adjustment payments are recorded as an adjustment to premium and capitation revenue. Our risk adjustment data is also subject to review by the government, including audit by regulators.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Our recognized premium revenue for our Medicare Advantage Plans are each subject to a minimum annual medical loss ratio (“MLR”) of 85%. The MLR represents medical costs as a percentage of premium revenue. The Code of Federal Regulations defines what constitutes medical costs and premium revenue, including certain additional expenses related to improving the quality of care provided, and the exclusion of certain taxes and fees, in each case as permitted or required by CMS and applicable regulatory requirements. If the minimum MLR is not met, we are required to remit a portion of the premiums back to the federal government. The amount remitted, if any, is recognized as an adjustment to premium revenues in the consolidated statements of operations. The amounts payable under this provision were immaterial at December 31, 2025 and December 31, 2024.</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Medicare Part D payments are also subject to a federal risk corridor program, which limits a health plan’s overall losses or profit if actual spending for basic Medicare Part D benefits is much higher or lower than what was anticipated. Risk corridor adjustments are recorded within premium revenue. The risk corridor provisions compare costs targeted in our bids or third-party payors’ bids to actual prescription drug costs, limited to actual costs that would have been incurred under the standard coverage as defined by CMS. Variances exceeding certain thresholds may result in CMS or third-party payors making additional payments to us or require us to refund a portion of the premiums we received. We estimate and recognize an adjustment to premium revenue related to these provisions based upon pharmacy claims experience. We record a receivable or payable at the contract level and classify the amount as current or long-term in our consolidated balance sheets based on the timing of expected settlement.</w:t>
      </w:r>
    </w:p>
    <w:p>
      <w:pPr>
        <w:pStyle w:val="TextBody"/>
        <w:bidi w:val="0"/>
        <w:spacing w:lineRule="auto" w:line="276" w:before="200" w:after="283"/>
        <w:jc w:val="left"/>
        <w:rPr>
          <w:rFonts w:ascii="Times New Roman;serif" w:hAnsi="Times New Roman;serif"/>
          <w:b w:val="false"/>
          <w:color w:val="000000"/>
          <w:sz w:val="18"/>
        </w:rPr>
      </w:pPr>
      <w:r>
        <w:rPr>
          <w:rFonts w:ascii="Times New Roman;serif" w:hAnsi="Times New Roman;serif"/>
          <w:b w:val="false"/>
          <w:color w:val="000000"/>
          <w:sz w:val="18"/>
        </w:rPr>
        <w:t>Receivables, including risk adjusted premium due from the government or through third-party payors, pharmacy rebates, and other receivables, are shown net of allowances for credit losses and retroactive membership adjustments.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Cash and Cash Equivalents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Cash includes currency on hand with banks and financial institutions. We consider short-term investments with an original maturity of three months or less at the date of purchase to be cash equivalents. Carrying value approximates fair value due to the short-term maturity of the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7"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74</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Investments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are classified as held-to-maturity or available-for-sale at the time of purchase. Investment securities classified as held-to-maturity, which management has the positive intent and ability to hold to maturity, are reported at amortized cost. Investments with maturities of less than one year are classified as short-term.</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Restricted and Other Long-Term Assets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Restricted assets are composed of restricted cash and investments in US Treasury bills and certificate of deposits. The Company intends to hold its investments until maturity; therefore, these investments are stated at amortized cost. Premiums and discounts, if any, are amortized or accreted as interest expense or income over the life of the related asset using the effective interest method. As of December 31, 2025 and 2024, all investments had maturities with less than 12 months.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Restricted assets are required to be maintained at a financial institution within certain states. Due to the nature of the state’s requirements, these assets are classified as noncurrent assets regardless of the contractual maturity date.</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Property and Equipment—Net</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are carried at cost, net of accumulated depreciation. Expenditures for repairs and maintenance that do not improve or extend the life of the assets are expensed when incurred. Costs and the related accumulated depreciation are removed when property and equipment are sold or otherwise disposed of, and any resulting gains or losses are reflected in the consolidated statement of operations.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Software development activities typically consist of three phases: (1) planning, (2) application and infrastructure development, and (3) post implementation. Costs incurred in the planning and post implementation phases, including post-configuration training and repairs and maintenance, are expensed as incurred. Costs incurred in the application and infrastructure development phases, including significant enhancements and upgrades, are capitalized once the planning phase is completed and management authorizes the project to commence. Those costs include, but are not limited to, salaries and benefit expenses for employees who are directly associated with the development projects and outside contractor expenses. Software development costs that do not qualify for capitalization are expensed as incurred.</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 is computed using the straight-line method generally based on the following estimated useful lives:</w:t>
      </w:r>
    </w:p>
    <w:tbl>
      <w:tblPr>
        <w:tblW w:w="4725" w:type="dxa"/>
        <w:jc w:val="left"/>
        <w:tblInd w:w="0" w:type="dxa"/>
        <w:tblLayout w:type="fixed"/>
        <w:tblCellMar>
          <w:top w:w="28" w:type="dxa"/>
          <w:left w:w="28" w:type="dxa"/>
          <w:bottom w:w="28" w:type="dxa"/>
          <w:right w:w="28" w:type="dxa"/>
        </w:tblCellMar>
      </w:tblPr>
      <w:tblGrid>
        <w:gridCol w:w="835"/>
        <w:gridCol w:w="735"/>
        <w:gridCol w:w="740"/>
        <w:gridCol w:w="707"/>
        <w:gridCol w:w="707"/>
        <w:gridCol w:w="1001"/>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Estimated Service Lives (years)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and equipment</w:t>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Office equipment and furniture</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Software</w:t>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15 (or lease term, if shorter)</w:t>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 related to property and equipment used to service our members or at our clinics are included within medical expenses in the consolidated statements of operations.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Leases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determine if an arrangement is a lease at inception and evaluate each lease arrangement to determine whether the lease is an operating or financing lease. ROU assets and lease liabilities are recognized at commencement date based on the present value of the future minimum lease payments over the lease term. ROU assets include upfront payments, if any, and excludes lease incentives. The lease terms may include options to extend or terminate the lease when it is reasonably certain that we will exercise that option.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utilize our incremental borrowing rate to determine the present value of the lease payments if an interest rate is not implicit in the lease. Expenses for our operating and finance leases are recognized on a straight-line basis over the lease term and are recorded as selling, general and administrative expenses for operating leases and as depreciation expense and interest expense for finance leases.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Goodwill and Intangible Assets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are classified into three categories: (1) goodwill, (2) indefinite-lived intangible assets, and (3) definite-lived intangible assets.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Goodwill and indefinite-lived intangible assets are not amortized. For definite-lived intangible assets, we determine the useful lives of intangible assets after considering each asset’s specific facts and circumstances. Intangible assets that are determined to have definite lives are amortized on a straight-line basis over their useful lives.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8"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75</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Impairment</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Goodwill and indefinite-lived assets are tested for impairment on an annual basis and more frequently if indicators of impairment are present. Impairment tests are performed, at a minimum, in the fourth quarter of each year supported by our long-range business plan and annual planning process.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When testing goodwill for impairment, we first perform a qualitative assessment. If the qualitative assessment indicates that it is more likely than not that the carrying value of a reporting unit exceeds the estimated fair value, then a quantitative assessment is performed. We may elect to bypass the qualitative assessment and proceed directly to the quantitative assessment.</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If the quantitative test is needed, we determine an appropriate valuation technique to estimate the fair value of the reporting unit as of the testing date. We utilize the income approach and the market approach to assess the most appropriate fair value for the reporting unit. Changes in economic and operating conditions impacting assumptions used in our analyses could result in goodwill impairment in future periods.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When testing indefinite-lived intangible assets other than goodwill for impairment, we first perform a qualitative analysis to determine whether it is more likely than not that an asset has been impaired. If it is more likely than not that an asset has been impaired, an impairment is evaluated by comparing the estimated fair value of the asset to its carrying value. An impairment charge is recognized if the asset’s estimated fair value is less than its carrying value.</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Impairment of Long-Lived Assets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Long-lived assets consist of property and equipment and other finite-lived intangible assets. These assets are depreciated or amortized over their estimated useful life and are subject to impairment reviews. We periodically review long-lived assets whenever adverse events or changes in circumstances indicate the carrying value of the asset may not be recoverable.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review these assets for impairment by comparing the sum of the expected future cash flows (undiscounted and without interest charges) to the carry value. If the sum of the estimated undiscounted future cash flows is less than the carrying value, an impairment determination is required. The amount of impairment is calculated by subtracting the fair value of the asset from the carrying value. An impairment charge, if any, is recognized within earnings from operations.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Medical Expenses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Medical expenses include claim payments, capitation payments, pharmacy costs net of rebates, allocations of certain centralized expenses, internal care delivery expenses and various other costs incurred to provide health insurance coverage and care to members, as well as estimates of future payments to hospitals and others for medical care and other supplemental benefits provided.</w:t>
      </w:r>
    </w:p>
    <w:p>
      <w:pPr>
        <w:pStyle w:val="TextBody"/>
        <w:bidi w:val="0"/>
        <w:spacing w:lineRule="auto" w:line="276" w:before="200" w:after="283"/>
        <w:jc w:val="left"/>
        <w:rPr>
          <w:rFonts w:ascii="Times New Roman;serif" w:hAnsi="Times New Roman;serif"/>
          <w:b w:val="false"/>
          <w:color w:val="000000"/>
          <w:sz w:val="18"/>
        </w:rPr>
      </w:pPr>
      <w:r>
        <w:rPr>
          <w:rFonts w:ascii="Times New Roman;serif" w:hAnsi="Times New Roman;serif"/>
          <w:b w:val="false"/>
          <w:color w:val="000000"/>
          <w:sz w:val="18"/>
        </w:rPr>
        <w:t>We have contracts with a network of hospitals, physicians, and other providers and compensate those providers and ancillary organizations based on contractual arrangements or CMS Medicare compensation guidelines. We pay these contracting providers either through fee-for-service arrangement in which the provider is paid negotiated rates for specific services provided or a capitation payment, which represent monthly contractual fees disbursed for each member regardless of medical services provided to the member. We are responsible for the entirety of the cost of health care services related to the member population, in addition to supplemental benefits provided by us to our seniors.</w:t>
      </w:r>
    </w:p>
    <w:p>
      <w:pPr>
        <w:pStyle w:val="TextBody"/>
        <w:bidi w:val="0"/>
        <w:spacing w:lineRule="auto" w:line="276" w:before="200" w:after="283"/>
        <w:jc w:val="left"/>
        <w:rPr>
          <w:rFonts w:ascii="Times New Roman;serif" w:hAnsi="Times New Roman;serif"/>
          <w:b w:val="false"/>
          <w:color w:val="000000"/>
          <w:sz w:val="18"/>
        </w:rPr>
      </w:pPr>
      <w:r>
        <w:rPr>
          <w:rFonts w:ascii="Times New Roman;serif" w:hAnsi="Times New Roman;serif"/>
          <w:b w:val="false"/>
          <w:color w:val="000000"/>
          <w:sz w:val="18"/>
        </w:rPr>
        <w:t>Capitation-related expenses are recorded on an accrual basis during the coverage period. Expenses related to fee-for-service contracts are recorded in the period in which the related services are dispensed.</w:t>
      </w:r>
    </w:p>
    <w:p>
      <w:pPr>
        <w:pStyle w:val="TextBody"/>
        <w:bidi w:val="0"/>
        <w:spacing w:lineRule="auto" w:line="276" w:before="200" w:after="283"/>
        <w:jc w:val="left"/>
        <w:rPr>
          <w:rFonts w:ascii="Times New Roman;serif" w:hAnsi="Times New Roman;serif"/>
          <w:b w:val="false"/>
          <w:color w:val="000000"/>
          <w:sz w:val="18"/>
        </w:rPr>
      </w:pPr>
      <w:r>
        <w:rPr>
          <w:rFonts w:ascii="Times New Roman;serif" w:hAnsi="Times New Roman;serif"/>
          <w:b w:val="false"/>
          <w:color w:val="000000"/>
          <w:sz w:val="18"/>
        </w:rPr>
        <w:t>Pharmacy costs represent payments for members’ prescription drug benefits, net of rebates from drug manufacturers. Receivables for such pharmacy rebates are included in accounts receivable in the consolidated balance sheet.</w:t>
      </w:r>
    </w:p>
    <w:p>
      <w:pPr>
        <w:pStyle w:val="TextBody"/>
        <w:bidi w:val="0"/>
        <w:spacing w:lineRule="auto" w:line="288" w:before="200" w:after="283"/>
        <w:jc w:val="left"/>
        <w:rPr/>
      </w:pPr>
      <w:r>
        <w:rPr>
          <w:rFonts w:ascii="Times New Roman;serif" w:hAnsi="Times New Roman;serif"/>
          <w:b w:val="false"/>
          <w:color w:val="000000"/>
          <w:sz w:val="18"/>
        </w:rPr>
        <w:t>In August 2022, the Inflation Reduction Act ("IRA") was signed into law. The law intends to increase tax revenue and reduce Medicare costs through lower prescription drug prices, inflation rebates, and increased financial responsibility for certain drug manufacturers. The provisions of the law are set to take effect over the next seven years. For the year ended December 31, 2025, we experienced an increase in both Part D premium revenues and medical expenses as a result of the IRA. Our 2025 bid pricing and budget reflect the expected impact the IRA will have on our business for fiscal year 2025. The impact of the IRA was immaterial for the year ended December 31, 2024</w:t>
      </w:r>
      <w:r>
        <w:rPr>
          <w:rFonts w:ascii="Arial;sans-serif" w:hAnsi="Arial;sans-serif"/>
          <w:b w:val="false"/>
          <w:color w:val="000000"/>
          <w:sz w:val="18"/>
        </w:rPr>
        <w:t>.</w:t>
      </w:r>
    </w:p>
    <w:p>
      <w:pPr>
        <w:pStyle w:val="TextBody"/>
        <w:bidi w:val="0"/>
        <w:spacing w:lineRule="auto" w:line="288" w:before="200" w:after="283"/>
        <w:jc w:val="both"/>
        <w:rPr>
          <w:rFonts w:ascii="Times New Roman;serif" w:hAnsi="Times New Roman;serif"/>
          <w:b/>
          <w:i/>
          <w:color w:val="000000"/>
          <w:sz w:val="18"/>
        </w:rPr>
      </w:pPr>
      <w:r>
        <w:rPr>
          <w:rFonts w:ascii="Times New Roman;serif" w:hAnsi="Times New Roman;serif"/>
          <w:b/>
          <w:i/>
          <w:color w:val="000000"/>
          <w:sz w:val="18"/>
        </w:rPr>
        <w:t>Medical Expenses Payable</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Medical expenses payable includes estimates of our obligations for medical care services that have been rendered on behalf of our members and the members of the third-party payors, but for which claims have either not yet been received or processed, loss adjustment expense reserve for the expected costs of settling these claims, and for liabilities related to physician, hospital, and other medical cost disputes.</w:t>
      </w:r>
    </w:p>
    <w:p>
      <w:pPr>
        <w:pStyle w:val="TextBody"/>
        <w:bidi w:val="0"/>
        <w:spacing w:lineRule="auto" w:line="276"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develop estimates for medical expenses incurred but not yet paid (“IBNP”), which includes an estimate for claims incurred but not reported (“IBNR”) and a payable for adjudicated claims. IBNR is estimated using an actuarial process that is consistently applied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9"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76</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76" w:before="240" w:after="283"/>
        <w:jc w:val="both"/>
        <w:rPr>
          <w:rFonts w:ascii="Times New Roman;serif" w:hAnsi="Times New Roman;serif"/>
          <w:b w:val="false"/>
          <w:color w:val="000000"/>
          <w:sz w:val="18"/>
        </w:rPr>
      </w:pPr>
      <w:r>
        <w:rPr>
          <w:rFonts w:ascii="Times New Roman;serif" w:hAnsi="Times New Roman;serif"/>
          <w:b w:val="false"/>
          <w:color w:val="000000"/>
          <w:sz w:val="18"/>
        </w:rPr>
        <w:t>centrally controlled. Medical expenses payable also includes an estimate for the costs necessary to process unpaid claims at the end of each period. We estimate the IBNR liability using actuarial methods that are commonly used by health insurance actuaries and meet Actuarial Standards of Practice. These actuarial methods consider factors, such as cost trends and completion factors that are assessed based on historical data for payment patterns, product mix, seasonality, utilization of health care services, and other relevant factors. Each period, we re-examine previously established IBNR estimates based on actual claim submissions and other changes in facts and circumstances. As the IBNR estimates recorded in prior periods develop, we adjust the amount of the estimates and include the changes in estimates in medical expenses in the period in which the change is identified.</w:t>
      </w:r>
    </w:p>
    <w:p>
      <w:pPr>
        <w:pStyle w:val="TextBody"/>
        <w:bidi w:val="0"/>
        <w:spacing w:lineRule="auto" w:line="276" w:before="240" w:after="283"/>
        <w:jc w:val="both"/>
        <w:rPr>
          <w:rFonts w:ascii="Times New Roman;serif" w:hAnsi="Times New Roman;serif"/>
          <w:b w:val="false"/>
          <w:color w:val="000000"/>
          <w:sz w:val="18"/>
        </w:rPr>
      </w:pPr>
      <w:r>
        <w:rPr>
          <w:rFonts w:ascii="Times New Roman;serif" w:hAnsi="Times New Roman;serif"/>
          <w:b w:val="false"/>
          <w:color w:val="000000"/>
          <w:sz w:val="18"/>
        </w:rPr>
        <w:t>Actuarial Standards of Practice generally require that the IBNP estimates be adequate to cover obligations under moderately adverse conditions. Moderately adverse conditions are situations in which the actual claims are expected to be higher than the otherwise estimated value of such claims at the time of estimate. In many situations, the claims amount ultimately settled will be different than the estimate that satisfies the Actuarial Standards of Practice. We include in our IBNP an estimate for medical claims liability under moderately adverse conditions, which represents the risk of adverse deviation of the estimates in our actuarial method of reserving. We believe that medical expenses payable is adequate to cover future claims payments required. However, such estimates are based on knowledge of current events and anticipated future events. Therefore, the actual liability could differ materially from the amounts provided.</w:t>
      </w:r>
    </w:p>
    <w:p>
      <w:pPr>
        <w:pStyle w:val="TextBody"/>
        <w:bidi w:val="0"/>
        <w:spacing w:lineRule="auto" w:line="276" w:before="240" w:after="283"/>
        <w:jc w:val="both"/>
        <w:rPr>
          <w:rFonts w:ascii="Times New Roman;serif" w:hAnsi="Times New Roman;serif"/>
          <w:b w:val="false"/>
          <w:color w:val="000000"/>
          <w:sz w:val="18"/>
        </w:rPr>
      </w:pPr>
      <w:r>
        <w:rPr>
          <w:rFonts w:ascii="Times New Roman;serif" w:hAnsi="Times New Roman;serif"/>
          <w:b w:val="false"/>
          <w:color w:val="000000"/>
          <w:sz w:val="18"/>
        </w:rPr>
        <w:t>We reassess the profitability of contracts for providing coverage to members when current operating results or forecasts indicate probable future losses. A premium deficiency reserve is established in current operations to the extent that the sum of expected future costs, claim adjustment expenses, and maintenance costs exceed related future premiums under contract and investment income. For purposes of determining premium deficiencies, contracts are grouped in a manner consistent with the method of acquiring, servicing, and measuring the profitability of such contracts. Losses recognized as a premium deficiency result in a beneficial effect in subsequent periods as operating losses under these contracts are charged to the liability previously established.</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Part D Subsidies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We also receive advance payments each month from CMS related to Catastrophic Reinsurance, Manufacturer Discount Program, and the Low-Income Member Cost Sharing Subsidy (“Part D Subsidies”). Reinsurance subsidies represent funding from CMS for our portion of prescription drug costs that exceed the member’s out-of-pocket threshold or the catastrophic coverage level. Low-income cost sharing subsidies represent funding from CMS for all or a portion of the deductible, the coinsurance and co-payment for low-income beneficiaries. Additionally, the Inflation Reduction Act mandates consumer discounts on most brand-name prescription drugs for Part D plan participants in the initial coverage and catastrophic phases. These discounts are ultimately funded by the pharmaceutical manufacturers. In 2025, the IRA retired the Coverage Gap Discount Program, introduced the Manufacturer Discount Program, and change the members cost thresholds for the catastrophic phase. These program changes and the corresponding changes in prepayments are reflected in our 2025 experience.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These Part D Subsidies represent cost reimbursements under the Medicare Part D program and are recorded as deposits or payables. These Subsidies received in excess of, or less than, actual subsidized benefits paid are refundable to or recoverable from CMS through an annual reconciliation process following the end of the contract year.:</w:t>
      </w:r>
    </w:p>
    <w:p>
      <w:pPr>
        <w:pStyle w:val="TextBody"/>
        <w:bidi w:val="0"/>
        <w:spacing w:before="200" w:after="283"/>
        <w:jc w:val="left"/>
        <w:rPr/>
      </w:pPr>
      <w:r>
        <w:rPr/>
      </w:r>
    </w:p>
    <w:tbl>
      <w:tblPr>
        <w:tblW w:w="8705" w:type="dxa"/>
        <w:jc w:val="left"/>
        <w:tblInd w:w="0" w:type="dxa"/>
        <w:tblLayout w:type="fixed"/>
        <w:tblCellMar>
          <w:top w:w="28" w:type="dxa"/>
          <w:left w:w="28" w:type="dxa"/>
          <w:bottom w:w="28" w:type="dxa"/>
          <w:right w:w="28" w:type="dxa"/>
        </w:tblCellMar>
      </w:tblPr>
      <w:tblGrid>
        <w:gridCol w:w="1128"/>
        <w:gridCol w:w="992"/>
        <w:gridCol w:w="1000"/>
        <w:gridCol w:w="232"/>
        <w:gridCol w:w="764"/>
        <w:gridCol w:w="129"/>
        <w:gridCol w:w="109"/>
        <w:gridCol w:w="109"/>
        <w:gridCol w:w="109"/>
        <w:gridCol w:w="238"/>
        <w:gridCol w:w="785"/>
        <w:gridCol w:w="132"/>
        <w:gridCol w:w="109"/>
        <w:gridCol w:w="109"/>
        <w:gridCol w:w="109"/>
        <w:gridCol w:w="232"/>
        <w:gridCol w:w="764"/>
        <w:gridCol w:w="129"/>
        <w:gridCol w:w="109"/>
        <w:gridCol w:w="109"/>
        <w:gridCol w:w="109"/>
        <w:gridCol w:w="236"/>
        <w:gridCol w:w="778"/>
        <w:gridCol w:w="185"/>
      </w:tblGrid>
      <w:tr>
        <w:trPr/>
        <w:tc>
          <w:tcPr>
            <w:tcW w:w="112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Risk Corridor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CMS Subsidies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Risk Corridor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CMS Subsidies</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Accounts receivable</w:t>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36,615 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Prepaid expenses and other current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68,361 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Medical expenses payable</w:t>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24,993 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Shared Risk Reserve Arrangements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We established a fund (also referred to as “a pool”) for risk and profit-sharing with various independent physician associations (“IPAs”). The pool enables us and our IPAs to share in the financial responsibility and/or upside associated with providing covered medical expenses to our members. The risk pool is based on a contractually agreed upon medical budget, typically based upon a percentage of revenue. If actual medical expenses are less than the budgeted amount, this results in a surplus. Conversely, if actual medical expenses are greater than the budgeted amount, this results in a deficit. We will distribute the surplus, or a portion thereof, to each IPA based upon contractual terms. Deficits are charged to shared risk providers’ risk pool as per the contractual term and evaluated for collectability at each reporting period.</w:t>
      </w:r>
    </w:p>
    <w:p>
      <w:pPr>
        <w:pStyle w:val="TextBody"/>
        <w:bidi w:val="0"/>
        <w:spacing w:lineRule="auto" w:line="276"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record risk-sharing receivables and payables on a gross basis on the consolidated balance sheets. Throughout the year, we evaluate expected losses on risk-sharing receivables and record the resulting expected losses to the reserve. We systematically build and release reserves based on adequacy and its assessment of expected losses on a monthly basis. Credit loss associated with risk share deficit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80" name="Frame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77</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76" w:before="240" w:after="283"/>
        <w:jc w:val="both"/>
        <w:rPr>
          <w:rFonts w:ascii="Times New Roman;serif" w:hAnsi="Times New Roman;serif"/>
          <w:b w:val="false"/>
          <w:color w:val="000000"/>
          <w:sz w:val="18"/>
        </w:rPr>
      </w:pPr>
      <w:r>
        <w:rPr>
          <w:rFonts w:ascii="Times New Roman;serif" w:hAnsi="Times New Roman;serif"/>
          <w:b w:val="false"/>
          <w:color w:val="000000"/>
          <w:sz w:val="18"/>
        </w:rPr>
        <w:t>receivables are recorded within medical expense in the consolidated statements of operations. As of December 31, 2025 and December 31, 2024, we recorded an allowance for credit losses for substantially all of the risk-sharing receivable balance due to collection risk related to the balance. The risk-sharing payable is included within medical expenses payable on the consolidated balance sheets.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Concentrations of Credit Risk</w:t>
      </w:r>
    </w:p>
    <w:p>
      <w:pPr>
        <w:pStyle w:val="TextBody"/>
        <w:bidi w:val="0"/>
        <w:spacing w:lineRule="auto" w:line="276"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Financial instruments that potentially subject us to concentrations of credit risk consist primarily of cash deposits and current and restricted investments with financial institutions. Accounts at each financial institution are insured by the Federal Deposit Insurance Corporation (“FDIC”) up to certain limits. </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Income Taxes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account for income taxes using the asset and liability method. Deferred tax assets and liabilities are determined based on temporary differences between the bases used for financial reporting and income tax reporting purposes based on the enacted tax rates and laws that will be in effect at the time such temporary differences are expected to reverse.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recognition of deferred tax assets requires an assessment to determine the realization of such assets. Realization refers to the incremental benefits achieved through the reductions in future taxes payable or refunds receivable from the deferred tax assets, assuming that the underlying deductible differences and carryforwards are the last items to enter into the determination of future taxable income. We establish a valuation allowance for tax assets when it is more likely than not that they will not be realized, based on all available positive and negative evidence.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account for uncertainty in income taxes using a “more-likely-than-not” recognition threshold. We consider many factors when evaluating and estimating our tax positions and tax benefits, which may require periodic adjustments, and which may not accurately reflect actual outcomes. Interest and penalties related to uncertain tax benefits are recognized as a component of interest expense and income tax expense, respectively, in the consolidated statement of operations.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Member Acquisition Costs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Member acquisition costs primarily relate to internal and external broker commission costs. These member acquisition costs related to our health services contract with our members are expensed as incurred and are recorded as selling, general and administrative expenses. The short-term health services contract typically have a one-year term and may be canceled by the member.</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Advertising Expenses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Company expenses the costs of advertising as incurred. Advertising expenses were $8,037, $5,756, and $6,956, for the years ended December 31, 2025, 2024, and 2023, respectively, and were reported as selling, general and administrative expenses.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Equity-Based Compensation</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Equity-based compensation expense is measured and recognized based on the grant date fair value of the awards. The grant date fair value of stock options is estimated using the Black-Scholes option pricing model. The grant date fair value of restricted stock units (“RSUs”), performance stock units ("PSUs") and restricted stock awards (“RSAs”) is estimated based on the fair value of our underlying common stock on the date of grant. </w:t>
      </w:r>
    </w:p>
    <w:p>
      <w:pPr>
        <w:pStyle w:val="TextBody"/>
        <w:bidi w:val="0"/>
        <w:spacing w:lineRule="auto" w:line="276"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Black-Scholes option pricing model requires the use of highly subjective assumptions, including the award’s expected term, the fair value of the underlying common stock, the expected volatility of the price of the common stock, risk-free interest rates, and the expected dividend yield of the common stock. The assumptions used to determine the fair value of the stock-based awards are management’s best estimates and involve inherent uncertainties and the application of judgment. The expected term represents the period the stock-based awards are expected to be outstanding. As we do not have sufficient historical experience for determining the expected term of the stock option awards granted, we utilize the simplified method available under GAAP. As we do not have a substantial trading history, volatility assumptions were developed using a combination of the Company's historical volatility and the historical volatilities of a set of peer companies, adjusted for debt-equity leverage. Equity-based compensation expense for awards with service-based vesting only is recognized on a graded vesting schedule over the requisite service period of the awards, which is generally three or four years.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Equity-based compensation expense for PSU awards with performance-based vesting is recognized over the requisite service period on a graded vesting schedule and is only recognized when the Company concludes that it is probable that the performance condition(s) will be achieved. At each reporting period, the Company reassesses the probability of achieving the performance criteria. Determining whether the performance criteria will be achieved involves judgment, and the estimate of share-based compensation expense may be revised periodically based on changes in the probability of achieving the performance criteria. Revisions are reflected in the period in which the estimate is changed. We account for forfeitures as they occur.</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Equity-based compensation is recorded within selling, general and administrative expenses, and medical expenses based on the function of the applicable employee and non-employee.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81" name="Frame8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78</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Net Loss per Share</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Net income or loss per share is calculated based on net income or loss attributable to Alignment Healthcare, Inc.'s stockholders. Potentially dilutive common stock equivalents for the Company include stock options, unvested RSUs, unvested PSUs, and convertible senior notes.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the computation of basic and diluted net income (loss) per share for the years ended December 31, 2025, 2024, and 2023: </w:t>
      </w:r>
    </w:p>
    <w:tbl>
      <w:tblPr>
        <w:tblW w:w="10205" w:type="dxa"/>
        <w:jc w:val="left"/>
        <w:tblInd w:w="0" w:type="dxa"/>
        <w:tblLayout w:type="fixed"/>
        <w:tblCellMar>
          <w:top w:w="28" w:type="dxa"/>
          <w:left w:w="28" w:type="dxa"/>
          <w:bottom w:w="28" w:type="dxa"/>
          <w:right w:w="28" w:type="dxa"/>
        </w:tblCellMar>
      </w:tblPr>
      <w:tblGrid>
        <w:gridCol w:w="2208"/>
        <w:gridCol w:w="1886"/>
        <w:gridCol w:w="1897"/>
        <w:gridCol w:w="310"/>
        <w:gridCol w:w="741"/>
        <w:gridCol w:w="143"/>
        <w:gridCol w:w="109"/>
        <w:gridCol w:w="109"/>
        <w:gridCol w:w="109"/>
        <w:gridCol w:w="217"/>
        <w:gridCol w:w="834"/>
        <w:gridCol w:w="109"/>
        <w:gridCol w:w="109"/>
        <w:gridCol w:w="109"/>
        <w:gridCol w:w="109"/>
        <w:gridCol w:w="217"/>
        <w:gridCol w:w="834"/>
        <w:gridCol w:w="155"/>
      </w:tblGrid>
      <w:tr>
        <w:trPr/>
        <w:tc>
          <w:tcPr>
            <w:tcW w:w="2208"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21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5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(148,173)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Alignment Healthcare, Inc.</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(148,017)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weighted-average common shares outstanding - basic and diluted</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198,017,704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191,150,693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188,420,487</w:t>
            </w:r>
          </w:p>
        </w:tc>
      </w:tr>
      <w:tr>
        <w:trPr/>
        <w:tc>
          <w:tcPr>
            <w:tcW w:w="5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Restricted shares of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(11,488)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(357,141)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(2,205,703)</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9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Total weighted-average common shares outstanding, net of restricted shares of common stock - basic and diluted</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198,006,216 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190,793,552 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186,214,784 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9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9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9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9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9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loss per share:</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 basic and diluted</w:t>
            </w:r>
          </w:p>
        </w:tc>
        <w:tc>
          <w:tcPr>
            <w:tcW w:w="3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Basic net loss per share is the same as diluted net loss per share for periods presented as the inclusion of all potentially dilutive shares</w:t>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would have been anti-dilutive.</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addition to the restricted shares of common stock, we also excluded the following potential common shares, presented based on amounts outstanding at each period end, from the computation of diluted net loss per share as of December 31, 2025, 2024, 2023: </w:t>
      </w:r>
    </w:p>
    <w:tbl>
      <w:tblPr>
        <w:tblW w:w="6404" w:type="dxa"/>
        <w:jc w:val="left"/>
        <w:tblInd w:w="0" w:type="dxa"/>
        <w:tblLayout w:type="fixed"/>
        <w:tblCellMar>
          <w:top w:w="28" w:type="dxa"/>
          <w:left w:w="28" w:type="dxa"/>
          <w:bottom w:w="28" w:type="dxa"/>
          <w:right w:w="28" w:type="dxa"/>
        </w:tblCellMar>
      </w:tblPr>
      <w:tblGrid>
        <w:gridCol w:w="669"/>
        <w:gridCol w:w="584"/>
        <w:gridCol w:w="591"/>
        <w:gridCol w:w="480"/>
        <w:gridCol w:w="481"/>
        <w:gridCol w:w="310"/>
        <w:gridCol w:w="109"/>
        <w:gridCol w:w="109"/>
        <w:gridCol w:w="109"/>
        <w:gridCol w:w="480"/>
        <w:gridCol w:w="481"/>
        <w:gridCol w:w="310"/>
        <w:gridCol w:w="109"/>
        <w:gridCol w:w="109"/>
        <w:gridCol w:w="109"/>
        <w:gridCol w:w="480"/>
        <w:gridCol w:w="481"/>
        <w:gridCol w:w="403"/>
      </w:tblGrid>
      <w:tr>
        <w:trPr/>
        <w:tc>
          <w:tcPr>
            <w:tcW w:w="66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560"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7,408,212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8,762,481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9,135,879</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11,042,096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21,419,556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17,774,830</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senior notes</w:t>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25,720,959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25,720,959 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44,171,267 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55,902,996 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26,910,709 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Recently Adopted Accounting Pronouncements</w:t>
      </w:r>
    </w:p>
    <w:p>
      <w:pPr>
        <w:pStyle w:val="TextBody"/>
        <w:bidi w:val="0"/>
        <w:spacing w:lineRule="auto" w:line="268" w:before="200" w:after="283"/>
        <w:jc w:val="left"/>
        <w:rPr>
          <w:rFonts w:ascii="Times New Roman;serif" w:hAnsi="Times New Roman;serif"/>
          <w:b w:val="false"/>
          <w:color w:val="000000"/>
          <w:sz w:val="18"/>
        </w:rPr>
      </w:pPr>
      <w:r>
        <w:rPr>
          <w:rFonts w:ascii="Times New Roman;serif" w:hAnsi="Times New Roman;serif"/>
          <w:b w:val="false"/>
          <w:color w:val="000000"/>
          <w:sz w:val="18"/>
        </w:rPr>
        <w:t>In December 2023, the FASB issued ASU 2023-09 “Income Taxes (Topic 740): Improvements to Income Tax Disclosures”, which requires public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public entities, the new standard is effective for annual periods beginning after December 15, 2024, with early adoption permitted. An entity may apply the amendments in this ASU prospectively by providing the revised disclosures for the period ending December 31, 2025 and</w:t>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continuing to provide the pre-ASU disclosures for the prior periods, or may apply the amendments retrospectively by providing the revised disclosures for all period presented. The Company adopted the requirements of this ASU for the year ended December 31, 2025, and provided the revised disclosures for all previous periods presented within our income taxes disclosure in Note 9 Income Taxes. The adoption only impacted our disclosures with no impact to our results of operations, cash flows or financial condition.</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Recent Accounting Pronouncements Issued</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September 2025, the FASB issued ASU 2025-06 "Intangibles—Goodwill and Other—Internal-Use Software (Subtopic 350-40): Targeted Improvements to the Accounting for Internal-Use Software", which removes the multi-stage model when determining internal-use software development cost capitalization. Under the new ASU, such software costs are capitalized when management has authorized and committed to funding the software project, and if it is probable that the project will be completed and the software will be used to perform the function intended. If a project is still subject to major uncertainty, capitalization is prohibited. ASU 2025-06 is effective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82" name="Frame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79</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annual periods beginning after December 15, 2027 (and interim reporting periods within those annual reporting periods). The Company is currently evaluating the impact of this ASU on its financial statements.</w:t>
      </w:r>
    </w:p>
    <w:p>
      <w:pPr>
        <w:pStyle w:val="TextBody"/>
        <w:bidi w:val="0"/>
        <w:spacing w:lineRule="auto" w:line="276" w:before="240" w:after="283"/>
        <w:jc w:val="both"/>
        <w:rPr>
          <w:rFonts w:ascii="Times New Roman;serif" w:hAnsi="Times New Roman;serif"/>
          <w:b w:val="false"/>
          <w:color w:val="000000"/>
          <w:sz w:val="18"/>
        </w:rPr>
      </w:pPr>
      <w:r>
        <w:rPr>
          <w:rFonts w:ascii="Times New Roman;serif" w:hAnsi="Times New Roman;serif"/>
          <w:b w:val="false"/>
          <w:color w:val="000000"/>
          <w:sz w:val="18"/>
        </w:rPr>
        <w:t>In November 2024, the FASB issued ASU 2024-04 “Debt with Conversion and Other Options”, which improves and clarifies the requirements for determining whether certain settlements of convertible debt instruments should be accounted for as an induced conversion. ASU 2024-04 is effective for annual periods beginning after December 15, 2025 (and interim reporting periods within those annual reporting periods). The Company does not expect the adoption of this guidance to have a material impact on its financial statements.</w:t>
      </w:r>
    </w:p>
    <w:p>
      <w:pPr>
        <w:pStyle w:val="TextBody"/>
        <w:bidi w:val="0"/>
        <w:spacing w:lineRule="auto" w:line="276" w:before="240" w:after="283"/>
        <w:jc w:val="both"/>
        <w:rPr>
          <w:rFonts w:ascii="Times New Roman;serif" w:hAnsi="Times New Roman;serif"/>
          <w:b w:val="false"/>
          <w:color w:val="000000"/>
          <w:sz w:val="18"/>
        </w:rPr>
      </w:pPr>
      <w:r>
        <w:rPr>
          <w:rFonts w:ascii="Times New Roman;serif" w:hAnsi="Times New Roman;serif"/>
          <w:b w:val="false"/>
          <w:color w:val="000000"/>
          <w:sz w:val="18"/>
        </w:rPr>
        <w:t>In November 2024, the FASB issued ASU 2024-03 “Disaggregation of Income Statement Expenses”, which improves income statement presentation and disclosures related to expenses. It requires a public entity to disaggregate key expense categories such as employee compensation, depreciation and intangible asset amortization within its financial statements. ASU 2024-03 is effective for annual periods beginning after December 15, 2026, and interim periods within the Company's fiscal year 2027, with early adoption permitted. The Company is currently evaluating the impact of this ASU on its disclosures of income statement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3. Fair Value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following tables present the carrying value and fair value of these financial instruments as of December 31, 2025 and 2024:</w:t>
      </w:r>
    </w:p>
    <w:tbl>
      <w:tblPr>
        <w:tblW w:w="6164" w:type="dxa"/>
        <w:jc w:val="left"/>
        <w:tblInd w:w="0" w:type="dxa"/>
        <w:tblLayout w:type="fixed"/>
        <w:tblCellMar>
          <w:top w:w="28" w:type="dxa"/>
          <w:left w:w="28" w:type="dxa"/>
          <w:bottom w:w="28" w:type="dxa"/>
          <w:right w:w="28" w:type="dxa"/>
        </w:tblCellMar>
      </w:tblPr>
      <w:tblGrid>
        <w:gridCol w:w="603"/>
        <w:gridCol w:w="529"/>
        <w:gridCol w:w="532"/>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40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500"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Carrying</w:t>
            </w:r>
          </w:p>
          <w:p>
            <w:pPr>
              <w:pStyle w:val="TableContents"/>
              <w:bidi w:val="0"/>
              <w:spacing w:lineRule="auto" w:line="276"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bills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of deposits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64" w:type="dxa"/>
        <w:jc w:val="left"/>
        <w:tblInd w:w="0" w:type="dxa"/>
        <w:tblLayout w:type="fixed"/>
        <w:tblCellMar>
          <w:top w:w="28" w:type="dxa"/>
          <w:left w:w="28" w:type="dxa"/>
          <w:bottom w:w="28" w:type="dxa"/>
          <w:right w:w="28" w:type="dxa"/>
        </w:tblCellMar>
      </w:tblPr>
      <w:tblGrid>
        <w:gridCol w:w="602"/>
        <w:gridCol w:w="530"/>
        <w:gridCol w:w="532"/>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406"/>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500"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Carrying</w:t>
            </w:r>
          </w:p>
          <w:p>
            <w:pPr>
              <w:pStyle w:val="TableContents"/>
              <w:bidi w:val="0"/>
              <w:spacing w:lineRule="auto" w:line="276"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6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bills</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71,120 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71,135 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of deposits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73,441 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71,135 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estimates the fair value of its convertible senior notes based on valuations provided by third-party pricing services. Fair value of the long-term debt as of December 31, 2025 was approximately $514,164. The Company's fair value of long-term debt disclosure is classified within Level 2 of the valuation hierarchy. As of December 31, 2024, the fair value of our long-term debt approximated the carrying value.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carrying value of long-term debt represents the outstanding balance, net of unamortized debt issuance costs, which was $323,176 and $321,428 as of December 31, 2025 and 2024, respectively</w:t>
      </w:r>
    </w:p>
    <w:p>
      <w:pPr>
        <w:pStyle w:val="TextBody"/>
        <w:bidi w:val="0"/>
        <w:spacing w:lineRule="auto" w:line="288" w:before="200" w:after="283"/>
        <w:jc w:val="both"/>
        <w:rPr>
          <w:rFonts w:ascii="Times New Roman;serif" w:hAnsi="Times New Roman;serif"/>
          <w:b w:val="false"/>
          <w:color w:val="000000"/>
          <w:sz w:val="18"/>
        </w:rPr>
      </w:pPr>
      <w:r>
        <w:rPr>
          <w:rFonts w:ascii="Times New Roman;serif" w:hAnsi="Times New Roman;serif"/>
          <w:b w:val="false"/>
          <w:color w:val="000000"/>
          <w:sz w:val="18"/>
        </w:rPr>
        <w:t>Our nonfinancial assets and liabilities, which include goodwill, intangible assets, property, and equipment, are not required to be measured at fair value on a recurring basis. However, on a periodic basis, or whenever events or changes in circumstances indicate that their carrying value may not be recoverable, we assess these assets for impairment. We recorded an impairment charge related to goodwill as of December 31, 2025 and December 31, 2024. No such impairment resulted during the year ended December 31, 2023. Please refer to Note 6 Goodwill and Intangible Assets.</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U.S. Treasury Securities Investments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 of December 31, 2025 and 2024, the Company had $28,413 and $37,791 of investments in U.S. Treasury bills which were classified as held to maturity and carried at amortized cost. These investments are included in short-term investments in the consolidated balance sheets as the original maturities are greater than three months and less than twelve months. The Company has the intent and ability to hold these securities to maturity and gross unrecognized gains and losses were immaterial.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 of December 31, 2024 the Company had $32,296 of investments in U.S. Treasury bills with an original maturity of less than three months. These investments are considered cash equivalents and are included in cash and cash equivalents in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83"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80</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Restricted Investments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Restricted investments are composed of investments in U.S. Treasury bills and certificates of deposits and are included within other assets in the consolidated balance sheets. As of December 31, 2025 and December 31, 2024, the Company had $1,043 and $1,033 of restricted investments in U.S. Treasury bills and $2,345 and $2,321 of restricted investments in certificates of deposits, respectively. The Company has the intent and ability to hold these investments until maturity; therefore, these investments are stated at amortized cost. Restricted investments are required to be maintained at a financial institution within certain states. As of December 31, 2025 and December 31, 2024, these investments had maturities with less than 12 months. Due to the nature of the state's requirements, these assets are classified as noncurrent assets regardless of the contractual maturity date.</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Money Market Funds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 of December 31, 2025 the Company had $216,155 in money market funds, which are recorded at fair value and included in cash and cash equivalents in the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4. Accounts Receivable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consisted of the following as of December 31, 2025 and 2024:</w:t>
      </w:r>
    </w:p>
    <w:tbl>
      <w:tblPr>
        <w:tblW w:w="4674" w:type="dxa"/>
        <w:jc w:val="left"/>
        <w:tblInd w:w="0" w:type="dxa"/>
        <w:tblLayout w:type="fixed"/>
        <w:tblCellMar>
          <w:top w:w="28" w:type="dxa"/>
          <w:left w:w="28" w:type="dxa"/>
          <w:bottom w:w="28" w:type="dxa"/>
          <w:right w:w="28" w:type="dxa"/>
        </w:tblCellMar>
      </w:tblPr>
      <w:tblGrid>
        <w:gridCol w:w="765"/>
        <w:gridCol w:w="672"/>
        <w:gridCol w:w="677"/>
        <w:gridCol w:w="206"/>
        <w:gridCol w:w="774"/>
        <w:gridCol w:w="114"/>
        <w:gridCol w:w="109"/>
        <w:gridCol w:w="109"/>
        <w:gridCol w:w="109"/>
        <w:gridCol w:w="205"/>
        <w:gridCol w:w="773"/>
        <w:gridCol w:w="161"/>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receivables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52,411 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26,338 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Pharmacy rebate receivables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179,196 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111,813 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22,433 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accounts receivable</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254,040 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153,904 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253,207 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153,904 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allowance for expected credit losses for accounts receivable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We record pharmacy rebates and other receivables based on contractual terms and expected collections and our estimation process for contractual allowances for such balances generally results in an allowance for balances outstanding greater than 90 days or if expected credit risks are known.</w:t>
      </w:r>
    </w:p>
    <w:p>
      <w:pPr>
        <w:pStyle w:val="TextBody"/>
        <w:bidi w:val="0"/>
        <w:spacing w:lineRule="auto" w:line="276" w:before="240" w:after="283"/>
        <w:jc w:val="both"/>
        <w:rPr>
          <w:rFonts w:ascii="Times New Roman;serif" w:hAnsi="Times New Roman;serif"/>
          <w:b w:val="false"/>
          <w:color w:val="000000"/>
          <w:sz w:val="18"/>
        </w:rPr>
      </w:pPr>
      <w:r>
        <w:rPr>
          <w:rFonts w:ascii="Times New Roman;serif" w:hAnsi="Times New Roman;serif"/>
          <w:b w:val="false"/>
          <w:color w:val="000000"/>
          <w:sz w:val="18"/>
        </w:rPr>
        <w:t>Receivables and any associated allowance are written off only when all collection attempts have failed and such amounts are determined unrecoverable. We regularly review the adequacy of these allowances based on a variety of factors, including age of the outstanding receivable and collection history. When circumstances related to specific collection patterns change, estimates of the recoverability of receivables are adjusted. Because substantially all of our receivable amounts are readily determinable and a large portion of our creditors are governmental authorities, our allowance for credit losses is insignificant.</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recorded credit losses related to accounts receivable of $833, $123, and $91 during the years ended December 31, 2025, 2024, and 2023, respectively. The amounts were recorded in selling general, and administrative expenses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5. Property and Equipment</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consisted of the following as of December 31, 2025 and 2024:</w:t>
      </w:r>
    </w:p>
    <w:tbl>
      <w:tblPr>
        <w:tblW w:w="4870" w:type="dxa"/>
        <w:jc w:val="left"/>
        <w:tblInd w:w="0" w:type="dxa"/>
        <w:tblLayout w:type="fixed"/>
        <w:tblCellMar>
          <w:top w:w="28" w:type="dxa"/>
          <w:left w:w="28" w:type="dxa"/>
          <w:bottom w:w="28" w:type="dxa"/>
          <w:right w:w="28" w:type="dxa"/>
        </w:tblCellMar>
      </w:tblPr>
      <w:tblGrid>
        <w:gridCol w:w="835"/>
        <w:gridCol w:w="736"/>
        <w:gridCol w:w="738"/>
        <w:gridCol w:w="225"/>
        <w:gridCol w:w="744"/>
        <w:gridCol w:w="125"/>
        <w:gridCol w:w="109"/>
        <w:gridCol w:w="109"/>
        <w:gridCol w:w="109"/>
        <w:gridCol w:w="224"/>
        <w:gridCol w:w="740"/>
        <w:gridCol w:w="176"/>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and equipment</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13,815 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12,569 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Office equipment and furniture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Software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218,023 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179,336 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243,383 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216,526 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(179,132)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(149,387)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equipment-net</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64,251 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67,139 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84"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81</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 for the year ended December 31, 2025 was $29,848 of which $78 was included in medical expenses. Depreciation expense for the years ended December 31, 2024 and 2023 was $26,360 and $21,442, respectively, of which $190 and $254, respectively, was included in medical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6. Goodwill and Intangible Assets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consisted of the following as of December 31, 2025 and 2024:</w:t>
      </w:r>
    </w:p>
    <w:tbl>
      <w:tblPr>
        <w:tblW w:w="10189" w:type="dxa"/>
        <w:jc w:val="left"/>
        <w:tblInd w:w="0" w:type="dxa"/>
        <w:tblLayout w:type="fixed"/>
        <w:tblCellMar>
          <w:top w:w="28" w:type="dxa"/>
          <w:left w:w="28" w:type="dxa"/>
          <w:bottom w:w="28" w:type="dxa"/>
          <w:right w:w="28" w:type="dxa"/>
        </w:tblCellMar>
      </w:tblPr>
      <w:tblGrid>
        <w:gridCol w:w="721"/>
        <w:gridCol w:w="633"/>
        <w:gridCol w:w="640"/>
        <w:gridCol w:w="352"/>
        <w:gridCol w:w="1162"/>
        <w:gridCol w:w="196"/>
        <w:gridCol w:w="109"/>
        <w:gridCol w:w="109"/>
        <w:gridCol w:w="109"/>
        <w:gridCol w:w="475"/>
        <w:gridCol w:w="1387"/>
        <w:gridCol w:w="268"/>
        <w:gridCol w:w="109"/>
        <w:gridCol w:w="109"/>
        <w:gridCol w:w="109"/>
        <w:gridCol w:w="318"/>
        <w:gridCol w:w="1050"/>
        <w:gridCol w:w="177"/>
        <w:gridCol w:w="109"/>
        <w:gridCol w:w="109"/>
        <w:gridCol w:w="109"/>
        <w:gridCol w:w="535"/>
        <w:gridCol w:w="535"/>
        <w:gridCol w:w="759"/>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5" w:type="dxa"/>
            <w:gridSpan w:val="21"/>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Accumulated Amortization</w:t>
            </w:r>
            <w:r>
              <w:rPr>
                <w:color w:val="000000"/>
                <w:shd w:fill="FFFFFF" w:val="clear"/>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 Average Life</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32,060 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License (indefinite lived)</w:t>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Plan member relationships</w:t>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(2,700)</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9 years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2 - 10 years</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39,943 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(3,333)</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36,610 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89" w:type="dxa"/>
        <w:jc w:val="left"/>
        <w:tblInd w:w="0" w:type="dxa"/>
        <w:tblLayout w:type="fixed"/>
        <w:tblCellMar>
          <w:top w:w="28" w:type="dxa"/>
          <w:left w:w="28" w:type="dxa"/>
          <w:bottom w:w="28" w:type="dxa"/>
          <w:right w:w="28" w:type="dxa"/>
        </w:tblCellMar>
      </w:tblPr>
      <w:tblGrid>
        <w:gridCol w:w="721"/>
        <w:gridCol w:w="633"/>
        <w:gridCol w:w="640"/>
        <w:gridCol w:w="352"/>
        <w:gridCol w:w="1162"/>
        <w:gridCol w:w="196"/>
        <w:gridCol w:w="109"/>
        <w:gridCol w:w="109"/>
        <w:gridCol w:w="109"/>
        <w:gridCol w:w="475"/>
        <w:gridCol w:w="1387"/>
        <w:gridCol w:w="268"/>
        <w:gridCol w:w="109"/>
        <w:gridCol w:w="109"/>
        <w:gridCol w:w="109"/>
        <w:gridCol w:w="318"/>
        <w:gridCol w:w="1050"/>
        <w:gridCol w:w="177"/>
        <w:gridCol w:w="109"/>
        <w:gridCol w:w="109"/>
        <w:gridCol w:w="109"/>
        <w:gridCol w:w="535"/>
        <w:gridCol w:w="535"/>
        <w:gridCol w:w="759"/>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195" w:type="dxa"/>
            <w:gridSpan w:val="21"/>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Accumulated Amortization</w:t>
            </w:r>
            <w:r>
              <w:rPr>
                <w:color w:val="000000"/>
                <w:shd w:fill="FFFFFF" w:val="clear"/>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 Average Life</w:t>
            </w:r>
          </w:p>
        </w:tc>
      </w:tr>
      <w:tr>
        <w:trPr/>
        <w:tc>
          <w:tcPr>
            <w:tcW w:w="19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5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34,826 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34,826 </w:t>
            </w:r>
          </w:p>
        </w:tc>
        <w:tc>
          <w:tcPr>
            <w:tcW w:w="17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License (indefinite lived)</w:t>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19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Plan member relationships</w:t>
            </w:r>
          </w:p>
        </w:tc>
        <w:tc>
          <w:tcPr>
            <w:tcW w:w="151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2,700 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(2,700)</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9 years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2- 10 years</w:t>
            </w:r>
          </w:p>
        </w:tc>
      </w:tr>
      <w:tr>
        <w:trPr/>
        <w:tc>
          <w:tcPr>
            <w:tcW w:w="19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5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42,709 </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(3,333)</w:t>
            </w:r>
          </w:p>
        </w:tc>
        <w:tc>
          <w:tcPr>
            <w:tcW w:w="26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39,376 </w:t>
            </w:r>
          </w:p>
        </w:tc>
        <w:tc>
          <w:tcPr>
            <w:tcW w:w="17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relating to intangible assets for the years ended December 31, 2025, 2024, and 2023, was $634, $702, and $226, respectively. Included within the amortization balance for the years ended December 31, 2025 was $634 in impairment charges related to intangible assets that were written off related to an inactive Medicare license that was terminated during the period.</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During the year ended December 31, 2025, the Company derecognized goodwill of $2,132 related to the sale of a subsidiary.</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There were $645 impairment charges related to goodwill and intangible assets for the year ended December 31, 2024 and no impairment charges related to goodwill and intangible assets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7. Medical Expenses Payable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following table is a detail of medical expenses payable as of December 31, 2025 and 2024:</w:t>
      </w:r>
    </w:p>
    <w:tbl>
      <w:tblPr>
        <w:tblW w:w="5185" w:type="dxa"/>
        <w:jc w:val="left"/>
        <w:tblInd w:w="0" w:type="dxa"/>
        <w:tblLayout w:type="fixed"/>
        <w:tblCellMar>
          <w:top w:w="28" w:type="dxa"/>
          <w:left w:w="28" w:type="dxa"/>
          <w:bottom w:w="28" w:type="dxa"/>
          <w:right w:w="28" w:type="dxa"/>
        </w:tblCellMar>
      </w:tblPr>
      <w:tblGrid>
        <w:gridCol w:w="948"/>
        <w:gridCol w:w="837"/>
        <w:gridCol w:w="840"/>
        <w:gridCol w:w="206"/>
        <w:gridCol w:w="774"/>
        <w:gridCol w:w="114"/>
        <w:gridCol w:w="109"/>
        <w:gridCol w:w="109"/>
        <w:gridCol w:w="109"/>
        <w:gridCol w:w="205"/>
        <w:gridCol w:w="773"/>
        <w:gridCol w:w="161"/>
      </w:tblGrid>
      <w:tr>
        <w:trPr/>
        <w:tc>
          <w:tcPr>
            <w:tcW w:w="94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Claims incurred but not paid</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297,368 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168,357 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Capitation and risk-sharing payable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85,083 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52,016 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92,118 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69,415 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Medical expenses payable</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474,569 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289,788 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18"/>
        </w:rPr>
        <w:t>Each period, we re-examine previously established outstanding claims reserve estimates based on actual claims submissions and other changes in facts and circumstances. As more complete claim information becomes available, we adjust the amount of the estimates and include the changes in estimates in claim costs in the period in which the change is identified. Substantially, all of the total claims paid by us are known and settled within the first year from the date of service, and substantially, all remaining claim amounts are paid within a</w:t>
      </w:r>
      <w:r>
        <w:rPr>
          <w:color w:val="000000"/>
        </w:rPr>
        <w:t xml:space="preserve"> </w:t>
      </w:r>
      <w:r>
        <w:rPr>
          <w:rFonts w:ascii="Times New Roman;serif" w:hAnsi="Times New Roman;serif"/>
          <w:b w:val="false"/>
          <w:color w:val="000000"/>
          <w:sz w:val="18"/>
        </w:rPr>
        <w:t>three-year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85" name="Frame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82</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components of the change in medical expenses payable as of December 31, 2025, 2024, and 2023 :</w:t>
      </w:r>
    </w:p>
    <w:tbl>
      <w:tblPr>
        <w:tblW w:w="7685" w:type="dxa"/>
        <w:jc w:val="left"/>
        <w:tblInd w:w="0" w:type="dxa"/>
        <w:tblLayout w:type="fixed"/>
        <w:tblCellMar>
          <w:top w:w="28" w:type="dxa"/>
          <w:left w:w="28" w:type="dxa"/>
          <w:bottom w:w="28" w:type="dxa"/>
          <w:right w:w="28" w:type="dxa"/>
        </w:tblCellMar>
      </w:tblPr>
      <w:tblGrid>
        <w:gridCol w:w="1341"/>
        <w:gridCol w:w="1177"/>
        <w:gridCol w:w="1186"/>
        <w:gridCol w:w="206"/>
        <w:gridCol w:w="774"/>
        <w:gridCol w:w="114"/>
        <w:gridCol w:w="109"/>
        <w:gridCol w:w="109"/>
        <w:gridCol w:w="109"/>
        <w:gridCol w:w="206"/>
        <w:gridCol w:w="774"/>
        <w:gridCol w:w="114"/>
        <w:gridCol w:w="109"/>
        <w:gridCol w:w="109"/>
        <w:gridCol w:w="109"/>
        <w:gridCol w:w="205"/>
        <w:gridCol w:w="773"/>
        <w:gridCol w:w="161"/>
      </w:tblGrid>
      <w:tr>
        <w:trPr/>
        <w:tc>
          <w:tcPr>
            <w:tcW w:w="134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2023</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Claims incurred but not paid - beginning balance</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168,357 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95,664 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88,813 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Incurred related to:</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year</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1,136,448 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832,819 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492,315 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Prior years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(25,389)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(9,245)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(14,555)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incurred, net of reinsurance</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1,111,059 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823,574 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477,760 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related to:</w:t>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year</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848,206 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670,471 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400,465 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Prior years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133,842 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80,410 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70,444 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payments, net of reinsurance</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982,048 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750,881 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470,909 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Claims incurred but not paid - ending balance</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297,368 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168,357 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95,664 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Capitation payable, risk-sharing payable, and other</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177,201 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121,431 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109,735 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medical expenses payable</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474,569 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289,788 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205,399 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re-examine previously established outstanding claims reserve estimates based on actual claims submissions and other changes in facts and circumstances. We recognized a favorable prior year development, excluding provision for adverse deviation, of $20,243, $7,052, and $10,996 for the years ended December 31, 2025, 2024, and 2023, respectively. The favorable prior year development incurred in 2025, 2024 and 2023 was primarily due to better-than-expected claims recoveries and actual claims expense being less than expected.</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following tables provide information about incurred and paid claims development as of December 31, 2025:</w:t>
      </w:r>
    </w:p>
    <w:tbl>
      <w:tblPr>
        <w:tblW w:w="8419" w:type="dxa"/>
        <w:jc w:val="left"/>
        <w:tblInd w:w="0" w:type="dxa"/>
        <w:tblLayout w:type="fixed"/>
        <w:tblCellMar>
          <w:top w:w="28" w:type="dxa"/>
          <w:left w:w="28" w:type="dxa"/>
          <w:bottom w:w="28" w:type="dxa"/>
          <w:right w:w="28" w:type="dxa"/>
        </w:tblCellMar>
      </w:tblPr>
      <w:tblGrid>
        <w:gridCol w:w="658"/>
        <w:gridCol w:w="577"/>
        <w:gridCol w:w="579"/>
        <w:gridCol w:w="380"/>
        <w:gridCol w:w="1430"/>
        <w:gridCol w:w="211"/>
        <w:gridCol w:w="211"/>
        <w:gridCol w:w="211"/>
        <w:gridCol w:w="211"/>
        <w:gridCol w:w="435"/>
        <w:gridCol w:w="301"/>
        <w:gridCol w:w="211"/>
        <w:gridCol w:w="211"/>
        <w:gridCol w:w="211"/>
        <w:gridCol w:w="211"/>
        <w:gridCol w:w="380"/>
        <w:gridCol w:w="1692"/>
        <w:gridCol w:w="299"/>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Cumulative Incurred Claims, Net of Reinsurance For the Years Ended December 31, </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6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6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Claims Incurred Year</w:t>
            </w:r>
          </w:p>
        </w:tc>
        <w:tc>
          <w:tcPr>
            <w:tcW w:w="6605" w:type="dxa"/>
            <w:gridSpan w:val="15"/>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3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492,315 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482,279 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480,412 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2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832,819 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809,297 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1,136,448 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2,426,157 </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51"/>
        <w:gridCol w:w="571"/>
        <w:gridCol w:w="573"/>
        <w:gridCol w:w="361"/>
        <w:gridCol w:w="1358"/>
        <w:gridCol w:w="201"/>
        <w:gridCol w:w="201"/>
        <w:gridCol w:w="201"/>
        <w:gridCol w:w="201"/>
        <w:gridCol w:w="418"/>
        <w:gridCol w:w="318"/>
        <w:gridCol w:w="201"/>
        <w:gridCol w:w="201"/>
        <w:gridCol w:w="201"/>
        <w:gridCol w:w="201"/>
        <w:gridCol w:w="361"/>
        <w:gridCol w:w="1608"/>
        <w:gridCol w:w="201"/>
        <w:gridCol w:w="109"/>
        <w:gridCol w:w="109"/>
        <w:gridCol w:w="109"/>
        <w:gridCol w:w="539"/>
        <w:gridCol w:w="539"/>
        <w:gridCol w:w="772"/>
      </w:tblGrid>
      <w:tr>
        <w:trPr/>
        <w:tc>
          <w:tcPr>
            <w:tcW w:w="65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233"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Cumulative Claims Paid, Net of Reinsurance For the Years Ended December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Cumulative Number of </w:t>
            </w:r>
          </w:p>
          <w:p>
            <w:pPr>
              <w:pStyle w:val="TableContents"/>
              <w:bidi w:val="0"/>
              <w:spacing w:lineRule="auto" w:line="276" w:before="0" w:after="0"/>
              <w:jc w:val="center"/>
              <w:rPr/>
            </w:pPr>
            <w:r>
              <w:rPr>
                <w:rFonts w:ascii="Times New Roman;serif" w:hAnsi="Times New Roman;serif"/>
                <w:b/>
                <w:color w:val="000000"/>
                <w:sz w:val="16"/>
                <w:shd w:fill="FFFFFF" w:val="clear"/>
              </w:rPr>
              <w:t>Paid Claims</w:t>
            </w:r>
            <w:r>
              <w:rPr>
                <w:rFonts w:ascii="Times New Roman;serif" w:hAnsi="Times New Roman;serif"/>
                <w:b/>
                <w:color w:val="000000"/>
                <w:sz w:val="10"/>
                <w:shd w:fill="FFFFFF" w:val="clear"/>
              </w:rPr>
              <w:t>(1)</w:t>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6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6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Claims Incurred Year</w:t>
            </w:r>
          </w:p>
        </w:tc>
        <w:tc>
          <w:tcPr>
            <w:tcW w:w="6233" w:type="dxa"/>
            <w:gridSpan w:val="15"/>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3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400,465 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479,148 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478,999 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540,426</w:t>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670,471 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804,462 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1,036,274</w:t>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848,206 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1,268,147</w:t>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2,131,667 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4"/>
        </w:rPr>
      </w:pPr>
      <w:r>
        <w:rPr>
          <w:rFonts w:ascii="Times New Roman;serif" w:hAnsi="Times New Roman;serif"/>
          <w:b w:val="false"/>
          <w:color w:val="000000"/>
          <w:sz w:val="14"/>
        </w:rPr>
        <w:t>(1) Cumulative number of paid claims are presented in whole amounts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Substantially all of the claims incurred but not paid as of December 31, 2025 relate to the current year.</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There is no single or common claim frequency metric used in the health care industry. We believe a relevant metric for our health insurance business is the cumulative number of claims paid for each incurred year. Claims that did not result in a liability are not included in the frequency metric.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86" name="Frame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83</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8. Long-Term Debt</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Long-term debt is recorded at carrying value in the consolidated balance sheets. The carrying value of long-term debt outstanding, net of unamortized debt issuance costs, consisted of the following as of December 31, 2025 and 2024:</w:t>
      </w:r>
    </w:p>
    <w:tbl>
      <w:tblPr>
        <w:tblW w:w="5425" w:type="dxa"/>
        <w:jc w:val="left"/>
        <w:tblInd w:w="0" w:type="dxa"/>
        <w:tblLayout w:type="fixed"/>
        <w:tblCellMar>
          <w:top w:w="28" w:type="dxa"/>
          <w:left w:w="28" w:type="dxa"/>
          <w:bottom w:w="28" w:type="dxa"/>
          <w:right w:w="28" w:type="dxa"/>
        </w:tblCellMar>
      </w:tblPr>
      <w:tblGrid>
        <w:gridCol w:w="1037"/>
        <w:gridCol w:w="910"/>
        <w:gridCol w:w="918"/>
        <w:gridCol w:w="206"/>
        <w:gridCol w:w="774"/>
        <w:gridCol w:w="114"/>
        <w:gridCol w:w="109"/>
        <w:gridCol w:w="109"/>
        <w:gridCol w:w="109"/>
        <w:gridCol w:w="205"/>
        <w:gridCol w:w="773"/>
        <w:gridCol w:w="161"/>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8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2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330,000 </w:t>
            </w:r>
          </w:p>
        </w:tc>
        <w:tc>
          <w:tcPr>
            <w:tcW w:w="1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330,000 </w:t>
            </w:r>
          </w:p>
        </w:tc>
        <w:tc>
          <w:tcPr>
            <w:tcW w:w="16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(8,572)</w:t>
            </w:r>
          </w:p>
        </w:tc>
      </w:tr>
      <w:tr>
        <w:trPr/>
        <w:tc>
          <w:tcPr>
            <w:tcW w:w="28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debt-net of amortization</w:t>
            </w:r>
          </w:p>
        </w:tc>
        <w:tc>
          <w:tcPr>
            <w:tcW w:w="109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323,176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321,428</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long-term debt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28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 net of current portion</w:t>
            </w:r>
          </w:p>
        </w:tc>
        <w:tc>
          <w:tcPr>
            <w:tcW w:w="2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323,176 </w:t>
            </w:r>
          </w:p>
        </w:tc>
        <w:tc>
          <w:tcPr>
            <w:tcW w:w="11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321,428 </w:t>
            </w:r>
          </w:p>
        </w:tc>
        <w:tc>
          <w:tcPr>
            <w:tcW w:w="16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Oxford Term Loan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On September 2, 2022 (the “Effective Date”), Alignment Healthcare USA, LLC, an indirect subsidiary of the Company (the “Borrower”) and certain of our other subsidiaries entered into a term loan agreement (the “Oxford Loan Agreement”) with Oxford Finance LLC, as administrative agent, collateral agent and a lender, and the other lenders from time to time party thereto (collectively, the “Lenders”), pursuant to which the Lenders have agreed to lend the Borrower an aggregate principal amount of up to $250,000 in a series of term loans (the “Term Loans”). Pursuant to the Oxford Loan Agreement, we received an initial Term Loan of $165,000 on the Effective Date and had the option to borrow up to an additional $85,000 of Term Loans. On June 14, 2024, we borrowed $50,000 in aggregate principal amount of the Delayed Draw Term Loans prior to the expiration date for such amount of the Delayed Draw Term Loans of June 30, 2024. Interest on the Term Loans was a variable rate equal to (i) the secured overnight financing rate (“SOFR”) administered by the Federal Reserve Bank of New York for a one-month tenor, subject to a floor of 1.00%, plus (ii) an applicable margin of 6.50%.</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In connection with the issuance of the convertible senior notes, as noted below, we repaid all amounts outstanding under the terms loans with Oxford Finance on November 22, 2024.</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Convertible Senior Notes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On November 22, 2024, the Company completed the sale of $330,000 of our 4.25% Convertible Senior Notes (the "Notes"). The Notes were issued pursuant to an indenture (the "Indenture"), dated as of November 22, 2024, between the Company and U.S. Bank Trust Company, National Association, as trustee (the "Trustee"). The Notes are senior, unsecured obligations of the Company, and interest will be payable semi-annually in arrears at a rate of 4.25% per annum beginning on May 15, 2025. The Notes will mature on November 15, 2029, unless earlier repurchased, redeemed or converted in accordance with their terms. The net cash proceeds from the sale of the Notes was approximately $321,100, after subtracting fees, discounts and estimated expenses in connection with the transaction.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Prior to the close of business on the business day immediately preceding August 15, 2029, the Notes will be convertible at the option of holders during certain periods, upon satisfaction of certain conditions. On or after August 15, 2029, the Notes will be convertible at any time until the close of business on the second scheduled trading day immediately preceding the maturity date. Upon conversion, the Notes may be settled in shares of Company common stock, cash or a combination of cash and shares of Company common stock, at the Company's election.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Notes have an initial conversion rate of approximately 62.4 shares of Company common stock per $1 principal amount of the Notes. The conversion rate will be subject to adjustment in certain events, including adjustment in the event of certain significant corporate transactions. This represents an initial conversion price of approximately $16.04 per share. The initial conversion price of the Notes represents a premium of approximately 25% to the closing price of the Company's common stock on November 14, 2024. The Company has used the proceeds from the sale of the Notes to repay in full the $215,000 aggregate principal amount, accrued interest and fees related to the Oxford term loans, as well as certain fees and expenses incurred in connection with the transaction.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Indenture contains customary terms and covenants, including that upon certain events of default occurring and continuing, either the Trustee or the holders of at least 25% in principal amount of the outstanding notes may declare 100% of the principal of, and accrued and unpaid special interest, if any, on, all the notes to be due and payable.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Company has recognized the Notes in their entirety as a liability on the consolidated balance sheet and no portion of the proceeds from the issuance of the convertible debt instrument was accounted for separately as an embedded conversion feature within stockholders’ equity.</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Revolving Credit Facility</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Subsequent to the balance sheet date, on February 26, 2026, (the “Effective Date”), the Company, Alignment Healthcare USA, LLC, an indirect wholly owned subsidiary of the Company (the “Borrower”) and certain other subsidiaries of the Company (together with the Company and the Borrower, the “Borrower Parties”) entered into a Credit Agreement with Citibank, N.A., as administrative agent, and the lenders party thereto (the “Credit Agreement”). The Credit Agreement matures on February 26, 2029, and provides for a $200,000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87" name="Frame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84</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senior secured revolving credit facility (the “Credit Facility”), with sublimits of up to $20,000 for the issuance of letters of credit and $5,000 for swingline loans. Subject to meeting certain customary conditions, the Borrower may increase the commitments under the Credit Facility or establish one or more new term loan facilities by up to an amount equal to the greater of $50,000 or 100% of the Borrower Parties’ Consolidated EBITDA (as defined in the Credit Agreement) for the most recently completed four fiscal quarters of the Borrower Parties for which financial statements have been delivered.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Borrowings under the Credit Facility may be used for permitted acquisitions, working capital, the payment of fees, costs and expenses incurred in connection with the Credit Agreement and other general corporate purposes. The Borrower did not borrow any amounts under the Credit Facility as of the Effective Date.</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Loans under the Credit Facility will bear interest at a floating rate, which can be either, at the Borrower’s option, (a) Term SOFR (as defined in the Credit Agreement) plus an applicable margin that ranges from 2.00% to 2.5% per annum with respect to Term SOFR loans or (b) a Base Rate (as defined in the Credit Agreement) plus an applicable margin that ranges from 1.0% to 1.5% per annum with respect to Base Rate loans , based on the Borrower Parties’ consolidated senior secured leverage ratio, as calculated in accordance with the Credit Agreement. The Borrower is also required to pay certain fees in connection with the Credit Agreement, including commitment fees on a quarterly basis in respect of the unutilized portion of the commitments under the Credit Agreement and certain fees to each of the lenders upon the effectiveness of the Credit Agreement. The Borrower may voluntarily repay outstanding borrowings under the Credit Facility at any time, without premium or penalty.</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Credit Agreement includes financial covenants that require the Borrower Parties to maintain, as of the last day of each fiscal quarter (commencing with the fiscal quarter ending June 30, 2026), (i) a ratio of senior secured indebtedness that is not subordinated in right of payment to the obligations under the Credit Agreement to Consolidated EBITDA (as defined in the Credit Agreement) for the period of four consecutive fiscal quarters ended on such date, of not more than 2.5 to 1.0 and (ii) Consolidated EBITDA for the period of four consecutive fiscal quarters ended on such date, of amounts specified in the Credit Agreement starting from $60,000 as of June 30, 2026, increasing to $70,000 as of June 30, 2027, and $80,000 as of June 30, 2028 and each fiscal quarter thereafter.</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Borrower’s obligations under the Credit Agreement are guaranteed by the Company and certain subsidiaries of the Company and secured by substantially all of the assets of the Borrower, the Company and such subsidiaries of the Company, subject to customary exceptions. None of the Company’s health plan subsidiaries or other regulated entities are guarantors under the Credit Agreement and the equity in such subsidiaries was not pledged. The Credit Agreement contains customary representations and warranties, as well as affirmative and negative covenants. Negative covenants include, among others, customary covenants that restrict the ability of the Company and its subsidiaries, without the approval of requisite lenders, to engage in certain fundamental transactions, incur debt and liens, enter into transactions with affiliates and make certain restricted payments and restricted investments, in each case, as set forth in the Credit Agreement and subject to certain thresholds and exceptions. The Credit Agreement also contains other customary covenants and events of default for secured credit facilities of this type. Upon an event of default that is not cured or waived within any applicable cure periods, in addition to other remedies that may be available to the lenders, the obligations under the Credit Agreement may be accelerated.</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Future maturities under the term loan as of December 31, 2025 are as follows:</w:t>
      </w:r>
    </w:p>
    <w:tbl>
      <w:tblPr>
        <w:tblW w:w="3321" w:type="dxa"/>
        <w:jc w:val="left"/>
        <w:tblInd w:w="0" w:type="dxa"/>
        <w:tblLayout w:type="fixed"/>
        <w:tblCellMar>
          <w:top w:w="28" w:type="dxa"/>
          <w:left w:w="28" w:type="dxa"/>
          <w:bottom w:w="28" w:type="dxa"/>
          <w:right w:w="28" w:type="dxa"/>
        </w:tblCellMar>
      </w:tblPr>
      <w:tblGrid>
        <w:gridCol w:w="808"/>
        <w:gridCol w:w="712"/>
        <w:gridCol w:w="715"/>
        <w:gridCol w:w="196"/>
        <w:gridCol w:w="736"/>
        <w:gridCol w:w="154"/>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 xml:space="preserve">Period Ending December 31,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330,000 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445"/>
                <wp:effectExtent l="0" t="0" r="0" b="0"/>
                <wp:wrapNone/>
                <wp:docPr id="88" name="Frame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85</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9. Income Taxes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reconciliation of income tax expense recorded in the consolidated statement of operations and amounts computed at the statutory federal income tax rate for the years ended December 31, 2025, 2024 and 2023, were as follows:</w:t>
      </w:r>
    </w:p>
    <w:tbl>
      <w:tblPr>
        <w:tblW w:w="10205" w:type="dxa"/>
        <w:jc w:val="left"/>
        <w:tblInd w:w="0" w:type="dxa"/>
        <w:tblLayout w:type="fixed"/>
        <w:tblCellMar>
          <w:top w:w="28" w:type="dxa"/>
          <w:left w:w="28" w:type="dxa"/>
          <w:bottom w:w="28" w:type="dxa"/>
          <w:right w:w="28" w:type="dxa"/>
        </w:tblCellMar>
      </w:tblPr>
      <w:tblGrid>
        <w:gridCol w:w="1143"/>
        <w:gridCol w:w="826"/>
        <w:gridCol w:w="833"/>
        <w:gridCol w:w="196"/>
        <w:gridCol w:w="466"/>
        <w:gridCol w:w="109"/>
        <w:gridCol w:w="109"/>
        <w:gridCol w:w="109"/>
        <w:gridCol w:w="109"/>
        <w:gridCol w:w="298"/>
        <w:gridCol w:w="302"/>
        <w:gridCol w:w="439"/>
        <w:gridCol w:w="109"/>
        <w:gridCol w:w="109"/>
        <w:gridCol w:w="109"/>
        <w:gridCol w:w="196"/>
        <w:gridCol w:w="691"/>
        <w:gridCol w:w="109"/>
        <w:gridCol w:w="109"/>
        <w:gridCol w:w="109"/>
        <w:gridCol w:w="109"/>
        <w:gridCol w:w="254"/>
        <w:gridCol w:w="256"/>
        <w:gridCol w:w="439"/>
        <w:gridCol w:w="109"/>
        <w:gridCol w:w="109"/>
        <w:gridCol w:w="109"/>
        <w:gridCol w:w="196"/>
        <w:gridCol w:w="691"/>
        <w:gridCol w:w="109"/>
        <w:gridCol w:w="109"/>
        <w:gridCol w:w="109"/>
        <w:gridCol w:w="109"/>
        <w:gridCol w:w="254"/>
        <w:gridCol w:w="256"/>
        <w:gridCol w:w="507"/>
      </w:tblGrid>
      <w:tr>
        <w:trPr/>
        <w:tc>
          <w:tcPr>
            <w:tcW w:w="114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1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2023</w:t>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Amount</w:t>
            </w:r>
            <w:r>
              <w:rPr>
                <w:color w:val="000000"/>
                <w:shd w:fill="FFFFFF" w:val="clear"/>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5"/>
                <w:shd w:fill="FFFFFF" w:val="clear"/>
              </w:rPr>
              <w:t>Percentage</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Amount</w:t>
            </w:r>
            <w:r>
              <w:rPr>
                <w:color w:val="000000"/>
                <w:shd w:fill="FFFFFF" w:val="clear"/>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5"/>
                <w:shd w:fill="FFFFFF" w:val="clear"/>
              </w:rPr>
              <w:t>Percentage</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Amount</w:t>
            </w:r>
            <w:r>
              <w:rPr>
                <w:color w:val="000000"/>
                <w:shd w:fill="FFFFFF" w:val="clear"/>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5"/>
                <w:shd w:fill="FFFFFF" w:val="clear"/>
              </w:rPr>
              <w:t>Percentage</w:t>
            </w:r>
            <w:r>
              <w:rPr>
                <w:color w:val="000000"/>
                <w:shd w:fill="FFFFFF" w:val="clear"/>
              </w:rPr>
              <w:t xml:space="preserve"> </w:t>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tax at statutory federal rate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(26,891)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 income taxes, net of federal income tax effect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Enactment of new tax laws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cross-border tax laws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(53.9)</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Items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executive compensation</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(679.8)</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entertainment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Worldwide changes in unrecognized tax benefits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Federal deferred tax adjustments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202.4 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Federal tax return true-up</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(86.0)</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Effects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In each year, California comprised the majority of the state and local income taxes, net of federal effect.</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cash paid for income taxes (net of refunds) during the year was as follows:</w:t>
      </w:r>
    </w:p>
    <w:tbl>
      <w:tblPr>
        <w:tblW w:w="6712" w:type="dxa"/>
        <w:jc w:val="left"/>
        <w:tblInd w:w="0" w:type="dxa"/>
        <w:tblLayout w:type="fixed"/>
        <w:tblCellMar>
          <w:top w:w="28" w:type="dxa"/>
          <w:left w:w="28" w:type="dxa"/>
          <w:bottom w:w="28" w:type="dxa"/>
          <w:right w:w="28" w:type="dxa"/>
        </w:tblCellMar>
      </w:tblPr>
      <w:tblGrid>
        <w:gridCol w:w="671"/>
        <w:gridCol w:w="420"/>
        <w:gridCol w:w="424"/>
        <w:gridCol w:w="412"/>
        <w:gridCol w:w="855"/>
        <w:gridCol w:w="232"/>
        <w:gridCol w:w="109"/>
        <w:gridCol w:w="109"/>
        <w:gridCol w:w="109"/>
        <w:gridCol w:w="412"/>
        <w:gridCol w:w="855"/>
        <w:gridCol w:w="232"/>
        <w:gridCol w:w="109"/>
        <w:gridCol w:w="109"/>
        <w:gridCol w:w="109"/>
        <w:gridCol w:w="392"/>
        <w:gridCol w:w="843"/>
        <w:gridCol w:w="310"/>
      </w:tblGrid>
      <w:tr>
        <w:trPr/>
        <w:tc>
          <w:tcPr>
            <w:tcW w:w="67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California</w:t>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Colorado</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Massachusetts</w:t>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New Jersey</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state and local</w:t>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1445"/>
                <wp:effectExtent l="0" t="0" r="0" b="0"/>
                <wp:wrapNone/>
                <wp:docPr id="89" name="Frame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86</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components of deferred income taxes as of December 31, 2025 and 2024, were as follows:</w:t>
      </w:r>
    </w:p>
    <w:tbl>
      <w:tblPr>
        <w:tblW w:w="6204" w:type="dxa"/>
        <w:jc w:val="left"/>
        <w:tblInd w:w="0" w:type="dxa"/>
        <w:tblLayout w:type="fixed"/>
        <w:tblCellMar>
          <w:top w:w="28" w:type="dxa"/>
          <w:left w:w="28" w:type="dxa"/>
          <w:bottom w:w="28" w:type="dxa"/>
          <w:right w:w="28" w:type="dxa"/>
        </w:tblCellMar>
      </w:tblPr>
      <w:tblGrid>
        <w:gridCol w:w="1321"/>
        <w:gridCol w:w="1159"/>
        <w:gridCol w:w="1164"/>
        <w:gridCol w:w="206"/>
        <w:gridCol w:w="774"/>
        <w:gridCol w:w="114"/>
        <w:gridCol w:w="109"/>
        <w:gridCol w:w="109"/>
        <w:gridCol w:w="109"/>
        <w:gridCol w:w="205"/>
        <w:gridCol w:w="773"/>
        <w:gridCol w:w="161"/>
      </w:tblGrid>
      <w:tr>
        <w:trPr/>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Federal and state net operating loss carryforwards</w:t>
            </w:r>
          </w:p>
        </w:tc>
        <w:tc>
          <w:tcPr>
            <w:tcW w:w="20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178,835 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169,044 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benefits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deduction limitation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R&amp;D credits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ROU lease liabilities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48,053 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48,416 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assets</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248,973 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243,175 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(6,127)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liabilities</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(9,610)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(3,754)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(239,363)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(239,421)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taxes</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allowances are provided when it is considered more likely than not that deferred tax assets will not be realized. The valuation allowances primarily relate to future tax benefits on certain federal and state net operating loss (“NOL”) carryforwards. For the years ended December 31, 2025 and 2024, federal NOL carryforwards were $617,001 and $565,838, respectively. For the years ended December 31, 2025 and 2024, state NOL carryforwards were $531,012 and $543,513, respectively, and $95,332 of the total federal net operating loss carryforwards have an indefinite life while the remaining federal and state net operating loss carryforwards begin to expire in 2033 if not utilized.</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Of the total NOL carryforwards, approximately $19,031 of federal and $13,221 of California NOL carryforwards relate to Alignment Health Plan, Inc. for which the utilization of the federal NOL carryforward is subject to a federal Section 382 limitation of $870 per year, and the utilization of the California NOL carryforwards is subject to a similar California annual limitation. In June 2024, California’s Governor signed into law Assembly Bill (“AB”) 167 suspending California NOL utilization for taxpayers with more than $1 million of taxable income, effective for tax years 2024, 2025, and 2026. AB 167 includes an extended carryover period for suspended NOLs that would have been utilized if not for AB 167.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have cumulative NOLs as of December 31, 2025 and 2024. Given the history of losses, and after consideration for the risk associated with estimates of future taxable income, we established a full valuation allowance against net deferred tax assets at December 31, 2025 and 2024. Under the Tax Cuts and Jobs Act (“TCJA”), federal NOLs generated after 2017 will be carried forward indefinitely but are limited to an 80% deduction of taxable income. NOLs generated prior to 2018 have a 20-year carryforward period and can be used to offset 100% of taxable income. An exception to the TCJA federal NOL rule applies to certain of our subsidiaries and requires all NOLs generated from those entities to have a 20-year carryforward period and offset 100% of taxable income.</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Additionally, an “ownership change” as defined under Section 382 of the Internal Revenue Code, could potentially limit the ability to utilize certain tax attributes including the Company’s substantial NOLs. Ownership change is generally defined as any significant change in ownership of more than 50% of its stock over a three-year testing period. If, as a result of current or future transactions involving our common stock, we undergo cumulative ownership changes which exceed 50% over the testing period, our ability to utilize our NOL carryforwards would be subject to additional limitations under IRC Section 382. We continue to monitor changes in ownership with respect to these income tax provisions.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record uncertain tax positions in accordance with ASC 740, on the basis of a two-step process in which (i) we determine whether it is more likely than not a tax position will be sustained on the basis of the technical merits of such position and (ii) for those tax positions meeting the more-likely-than-not recognition threshold, we recognize the largest amount of tax benefit that is more than 50.0% likely to be realized upon ultimate settlement with the related tax authority. The following table summarizes the gross amount of our uncertain tax 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1445"/>
                <wp:effectExtent l="0" t="0" r="0" b="0"/>
                <wp:wrapNone/>
                <wp:docPr id="90" name="Frame8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87</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tbl>
      <w:tblPr>
        <w:tblW w:w="5908" w:type="dxa"/>
        <w:jc w:val="left"/>
        <w:tblInd w:w="0" w:type="dxa"/>
        <w:tblLayout w:type="fixed"/>
        <w:tblCellMar>
          <w:top w:w="28" w:type="dxa"/>
          <w:left w:w="28" w:type="dxa"/>
          <w:bottom w:w="28" w:type="dxa"/>
          <w:right w:w="28" w:type="dxa"/>
        </w:tblCellMar>
      </w:tblPr>
      <w:tblGrid>
        <w:gridCol w:w="1580"/>
        <w:gridCol w:w="1388"/>
        <w:gridCol w:w="1396"/>
        <w:gridCol w:w="334"/>
        <w:gridCol w:w="948"/>
        <w:gridCol w:w="262"/>
      </w:tblGrid>
      <w:tr>
        <w:trPr/>
        <w:tc>
          <w:tcPr>
            <w:tcW w:w="158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unrecognized tax benefits at the beginning of the year</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Increases related to prior year tax positions</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Increases from tax positions taken in the current year</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unrecognized tax benefits at the end of the year</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Due to the existence of the valuation allowance, future changes in our unrecognized tax benefits will not impact our effective tax rate.</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Our policy is to recognize interest and penalties related to income tax matters as a component of income tax expense. As of December 31, 2025, no interest and penalties have been recognized.</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One Big Beautiful Bill Act (“OBBB Act”) was enacted on July 4, 2025 in the United States. The OBBB Act includes several significant provisions, including re-establishing a 100% bonus depreciation deduction, re-establishing rules in calculating business interest expense limitations pursuant to §163(j), and removing the capitalization requirements for domestic research or experimental (“R&amp;E”) expenditures paid or incurred in tax years beginning after December 31, 2024. We have considered applicable tax impacts of the OBBB Act within the 2025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10. Equity-Based Compensation</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2021 Equity Incentive Plan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On March 25, 2021, our Board of Directors adopted the 2021 Equity Incentive Plan (the “2021 Plan”). Under the 2021 Plan, employees, consultants and directors of our Company and our affiliates that perform services for us are eligible to receive awards. The 2021 Plan provides for the grant of incentive stock options (“ISOs”), non-statutory stock options (“NSOs”), stock appreciation rights, restricted shares, performance awards, other share based awards (including restricted stock units) and other cash-based awards. ISOs may be granted only to employees, including officers. All other awards may be granted to employees, including officers, non-employee directors and consultants. The maximum number of shares available for issuance under the 2021 Plan may not exceed 20,744,444 shares (subject to a discretionary annual increase of up to 4% effective as of January 1 of each year for 10 years).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On December 22, 2025, we registered an additional 27,915,561 shares of common stock that can be issued under the 2021 Equity Incentive Plan to eligible participants, including employees, directors, and consultants. </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Equity Awards</w:t>
      </w: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Stock options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Our outstanding stock options generally vest 25% annually over four years and generally expire 10 years from the date of the grant. The 2021 Equity Incentive Plan provides that stock option grants will be made with an exercise price at no less than the estimated fair value of common stock at the date of the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1445"/>
                <wp:effectExtent l="0" t="0" r="0" b="0"/>
                <wp:wrapNone/>
                <wp:docPr id="91" name="Frame9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88</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following is a summary of the stock option transactions as of and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736"/>
        <w:gridCol w:w="623"/>
        <w:gridCol w:w="625"/>
        <w:gridCol w:w="721"/>
        <w:gridCol w:w="589"/>
        <w:gridCol w:w="590"/>
        <w:gridCol w:w="109"/>
        <w:gridCol w:w="109"/>
        <w:gridCol w:w="109"/>
        <w:gridCol w:w="422"/>
        <w:gridCol w:w="1198"/>
        <w:gridCol w:w="234"/>
        <w:gridCol w:w="109"/>
        <w:gridCol w:w="109"/>
        <w:gridCol w:w="109"/>
        <w:gridCol w:w="689"/>
        <w:gridCol w:w="689"/>
        <w:gridCol w:w="690"/>
        <w:gridCol w:w="109"/>
        <w:gridCol w:w="109"/>
        <w:gridCol w:w="109"/>
        <w:gridCol w:w="461"/>
        <w:gridCol w:w="393"/>
        <w:gridCol w:w="564"/>
      </w:tblGrid>
      <w:tr>
        <w:trPr/>
        <w:tc>
          <w:tcPr>
            <w:tcW w:w="73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Options Outstanding</w:t>
            </w:r>
          </w:p>
        </w:tc>
      </w:tr>
      <w:tr>
        <w:trPr/>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Subject to Options Outstanding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per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Terms</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Balances as of December 31, 2022 </w:t>
            </w:r>
          </w:p>
        </w:tc>
        <w:tc>
          <w:tcPr>
            <w:tcW w:w="1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10,603,493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granted</w:t>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exercised</w:t>
            </w:r>
          </w:p>
        </w:tc>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forfeited / expired</w:t>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Balances as of December 31, 2023 </w:t>
            </w:r>
          </w:p>
        </w:tc>
        <w:tc>
          <w:tcPr>
            <w:tcW w:w="1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9,135,879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granted</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exercised</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(17,662)</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forfeited / expired</w:t>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Balances as of December 31, 2024 </w:t>
            </w:r>
          </w:p>
        </w:tc>
        <w:tc>
          <w:tcPr>
            <w:tcW w:w="1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8,762,481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granted</w:t>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exercised</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(1,097,827)</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forfeited / expired</w:t>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Balances as of December 31, 2025 </w:t>
            </w:r>
          </w:p>
        </w:tc>
        <w:tc>
          <w:tcPr>
            <w:tcW w:w="1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7,408,212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20,001 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Vested and Exercisable as of December 31, 2025 </w:t>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6,997,173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17,421 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Aggregate intrinsic value represents the difference between the exercise price of the option and the closing price of our common stock. The aggregate intrinsic value of options exercised for the years ended December 31, 2025 and 2024 was $3,616 and $39, respectively. No options were exercised during the year ended December 31, 2023.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There were no options granted during the years ended December 31, 2025, 2024, and 2023.</w:t>
      </w:r>
    </w:p>
    <w:p>
      <w:pPr>
        <w:pStyle w:val="TextBody"/>
        <w:bidi w:val="0"/>
        <w:spacing w:lineRule="auto" w:line="288" w:before="200" w:after="283"/>
        <w:jc w:val="both"/>
        <w:rPr>
          <w:rFonts w:ascii="Times New Roman;serif" w:hAnsi="Times New Roman;serif"/>
          <w:b/>
          <w:color w:val="000000"/>
          <w:sz w:val="18"/>
        </w:rPr>
      </w:pPr>
      <w:r>
        <w:rPr>
          <w:rFonts w:ascii="Times New Roman;serif" w:hAnsi="Times New Roman;serif"/>
          <w:b/>
          <w:color w:val="000000"/>
          <w:sz w:val="18"/>
        </w:rPr>
        <w:t>Restricted Stock Awards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Our outstanding RSAs generally vest 25% annually over four years. RSAs generally vest on the later of the fourth anniversary of the original vesting commencement date or 50% annually on the first and second anniversary of the initial public offering, which was effective March 25, 2021.</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following is a summary of RSA transactions as of and for the years ended December 31, 2025, 2024 and 2023:</w:t>
      </w:r>
    </w:p>
    <w:tbl>
      <w:tblPr>
        <w:tblW w:w="9055" w:type="dxa"/>
        <w:jc w:val="left"/>
        <w:tblInd w:w="0" w:type="dxa"/>
        <w:tblLayout w:type="fixed"/>
        <w:tblCellMar>
          <w:top w:w="28" w:type="dxa"/>
          <w:left w:w="28" w:type="dxa"/>
          <w:bottom w:w="28" w:type="dxa"/>
          <w:right w:w="28" w:type="dxa"/>
        </w:tblCellMar>
      </w:tblPr>
      <w:tblGrid>
        <w:gridCol w:w="1484"/>
        <w:gridCol w:w="1301"/>
        <w:gridCol w:w="1309"/>
        <w:gridCol w:w="469"/>
        <w:gridCol w:w="469"/>
        <w:gridCol w:w="471"/>
        <w:gridCol w:w="109"/>
        <w:gridCol w:w="109"/>
        <w:gridCol w:w="109"/>
        <w:gridCol w:w="695"/>
        <w:gridCol w:w="1979"/>
        <w:gridCol w:w="551"/>
      </w:tblGrid>
      <w:tr>
        <w:trPr/>
        <w:tc>
          <w:tcPr>
            <w:tcW w:w="148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Restricted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Unvested and outstanding as of December 31, 2022 </w:t>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4,690,441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(3,916,030)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Unvested and outstanding as of December 31, 2023 </w:t>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Unvested and outstanding as of December 31, 2024 </w:t>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(49,915)</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Unvested and outstanding as of December 31, 2025 </w:t>
            </w:r>
          </w:p>
        </w:tc>
        <w:tc>
          <w:tcPr>
            <w:tcW w:w="93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Restricted Stock Units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Our outstanding Restricted Stock Units ("RSU") generally vest 33% annually over three years or 25% annually over four years.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following is a summary of RSU transactions as of and for the years ended December 31,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605" cy="14605"/>
                <wp:effectExtent l="0" t="0" r="0" b="0"/>
                <wp:wrapNone/>
                <wp:docPr id="92" name="Frame9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89</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tbl>
      <w:tblPr>
        <w:tblW w:w="9400" w:type="dxa"/>
        <w:jc w:val="left"/>
        <w:tblInd w:w="0" w:type="dxa"/>
        <w:tblLayout w:type="fixed"/>
        <w:tblCellMar>
          <w:top w:w="28" w:type="dxa"/>
          <w:left w:w="28" w:type="dxa"/>
          <w:bottom w:w="28" w:type="dxa"/>
          <w:right w:w="28" w:type="dxa"/>
        </w:tblCellMar>
      </w:tblPr>
      <w:tblGrid>
        <w:gridCol w:w="1484"/>
        <w:gridCol w:w="1301"/>
        <w:gridCol w:w="1309"/>
        <w:gridCol w:w="584"/>
        <w:gridCol w:w="584"/>
        <w:gridCol w:w="586"/>
        <w:gridCol w:w="109"/>
        <w:gridCol w:w="109"/>
        <w:gridCol w:w="109"/>
        <w:gridCol w:w="695"/>
        <w:gridCol w:w="1979"/>
        <w:gridCol w:w="551"/>
      </w:tblGrid>
      <w:tr>
        <w:trPr/>
        <w:tc>
          <w:tcPr>
            <w:tcW w:w="148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Restricted Stock Units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4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Unvested and outstanding as of December 31, 2022 </w:t>
            </w:r>
          </w:p>
        </w:tc>
        <w:tc>
          <w:tcPr>
            <w:tcW w:w="175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8,728,936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13.93 </w:t>
            </w:r>
          </w:p>
        </w:tc>
        <w:tc>
          <w:tcPr>
            <w:tcW w:w="5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4,425,771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1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(1,875,329)</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(737,753)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Unvested and outstanding as of December 31, 2023 </w:t>
            </w:r>
          </w:p>
        </w:tc>
        <w:tc>
          <w:tcPr>
            <w:tcW w:w="175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10,541,625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5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6,994,001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7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(2,993,372)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(1,197,569)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Unvested and outstanding as of December 31, 2024 </w:t>
            </w:r>
          </w:p>
        </w:tc>
        <w:tc>
          <w:tcPr>
            <w:tcW w:w="175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13,344,685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5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2,987,921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15.52 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7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(5,527,208)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(1,448,709)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Unvested and outstanding as of December 31, 2025 </w:t>
            </w:r>
          </w:p>
        </w:tc>
        <w:tc>
          <w:tcPr>
            <w:tcW w:w="1754" w:type="dxa"/>
            <w:gridSpan w:val="3"/>
            <w:tcBorders>
              <w:top w:val="single" w:sz="8" w:space="0" w:color="000000"/>
              <w:bottom w:val="sing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9,356,689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bottom w:val="sing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9" w:type="dxa"/>
            <w:tcBorders>
              <w:top w:val="single" w:sz="8" w:space="0" w:color="000000"/>
              <w:bottom w:val="sing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551" w:type="dxa"/>
            <w:tcBorders>
              <w:top w:val="single" w:sz="8" w:space="0" w:color="000000"/>
              <w:bottom w:val="sing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18"/>
        </w:rPr>
      </w:pPr>
      <w:r>
        <w:rPr>
          <w:rFonts w:ascii="Times New Roman;serif" w:hAnsi="Times New Roman;serif"/>
          <w:b/>
          <w:color w:val="000000"/>
          <w:sz w:val="18"/>
        </w:rPr>
        <w:t>Performance-based Restricted Stock Units ("PSUs")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On September 14, 2023,the Board of Directors of the Company approved the grant of performance-based restricted stock units under the Company's 2021 Equity Incentive Plan to its executive management team and other key employees. Each grantee is eligible to vest in a number of PSUs ranging from 0% to 150% of the target number of PSUs granted, based on the aggregated achievement by the Company of certain performance metrics during the performance period beginning on January 1, 2024 and ending on December 31, 2024. The achievement of PSUs relative to the approved target is based on the following performance metrics and relative weighting: Health Plan Revenue Growth Percentage (60%), At-Risk Returning Member Medical Benefit Ratio (20%) and Adjusted EBITDA, less Capital Expenditures (20%). </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50% of the total number of earned PSUs vested upon certification of achievement of the performance metrics by the Compensation Committee in March 2025 and the remaining 50% of earned PSUs vested as of December 31, 2025. </w:t>
      </w:r>
    </w:p>
    <w:p>
      <w:pPr>
        <w:pStyle w:val="TextBody"/>
        <w:bidi w:val="0"/>
        <w:spacing w:lineRule="auto" w:line="288" w:before="240" w:after="200"/>
        <w:jc w:val="both"/>
        <w:rPr>
          <w:rFonts w:ascii="Times New Roman;serif" w:hAnsi="Times New Roman;serif"/>
          <w:b w:val="false"/>
          <w:color w:val="000000"/>
          <w:sz w:val="18"/>
        </w:rPr>
      </w:pPr>
      <w:r>
        <w:rPr>
          <w:rFonts w:ascii="Times New Roman;serif" w:hAnsi="Times New Roman;serif"/>
          <w:b w:val="false"/>
          <w:color w:val="000000"/>
          <w:sz w:val="18"/>
        </w:rPr>
        <w:t xml:space="preserve">On March 13, 2024, the Compensation Committee of the Board of Directors of the Company approved additional grants of PSUs under the Company's 2021 Equity Incentive Plan. Each grantee is eligible to vest in a number of PSUs ranging from 0% to 200% of the target number of PSUs granted, based on the aggregated achievement by the Company of certain performance metrics during the performance period beginning on January 1, 2026 and ending on December 31, 2026. The achievement of PSUs relative to the approved target is based on the following performance metrics and relative weighting: Revenue (50% weighting) and Adjusted EBITDA (50% weighting). 100% of the total number of earned PSUs will become vested upon certification of achievement of the performance metrics by the Compensation Committee on or about March 1, 2027, subject to continued service to the Company through such date. </w:t>
      </w:r>
    </w:p>
    <w:p>
      <w:pPr>
        <w:pStyle w:val="TextBody"/>
        <w:bidi w:val="0"/>
        <w:spacing w:lineRule="auto" w:line="288" w:before="240" w:after="200"/>
        <w:jc w:val="both"/>
        <w:rPr>
          <w:rFonts w:ascii="Times New Roman;serif" w:hAnsi="Times New Roman;serif"/>
          <w:b w:val="false"/>
          <w:color w:val="000000"/>
          <w:sz w:val="18"/>
        </w:rPr>
      </w:pPr>
      <w:r>
        <w:rPr>
          <w:rFonts w:ascii="Times New Roman;serif" w:hAnsi="Times New Roman;serif"/>
          <w:b w:val="false"/>
          <w:color w:val="000000"/>
          <w:sz w:val="18"/>
        </w:rPr>
        <w:t xml:space="preserve">On March 13, 2025, the Compensation Committee of the Board of Directors of the Company approved additional grants of PSUs under the Company's 2021 Equity Incentive Plan. Each grantee is eligible to vest in a number of PSUs ranging from 0% to 200% of the target number of PSUs granted, based on the aggregated achievement by the Company of certain performance metrics during the performance period beginning on January 1, 2027 and ending on December 31, 2027. The achievement of PSUs relative to the approved target is based on the following performance metrics and relative weighting: Revenue (50% weighting) and Adjusted EBITDA (50% weighting). 100% of the total number of earned PSUs will become vested upon certification of achievement of the performance metrics by the Compensation Committee on or about March 1, 2028, subject to continued service to the Company through such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1445"/>
                <wp:effectExtent l="0" t="0" r="0" b="0"/>
                <wp:wrapNone/>
                <wp:docPr id="93" name="Frame9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90</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18"/>
        </w:rPr>
        <w:t>The following is a summary of PSU transactions for the year ended December 31, 2025</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396"/>
        <w:gridCol w:w="1224"/>
        <w:gridCol w:w="1231"/>
        <w:gridCol w:w="978"/>
        <w:gridCol w:w="978"/>
        <w:gridCol w:w="980"/>
        <w:gridCol w:w="109"/>
        <w:gridCol w:w="109"/>
        <w:gridCol w:w="109"/>
        <w:gridCol w:w="741"/>
        <w:gridCol w:w="1762"/>
        <w:gridCol w:w="588"/>
      </w:tblGrid>
      <w:tr>
        <w:trPr/>
        <w:tc>
          <w:tcPr>
            <w:tcW w:w="139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Performance-based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Unvested and outstanding as of December 31, 2022</w:t>
            </w:r>
          </w:p>
        </w:tc>
        <w:tc>
          <w:tcPr>
            <w:tcW w:w="1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2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7,233,205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Cancelled/forfeited</w:t>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Unvested and outstanding as of December 31, 2023 </w:t>
            </w:r>
          </w:p>
        </w:tc>
        <w:tc>
          <w:tcPr>
            <w:tcW w:w="2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7,233,205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2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Cancelled/forfeited</w:t>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(318,334)</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Unvested and outstanding as of December 31, 2024 </w:t>
            </w:r>
          </w:p>
        </w:tc>
        <w:tc>
          <w:tcPr>
            <w:tcW w:w="1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8,074,871 </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2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795,786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2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(6,667,948)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Cancelled/forfeited</w:t>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(517,302)</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Unvested and outstanding as of December 31, 2025 </w:t>
            </w:r>
          </w:p>
        </w:tc>
        <w:tc>
          <w:tcPr>
            <w:tcW w:w="293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1,685,407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5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Kao Equity Award</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Subsequent to the balance sheet date, on February 24, 2026 (the “Grant Date”), the Board of Directors of the Company approved the grant of certain performance share units (“PSUs”) to John Kao, the Company’s Chief Executive Officer (the “PSU Award”), under the Company’s 2021 Equity Incentive Plan (the “Plan”). The PSU Award supplements the annual equity awards that Mr. Kao will continue to be eligible for in the future. In approving the award, the Board, with input from the Compensation Committee and its independent compensation consultant, considered the importance of retaining Mr. Kao, a recognized industry leader, while incentivizing long-term, sustained business performance and alignment with stockholder interests. The material terms of the PSU Award are described below. Capitalized terms that are not otherwise defined have the meanings set forth in the Plan.</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Except as set forth below, tranches of the PSU Award will be earned and vest only upon both (i) the achievement of pre-determined price per share goals (described below) over the period commencing on the Grant Date and ending on the fifth anniversary of the Grant Date (the “Measurement Period”); and (ii) Mr. Kao’s continued employment or service as the Company’s Chief Executive Officer through the third anniversary of the Grant Date, unless otherwise agreed to (the “Service Requirement”).</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PSUs will become earned (“Earned PSUs”) in three tranches based on the achievement of the following volume-weighted average price per share goals during the Measurement Period (the “Stock Price Hurdles”):</w:t>
      </w:r>
    </w:p>
    <w:tbl>
      <w:tblPr>
        <w:tblW w:w="5864" w:type="dxa"/>
        <w:jc w:val="center"/>
        <w:tblInd w:w="0" w:type="dxa"/>
        <w:tblLayout w:type="fixed"/>
        <w:tblCellMar>
          <w:top w:w="28" w:type="dxa"/>
          <w:left w:w="28" w:type="dxa"/>
          <w:bottom w:w="28" w:type="dxa"/>
          <w:right w:w="28" w:type="dxa"/>
        </w:tblCellMar>
      </w:tblPr>
      <w:tblGrid>
        <w:gridCol w:w="738"/>
        <w:gridCol w:w="649"/>
        <w:gridCol w:w="652"/>
        <w:gridCol w:w="584"/>
        <w:gridCol w:w="584"/>
        <w:gridCol w:w="587"/>
        <w:gridCol w:w="606"/>
        <w:gridCol w:w="606"/>
        <w:gridCol w:w="858"/>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Price Per Share Goals</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Earned PSUs</w:t>
            </w:r>
          </w:p>
        </w:tc>
      </w:tr>
      <w:tr>
        <w:trPr/>
        <w:tc>
          <w:tcPr>
            <w:tcW w:w="2039" w:type="dxa"/>
            <w:gridSpan w:val="3"/>
            <w:tcBorders>
              <w:top w:val="single" w:sz="8" w:space="0" w:color="45B0E1"/>
              <w:left w:val="single" w:sz="8" w:space="0" w:color="45B0E1"/>
            </w:tcBorders>
            <w:shd w:fill="C1E4F5"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First Stock Price Hurdle</w:t>
            </w:r>
          </w:p>
        </w:tc>
        <w:tc>
          <w:tcPr>
            <w:tcW w:w="1755" w:type="dxa"/>
            <w:gridSpan w:val="3"/>
            <w:tcBorders>
              <w:top w:val="single" w:sz="8" w:space="0" w:color="45B0E1"/>
              <w:left w:val="single" w:sz="8" w:space="0" w:color="45B0E1"/>
            </w:tcBorders>
            <w:shd w:fill="C1E4F5"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$33.75</w:t>
            </w:r>
          </w:p>
        </w:tc>
        <w:tc>
          <w:tcPr>
            <w:tcW w:w="2070" w:type="dxa"/>
            <w:gridSpan w:val="3"/>
            <w:tcBorders>
              <w:top w:val="single" w:sz="8" w:space="0" w:color="45B0E1"/>
              <w:left w:val="single" w:sz="8" w:space="0" w:color="45B0E1"/>
              <w:right w:val="single" w:sz="8" w:space="0" w:color="45B0E1"/>
            </w:tcBorders>
            <w:shd w:fill="C1E4F5" w:val="clear"/>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333,333</w:t>
            </w:r>
          </w:p>
        </w:tc>
      </w:tr>
      <w:tr>
        <w:trPr/>
        <w:tc>
          <w:tcPr>
            <w:tcW w:w="2039" w:type="dxa"/>
            <w:gridSpan w:val="3"/>
            <w:tcBorders>
              <w:top w:val="single" w:sz="8" w:space="0" w:color="45B0E1"/>
              <w:left w:val="single" w:sz="8" w:space="0" w:color="45B0E1"/>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Second Stock Price Hurdle</w:t>
            </w:r>
          </w:p>
        </w:tc>
        <w:tc>
          <w:tcPr>
            <w:tcW w:w="1755" w:type="dxa"/>
            <w:gridSpan w:val="3"/>
            <w:tcBorders>
              <w:top w:val="single" w:sz="8" w:space="0" w:color="45B0E1"/>
              <w:left w:val="single" w:sz="8" w:space="0" w:color="45B0E1"/>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$44.00</w:t>
            </w:r>
          </w:p>
        </w:tc>
        <w:tc>
          <w:tcPr>
            <w:tcW w:w="2070" w:type="dxa"/>
            <w:gridSpan w:val="3"/>
            <w:tcBorders>
              <w:top w:val="single" w:sz="8" w:space="0" w:color="45B0E1"/>
              <w:left w:val="single" w:sz="8" w:space="0" w:color="45B0E1"/>
              <w:right w:val="single" w:sz="8" w:space="0" w:color="45B0E1"/>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333,333</w:t>
            </w:r>
          </w:p>
        </w:tc>
      </w:tr>
      <w:tr>
        <w:trPr/>
        <w:tc>
          <w:tcPr>
            <w:tcW w:w="2039" w:type="dxa"/>
            <w:gridSpan w:val="3"/>
            <w:tcBorders>
              <w:top w:val="single" w:sz="8" w:space="0" w:color="45B0E1"/>
              <w:left w:val="single" w:sz="8" w:space="0" w:color="45B0E1"/>
              <w:bottom w:val="single" w:sz="8" w:space="0" w:color="45B0E1"/>
            </w:tcBorders>
            <w:shd w:fill="C1E4F5"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Third Stock Price Hurdle</w:t>
            </w:r>
          </w:p>
        </w:tc>
        <w:tc>
          <w:tcPr>
            <w:tcW w:w="1755" w:type="dxa"/>
            <w:gridSpan w:val="3"/>
            <w:tcBorders>
              <w:top w:val="single" w:sz="8" w:space="0" w:color="45B0E1"/>
              <w:left w:val="single" w:sz="8" w:space="0" w:color="45B0E1"/>
              <w:bottom w:val="single" w:sz="8" w:space="0" w:color="45B0E1"/>
            </w:tcBorders>
            <w:shd w:fill="C1E4F5" w:val="clear"/>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$55.25</w:t>
            </w:r>
          </w:p>
        </w:tc>
        <w:tc>
          <w:tcPr>
            <w:tcW w:w="2070" w:type="dxa"/>
            <w:gridSpan w:val="3"/>
            <w:tcBorders>
              <w:top w:val="single" w:sz="8" w:space="0" w:color="45B0E1"/>
              <w:left w:val="single" w:sz="8" w:space="0" w:color="45B0E1"/>
              <w:bottom w:val="single" w:sz="8" w:space="0" w:color="45B0E1"/>
              <w:right w:val="single" w:sz="8" w:space="0" w:color="45B0E1"/>
            </w:tcBorders>
            <w:shd w:fill="C1E4F5" w:val="clear"/>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333,334</w:t>
            </w:r>
          </w:p>
        </w:tc>
      </w:tr>
    </w:tbl>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A Stock Price Hurdle is achieved if the volume-weighted average price per share over any 30-consecutive-trading-day period during the Measurement Period equals or exceeds the applicable price. Any tranche of PSUs that Mr. Kao has earned will become vested upon the later of (i) the date on which the applicable Stock Price Hurdle has been achieved or (ii) the date on which the Service Requirement has been met, subject to his continued service though such later date. Except as described below, PSUs for which the relevant Stock Price Hurdle has not been achieved by the end of the Measurement Period will be forfeited.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1445"/>
                <wp:effectExtent l="0" t="0" r="0" b="0"/>
                <wp:wrapNone/>
                <wp:docPr id="94" name="Frame9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91</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Equity-Based Compensation Expense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Total equity-based compensation expense was presented on the statement of operations as follows:</w:t>
      </w:r>
    </w:p>
    <w:tbl>
      <w:tblPr>
        <w:tblW w:w="6791" w:type="dxa"/>
        <w:jc w:val="left"/>
        <w:tblInd w:w="0" w:type="dxa"/>
        <w:tblLayout w:type="fixed"/>
        <w:tblCellMar>
          <w:top w:w="28" w:type="dxa"/>
          <w:left w:w="28" w:type="dxa"/>
          <w:bottom w:w="28" w:type="dxa"/>
          <w:right w:w="28" w:type="dxa"/>
        </w:tblCellMar>
      </w:tblPr>
      <w:tblGrid>
        <w:gridCol w:w="1172"/>
        <w:gridCol w:w="1032"/>
        <w:gridCol w:w="1035"/>
        <w:gridCol w:w="196"/>
        <w:gridCol w:w="646"/>
        <w:gridCol w:w="109"/>
        <w:gridCol w:w="109"/>
        <w:gridCol w:w="109"/>
        <w:gridCol w:w="109"/>
        <w:gridCol w:w="196"/>
        <w:gridCol w:w="646"/>
        <w:gridCol w:w="109"/>
        <w:gridCol w:w="109"/>
        <w:gridCol w:w="109"/>
        <w:gridCol w:w="109"/>
        <w:gridCol w:w="196"/>
        <w:gridCol w:w="646"/>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52"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Medical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equity-based compensation expense</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62,082 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single" w:sz="4"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71,132 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single" w:sz="4"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66,835 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 of December 31, 2025, there was $46,535 in unrecognized compensation expense related to all non-vested awards (Options, RSUs and PSUs) that will be recognized over the weighted-average period of 1.51 years. As of December 31, 2024 and December 31, 2023, there was $61,809 and $98,004, respectively, in unrecognized compensation expense related to all non-vested awards (Options, RSUs and PSUs) that will be recognized over the weighted-average period of 1.55 and 1.88 years,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11. Regulatory Requirements and Restricted Funds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Our health plans or risk-bearing entities are required to maintain minimum capital requirements prescribed by various regulatory authorities in each of the states in which it operates.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Risk-Based Capital</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National Association of Insurance Commissioners has adopted rules, which, if implemented by the states, set minimum capitalization requirements for insurance companies, health maintenance organizations ("HMOs"), and other entities bearing risk for health care coverage. The requirements take the form of risk-based capital (“RBC”) rules, which may vary from state to state. Certain states in which our health plans or risk bearing entities operate in have adopted the RBC rules. Our health plans or risk-bearing entities were in compliance with the minimum capital requirements for all periods presented.</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Tangible Net Equity</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Our health plans in California are required to comply with the tangible net equity ("TNE") requirements. The required amount is 150% of the larger of: (1) $1,000; (2) the sum of 2% of the first $150,000 of annualized premium revenue and 1% of annualized premium revenue in excess of $150,000; or (3) 8% of the first $150,000 of annualized health care expenditures except those paid on a capitated or managed hospital payment basis, plus 4% of  the annualized health care expenditures in excess of $150,000, except those paid on a capitated or managed hospital payment basis, plus 4% of annualized hospital expenditures paid on a managed hospital payment basis. For newer health plans, through the first three years immediately following the health plan’s operational start date, the required amount is 200% of the larger of the TNE calculation described above. We were in compliance with the TNE requirements as of December 31, 2025.</w:t>
      </w:r>
    </w:p>
    <w:p>
      <w:pPr>
        <w:pStyle w:val="TextBody"/>
        <w:bidi w:val="0"/>
        <w:spacing w:lineRule="auto" w:line="288" w:before="240" w:after="283"/>
        <w:jc w:val="both"/>
        <w:rPr/>
      </w:pPr>
      <w:r>
        <w:rPr>
          <w:rFonts w:ascii="Times New Roman;serif" w:hAnsi="Times New Roman;serif"/>
          <w:b w:val="false"/>
          <w:color w:val="000000"/>
          <w:sz w:val="18"/>
        </w:rPr>
        <w:t>Certain states regulate the payment of dividends, loans, or other cash transfers from our regulated subsidiaries to our non-regulated subsidiaries and parent company. Such payments may require approval by state regulatory authorities and are limited based on certain financial criteria, such as the entity’s level of statutory income and statutory capital and surplus, or the entity’s level of tangible net equity or net worth, amongst other measures. These regulations vary by state. Our state regulated subsidiaries had aggregate regulatory capital of approximately $268,515 and $156,167 as of December 31, 2025 and 2024, respectively, which exceeded aggregate minimum regulatory requirements of $116,090 and $75,212, respectively. The amount of undistributed dividends from our regulated subsidiaries that may be paid out to our parent without regulatory approval was $72,869 and $46,785 as of December 31, 2025 and 2024, respectively.</w:t>
      </w:r>
      <w:r>
        <w:rPr>
          <w:color w:val="FF0000"/>
        </w:rPr>
        <w:t xml:space="preserve"> </w:t>
      </w:r>
      <w:r>
        <w:rPr>
          <w:rFonts w:ascii="Times New Roman;serif" w:hAnsi="Times New Roman;serif"/>
          <w:b w:val="false"/>
          <w:color w:val="000000"/>
          <w:sz w:val="18"/>
        </w:rPr>
        <w:t xml:space="preserve">We were in compliance with the RBC and TNE requirements as of December 31, 2025.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have the ability to provide additional capital to each of our health plans or risk-bearing entities when necessary to ensure that the RBC and TNE requirements are met.</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Restricted Assets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Pursuant to the regulations governing our subsidiaries, we maintain certain deposits required by the government authorities in the form of cash, certificate of deposit and Treasury bills as protection in the event of insolvency. The use of funds from these investments is limited as required by regulation in the various states in which we operate, or as needed in the event of insolvency. Therefore, these deposits are reported within other assets on the consolidated balance sheets.</w:t>
      </w:r>
    </w:p>
    <w:p>
      <w:pPr>
        <w:pStyle w:val="TextBody"/>
        <w:bidi w:val="0"/>
        <w:spacing w:lineRule="auto" w:line="276"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hold these assets until maturity, at which time these assets will renew or are invested in a similar type of investment instrument. Given the regulatory requirements, we expect to hold these investments for long-term. As a result, we do not expect the value of these investments to decline significantly due to a sudden change in market interest rates. These investments are carried at amortized cost, which approximates fair value. See Note 3, Fair Value, for further discussion.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1445"/>
                <wp:effectExtent l="0" t="0" r="0" b="0"/>
                <wp:wrapNone/>
                <wp:docPr id="95" name="Frame9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92</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12. Leases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Our leases are primarily for our corporate office, including parking spaces, and healthcare services operating facilities and expire at various intervals up through 2030. The majority of our leases contain renewal options, some of which include options to extend the lease for up to five years per option.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majority of our leases are comprised of fixed payments. When certain portions of the lease payments are not fixed, we consider those payments to be variable in nature. These variable lease payments include, but are not limited to, common area maintenance, parking, taxes and insurance. These variable payments are not included in the ROU asset or lease liability and are recorded within selling, general and administrative expenses in the consolidated statement of operations and are recorded based upon actual costs in the period incurred.</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Certain leases also contain rent escalation clauses that require additional rental amounts in the later years of the term. Rent expense for leases with rent escalation is recognized on a straight-line basis over the minimum lease term. The lease agreements do not contain any material residual value guarantees or material restrictive covenants.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At December 31, 2025, $7,019 of operating ROU assets were recorded as right of use assets on the consolidated balance sheets. Lease liabilities of $1,958 and $6,467 were included in accounts payable and accrued expenses and long-term lease liabilities, respectively.</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At December 31, 2024, $7,818 of operating ROU assets were recorded as right of use assets on the consolidated balance sheets. Lease liabilities of $1,212 and $7,835 were included in accounts payable and accrued expenses and long-term lease liabilities, respectively.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total fixed operating lease costs and variable operating lease cost, excluding short-term lease and finance lease costs, for the years ended December 31, 2025, 2024, and 2023: </w:t>
      </w:r>
    </w:p>
    <w:tbl>
      <w:tblPr>
        <w:tblW w:w="5502" w:type="dxa"/>
        <w:jc w:val="left"/>
        <w:tblInd w:w="0" w:type="dxa"/>
        <w:tblLayout w:type="fixed"/>
        <w:tblCellMar>
          <w:top w:w="28" w:type="dxa"/>
          <w:left w:w="28" w:type="dxa"/>
          <w:bottom w:w="28" w:type="dxa"/>
          <w:right w:w="28" w:type="dxa"/>
        </w:tblCellMar>
      </w:tblPr>
      <w:tblGrid>
        <w:gridCol w:w="805"/>
        <w:gridCol w:w="705"/>
        <w:gridCol w:w="710"/>
        <w:gridCol w:w="196"/>
        <w:gridCol w:w="556"/>
        <w:gridCol w:w="109"/>
        <w:gridCol w:w="109"/>
        <w:gridCol w:w="109"/>
        <w:gridCol w:w="109"/>
        <w:gridCol w:w="196"/>
        <w:gridCol w:w="556"/>
        <w:gridCol w:w="109"/>
        <w:gridCol w:w="109"/>
        <w:gridCol w:w="109"/>
        <w:gridCol w:w="109"/>
        <w:gridCol w:w="196"/>
        <w:gridCol w:w="556"/>
        <w:gridCol w:w="154"/>
      </w:tblGrid>
      <w:tr>
        <w:trPr/>
        <w:tc>
          <w:tcPr>
            <w:tcW w:w="8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Fixed operating lease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operating lease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leases costs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Fixed and variable operating leases costs are included within selling, general and administrative expenses in the consolidated statement of operations. Short term and finance lease costs were immaterial. For the year-ended December 31, 2025, 2024 and 2023, cash paid for amounts included in the measurement of lease liabilities included within our operating cash flows was $1,504, $1,525 and $3,510, respectively.</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Lease liabilities are based on the net present value of the remaining lease payments over the remaining lease term. In determining the present value of lease payments, the Company used its incremental borrowing rate based on the information available at the lease commencement date.</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The weighted average remaining lease term for operating leases is 3.9 years with a weighted average discount rate 11.6% at December 31, 2025.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weighted average remaining lease term for operating leases is 4.40 years with a weighted average discount rate 12.0% at December 31, 2024</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weighted average remaining lease term for finance leases is 3.3 years with a weighted average discount rate 4.3% at December 31, 2025.</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In the year ended December 31, 2025, $213 and $0 of operating lease and finance lease assets, respectively, were exchanged for lease liabilities related to newly commenced leases.</w:t>
      </w:r>
    </w:p>
    <w:p>
      <w:pPr>
        <w:pStyle w:val="TextBody"/>
        <w:bidi w:val="0"/>
        <w:spacing w:lineRule="auto" w:line="288" w:before="0" w:after="200"/>
        <w:jc w:val="left"/>
        <w:rPr/>
      </w:pPr>
      <w:r>
        <w:rPr>
          <w:rFonts w:ascii="Times New Roman;serif" w:hAnsi="Times New Roman;serif"/>
          <w:b w:val="false"/>
          <w:color w:val="000000"/>
          <w:sz w:val="18"/>
        </w:rPr>
        <w:t>In the year ended December 31, 2024, $26 and $0</w:t>
      </w:r>
      <w:r>
        <w:rPr>
          <w:color w:val="000000"/>
        </w:rPr>
        <w:t xml:space="preserve"> </w:t>
      </w:r>
      <w:r>
        <w:rPr>
          <w:rFonts w:ascii="Times New Roman;serif" w:hAnsi="Times New Roman;serif"/>
          <w:b w:val="false"/>
          <w:color w:val="000000"/>
          <w:sz w:val="18"/>
        </w:rPr>
        <w:t>of operating lease and finance lease assets, respectively, were exchanged for lease liabilities related to newly commenced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1445"/>
                <wp:effectExtent l="0" t="0" r="0" b="0"/>
                <wp:wrapNone/>
                <wp:docPr id="96" name="Frame9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93</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our lease assets and liabilities as of December 31, 2025 and 2024:</w:t>
      </w:r>
    </w:p>
    <w:tbl>
      <w:tblPr>
        <w:tblW w:w="4449" w:type="dxa"/>
        <w:jc w:val="left"/>
        <w:tblInd w:w="0" w:type="dxa"/>
        <w:tblLayout w:type="fixed"/>
        <w:tblCellMar>
          <w:top w:w="28" w:type="dxa"/>
          <w:left w:w="28" w:type="dxa"/>
          <w:bottom w:w="28" w:type="dxa"/>
          <w:right w:w="28" w:type="dxa"/>
        </w:tblCellMar>
      </w:tblPr>
      <w:tblGrid>
        <w:gridCol w:w="685"/>
        <w:gridCol w:w="601"/>
        <w:gridCol w:w="603"/>
        <w:gridCol w:w="249"/>
        <w:gridCol w:w="707"/>
        <w:gridCol w:w="138"/>
        <w:gridCol w:w="109"/>
        <w:gridCol w:w="109"/>
        <w:gridCol w:w="109"/>
        <w:gridCol w:w="246"/>
        <w:gridCol w:w="700"/>
        <w:gridCol w:w="193"/>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 assets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7,818 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assets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assets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7,019 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7,818 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7,835 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8,425 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9,047 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Maturities of lease liabilities under operating leases by fiscal year are as follows:</w:t>
      </w:r>
    </w:p>
    <w:tbl>
      <w:tblPr>
        <w:tblW w:w="4334" w:type="dxa"/>
        <w:jc w:val="left"/>
        <w:tblInd w:w="0" w:type="dxa"/>
        <w:tblLayout w:type="fixed"/>
        <w:tblCellMar>
          <w:top w:w="28" w:type="dxa"/>
          <w:left w:w="28" w:type="dxa"/>
          <w:bottom w:w="28" w:type="dxa"/>
          <w:right w:w="28" w:type="dxa"/>
        </w:tblCellMar>
      </w:tblPr>
      <w:tblGrid>
        <w:gridCol w:w="840"/>
        <w:gridCol w:w="737"/>
        <w:gridCol w:w="748"/>
        <w:gridCol w:w="395"/>
        <w:gridCol w:w="1304"/>
        <w:gridCol w:w="310"/>
      </w:tblGrid>
      <w:tr>
        <w:trPr/>
        <w:tc>
          <w:tcPr>
            <w:tcW w:w="84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2025 </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2,595 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2,243 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2030 and thereafter</w:t>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payments</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10,031 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w:t>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liabilities</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8,153 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Maturities of lease liabilities under finance leases by fiscal year are as follows:</w:t>
      </w:r>
    </w:p>
    <w:tbl>
      <w:tblPr>
        <w:tblW w:w="4335" w:type="dxa"/>
        <w:jc w:val="left"/>
        <w:tblInd w:w="0" w:type="dxa"/>
        <w:tblLayout w:type="fixed"/>
        <w:tblCellMar>
          <w:top w:w="28" w:type="dxa"/>
          <w:left w:w="28" w:type="dxa"/>
          <w:bottom w:w="28" w:type="dxa"/>
          <w:right w:w="28" w:type="dxa"/>
        </w:tblCellMar>
      </w:tblPr>
      <w:tblGrid>
        <w:gridCol w:w="840"/>
        <w:gridCol w:w="737"/>
        <w:gridCol w:w="748"/>
        <w:gridCol w:w="510"/>
        <w:gridCol w:w="1096"/>
        <w:gridCol w:w="404"/>
      </w:tblGrid>
      <w:tr>
        <w:trPr/>
        <w:tc>
          <w:tcPr>
            <w:tcW w:w="84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2025 </w:t>
            </w:r>
          </w:p>
        </w:tc>
      </w:tr>
      <w:tr>
        <w:trPr/>
        <w:tc>
          <w:tcPr>
            <w:tcW w:w="23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51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40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6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2030 and thereafter</w:t>
            </w:r>
          </w:p>
        </w:tc>
        <w:tc>
          <w:tcPr>
            <w:tcW w:w="16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payments</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w:t>
            </w:r>
          </w:p>
        </w:tc>
        <w:tc>
          <w:tcPr>
            <w:tcW w:w="16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liabilities</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sublease space not used in our operations. For the years ended December 31, 2025, 2024 and 2023, sublease income was $16, $206, and $565, respectively. For the year ended December 31, 2025, no ROU asset impairment was recorded. We recorded $143 ROU asset impairment for the year ended December 31, 2024, and there was no ROU asset impairment recorded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13. Employee Benefit Plans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All full-time employees are eligible to participate in a 401(k) plan that we sponsor upon completing 90 days of services. Eligible employees are permitted to contribute up to the maximum amount allowed by law. We match 100% of contributions not exceeding 4% of the employee's compensation. We made matching contributions of $4,157, $3,798, and $3,471 during 2025, 2024, and 2023, respectively, and were included within medical expenses and selling, general, and administrative expenses in the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1445"/>
                <wp:effectExtent l="0" t="0" r="0" b="0"/>
                <wp:wrapNone/>
                <wp:docPr id="97" name="Frame9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94</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color w:val="000000"/>
          <w:sz w:val="18"/>
        </w:rPr>
      </w:pPr>
      <w:r>
        <w:rPr>
          <w:rFonts w:ascii="Times New Roman;serif" w:hAnsi="Times New Roman;serif"/>
          <w:b/>
          <w:color w:val="000000"/>
          <w:sz w:val="18"/>
        </w:rPr>
        <w:t>14. Commitments and Contingencies</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Legal Proceedings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We record a liability and accrue the costs for a loss when an unfavorable outcome is probable and the amount of the loss can be reasonably estimated. In some cases, no estimate of the possible loss or range of loss in excess of amounts accrued, if any, can be made because of the inherently unpredictable nature of legal and regulatory proceedings. While the liability and accrued costs reflect our best estimate, the actual amounts may materially be different.</w:t>
      </w:r>
    </w:p>
    <w:p>
      <w:pPr>
        <w:pStyle w:val="TextBody"/>
        <w:bidi w:val="0"/>
        <w:spacing w:lineRule="auto" w:line="288" w:before="240" w:after="200"/>
        <w:jc w:val="both"/>
        <w:rPr>
          <w:rFonts w:ascii="Times New Roman;serif" w:hAnsi="Times New Roman;serif"/>
          <w:b w:val="false"/>
          <w:color w:val="000000"/>
          <w:sz w:val="18"/>
        </w:rPr>
      </w:pPr>
      <w:r>
        <w:rPr>
          <w:rFonts w:ascii="Times New Roman;serif" w:hAnsi="Times New Roman;serif"/>
          <w:b w:val="false"/>
          <w:color w:val="000000"/>
          <w:sz w:val="18"/>
        </w:rPr>
        <w:t xml:space="preserve">On April 27, 2022, a former employee of the Company filed a purported class action lawsuit (Dabney v. Alignment Healthcare USA, LLC, Orange County Superior Court) alleging that the Company failed to provide hourly employees with required meal and rest breaks or pay such workers a premium equal to an hour of pay for missed meal or rest breaks. Discovery in the matter commenced on June 8, 2022. On September 2, 2022, the court granted a stay of proceedings and discovery in anticipation of mediation scheduled for August 2023. On August 15, 2023, the Company entered into a tentative settlement of the action in consideration of an aggregate payment of $913. As a result of the tentative settlement, the Company has accrued for a potential liability of $913 as of December 31, 2025 for this matter, which was recorded within accounts payable and accrued expenses on the consolidated balance sheet and selling, general and administrative expenses on the consolidated statement of operations. Subsequent to period end, the settlement was approved by the court and the Company made payment in January 2026. </w:t>
      </w:r>
    </w:p>
    <w:p>
      <w:pPr>
        <w:pStyle w:val="TextBody"/>
        <w:bidi w:val="0"/>
        <w:spacing w:lineRule="auto" w:line="288" w:before="240" w:after="200"/>
        <w:jc w:val="both"/>
        <w:rPr>
          <w:rFonts w:ascii="Times New Roman;serif" w:hAnsi="Times New Roman;serif"/>
          <w:b w:val="false"/>
          <w:color w:val="000000"/>
          <w:sz w:val="18"/>
        </w:rPr>
      </w:pPr>
      <w:r>
        <w:rPr>
          <w:rFonts w:ascii="Times New Roman;serif" w:hAnsi="Times New Roman;serif"/>
          <w:b w:val="false"/>
          <w:color w:val="000000"/>
          <w:sz w:val="18"/>
        </w:rPr>
        <w:t>On July 7, 2023, a stockholder of Alignment ﬁled a purported class action lawsuit (Maglione v. Alignment Healthcare, Inc., et al, Delaware Chancery Court). The plaintiff alleged that certain provisions of Alignment’s stockholder agreement with General Atlantic (“GA”) and Warburg Pincus violate Delaware law. On April 30, 2024, the Company agreed to amend the stockholder agreement to eliminate the provisions challenged by the Maglione plaintiff. On May 24, 2024, the parties filed a stipulation and proposed order voluntarily dismissing the action as moot, which the court granted. Pursuant to the order, the court retained jurisdiction regarding attorneys’ fees.The Company entered into discussions with plaintiffs’ counsel to negotiate with respect to attorney’s fees. In March 2025 the parties reached an agreement on settlement fees in the amount of $950. The settlement was paid in April 2025.</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We may be involved in various litigation matters in the ordinary course of business. In the opinion of management, the ultimate resolution of legal proceedings is not expected to have a material adverse effect on the consolidated financial statements. Amounts accrued for legal proceedings were not material as of December 31, 2025 and 2024.</w:t>
      </w:r>
    </w:p>
    <w:p>
      <w:pPr>
        <w:pStyle w:val="TextBody"/>
        <w:bidi w:val="0"/>
        <w:spacing w:lineRule="auto" w:line="288" w:before="240" w:after="200"/>
        <w:jc w:val="both"/>
        <w:rPr>
          <w:rFonts w:ascii="Times New Roman;serif" w:hAnsi="Times New Roman;serif"/>
          <w:b/>
          <w:i/>
          <w:color w:val="000000"/>
          <w:sz w:val="18"/>
        </w:rPr>
      </w:pPr>
      <w:r>
        <w:rPr>
          <w:rFonts w:ascii="Times New Roman;serif" w:hAnsi="Times New Roman;serif"/>
          <w:b/>
          <w:i/>
          <w:color w:val="000000"/>
          <w:sz w:val="18"/>
        </w:rPr>
        <w:t>Risk Adjustment Data Validation Audit</w:t>
      </w:r>
    </w:p>
    <w:p>
      <w:pPr>
        <w:pStyle w:val="TextBody"/>
        <w:bidi w:val="0"/>
        <w:spacing w:lineRule="auto" w:line="288" w:before="240" w:after="200"/>
        <w:jc w:val="left"/>
        <w:rPr>
          <w:rFonts w:ascii="Times New Roman;serif" w:hAnsi="Times New Roman;serif"/>
          <w:b w:val="false"/>
          <w:color w:val="000000"/>
          <w:sz w:val="18"/>
        </w:rPr>
      </w:pPr>
      <w:r>
        <w:rPr>
          <w:rFonts w:ascii="Times New Roman;serif" w:hAnsi="Times New Roman;serif"/>
          <w:b w:val="false"/>
          <w:color w:val="000000"/>
          <w:sz w:val="18"/>
        </w:rPr>
        <w:t>On June 25, 2025, the Company was notified that its California HMO plan had been selected for an audit of Medicare Advantage contract-specific risk adjustment data validation (“RADV”) with respect to payment year 2019. CMS conducts RADV audits in order to validate the coding practices of and supporting documentation maintained by health care providers and such audits may result in retrospective adjustments to payments made to the Company’s health plans. Under CMS’s final rule issued in 2023, CMS announced its intent to apply a revised methodology, including extrapolated audit findings to estimate contract-wide overpayments and without application of the previously employed “fee-for-service adjuster” that accounted for the error rate in the original Medicare data that CMS used to develop the risk adjustment model.  Additionally, in May 2025, CMS announced a significant expansion to its RADV audit program, stating, among other things, that it intended to conduct RADV audits with extrapolation on all eligible MA plans on an annual basis and that it would accelerate the timetable for clearing its backlog of audits with respect to payment years 2018-24. However, on September 25, 2025, a Federal District Court in Texas vacated CMS’s final rule regarding extrapolation of results of RADV audits for payment years beginning with payment year 2018. As of December 31, 2025, the Company is in the process of collecting and reviewing medical records with respect to the member cohort selected for the RADV audit. The Company is continuing to monitor developments with respect to these audits and continuing to assess their potential impact.</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Purchase Obligations</w:t>
      </w:r>
    </w:p>
    <w:p>
      <w:pPr>
        <w:pStyle w:val="TextBody"/>
        <w:bidi w:val="0"/>
        <w:spacing w:lineRule="auto" w:line="288" w:before="120" w:after="200"/>
        <w:jc w:val="left"/>
        <w:rPr>
          <w:rFonts w:ascii="Times New Roman;serif" w:hAnsi="Times New Roman;serif"/>
          <w:b w:val="false"/>
          <w:color w:val="000000"/>
          <w:sz w:val="18"/>
        </w:rPr>
      </w:pPr>
      <w:r>
        <w:rPr>
          <w:rFonts w:ascii="Times New Roman;serif" w:hAnsi="Times New Roman;serif"/>
          <w:b w:val="false"/>
          <w:color w:val="000000"/>
          <w:sz w:val="18"/>
        </w:rPr>
        <w:t>We have agreements for goods and services which include fixed, minimum and estimated payments under existing contractual obligations that are legally enforceable and binding. These obligations include agreements that are cancellable with the payment of an early termination penalty and other funding commitments that require fixed or minimum levels of service to be purchased with a specific timing established.We have purchase obligation commitments of $14,253 in 2026, $13,585 in 2027, $12,975 in 2028, $6,075 in 2029, and $1,478 in 2030. Purchase obligations exclude agreements that are cancellable without penalty.</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Professional Liability Insurance</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We maintain coverage for professional liability, errors and omissions, directors and officers, employment practices liability insurance, and worker’s compensation. The professional liability insurance policy is claims based while the other insurance policies are occurrence based. Such policies provide coverage for our employees, certain covered physicians, loss of income due to potential business interruption, and possible destruction or theft of assets. There have not been any reductions in coverage nor have there been any claims, which have exceeded such coverage(s) for the year ended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1445"/>
                <wp:effectExtent l="0" t="0" r="0" b="0"/>
                <wp:wrapNone/>
                <wp:docPr id="98" name="Frame9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95</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Medical Reinsurance (Stop-Loss insurance)</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utilize medical insurance (or stop-loss agreements) to limit excess losses on individual members. Under the terms of the stop-loss agreements, we are reimbursed for certain proportions of the cost of each member’s medical expenses in excess of a specified deductible in a coverage period, limited to $2,000 in aggregate per member per coverage period. In 2025, all of our markets were covered by stop-loss agreements which included dates of service prior to October 1, 2025, and we have until November 1, 2026, to submit claims to the reinsurance carrier for reimbursement.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We began a new policy on October 1, 2025, which will cover dates of service through September 30, 2026, and will allow us to submit claims for reimbursement until November 1, 2027.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Reinsurance premiums are included in medical costs in the consolidated statement of operations.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In the event that the third-party with whom we have contracted is unable to meet its obligations under the stop-loss agreement, we remain 100% liable for paying such claim amounts submitted. </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Related Parties</w:t>
      </w:r>
    </w:p>
    <w:p>
      <w:pPr>
        <w:pStyle w:val="TextBody"/>
        <w:bidi w:val="0"/>
        <w:spacing w:lineRule="auto" w:line="288" w:before="20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Joseph Konowiecki currently serves as Chairman of the Board and previously served in an executive role with the Company. Mr. Konowiecki’s son is a partner in the law firm of McDermott Will &amp; Emery LLP (“MWE”), which provided legal services to the Company and our subsidiaries during the fiscal years ended December 31, 2025, 2024 and 2023 and continues to do so. For providing these services, MWE received fees related to the fiscal years ended December 31, 2025, 2024 and 2023 of approximately $429, $272 and $518, respectively. Mr. Konowiecki’s son does not receive any direct compensation from the fees paid to MWE by us, and the fees paid by us to MWE in fiscal 2025 were considered immaterial to the service provider.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15. Condensed Financial Information (Parent Company Only)</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Certain subsidiaries are subject to state regulatory restrictions which set minimum capitalization requirements and require us to maintain certain deposits in the form of cash, certificates of deposit and Treasury bills as protection in the event of insolvency. Refer to Note 11 Regulatory Requirements and Restricted Funds for more information. Since the restricted net assets of our subsidiaries exceed 25% of our consolidated net assets, the accompanying condensed parent company financial statements have been prepared in accordance with Rule 12-04, Schedule 1 of Regulation S-X. This information should be read in conjunction with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1445"/>
                <wp:effectExtent l="0" t="0" r="0" b="0"/>
                <wp:wrapNone/>
                <wp:docPr id="99" name="Frame9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96</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Alignment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tbl>
      <w:tblPr>
        <w:tblW w:w="10205" w:type="dxa"/>
        <w:jc w:val="left"/>
        <w:tblInd w:w="0" w:type="dxa"/>
        <w:tblLayout w:type="fixed"/>
        <w:tblCellMar>
          <w:top w:w="28" w:type="dxa"/>
          <w:left w:w="28" w:type="dxa"/>
          <w:bottom w:w="28" w:type="dxa"/>
          <w:right w:w="28" w:type="dxa"/>
        </w:tblCellMar>
      </w:tblPr>
      <w:tblGrid>
        <w:gridCol w:w="2892"/>
        <w:gridCol w:w="2395"/>
        <w:gridCol w:w="2419"/>
        <w:gridCol w:w="200"/>
        <w:gridCol w:w="751"/>
        <w:gridCol w:w="111"/>
        <w:gridCol w:w="109"/>
        <w:gridCol w:w="109"/>
        <w:gridCol w:w="109"/>
        <w:gridCol w:w="199"/>
        <w:gridCol w:w="751"/>
        <w:gridCol w:w="160"/>
      </w:tblGrid>
      <w:tr>
        <w:trPr/>
        <w:tc>
          <w:tcPr>
            <w:tcW w:w="2892"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subsidiary</w:t>
            </w:r>
          </w:p>
        </w:tc>
        <w:tc>
          <w:tcPr>
            <w:tcW w:w="2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520,283 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425,033 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520,283 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425,033 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Due to subsidiary</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debt issuance costs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323,176 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321,428 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341,006 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325,182 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14)</w:t>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100,000,000 shares authorized as of December 31, 2025 and 2024, respectively; no shares issued and outstanding as of December 31, 2025 and 2024</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1,000,000,000 shares authorized as of December 31, 2025 and December 31, 2024; 204,153,619 and 191,778,639 shares issued and outstanding as of December 31, 2025 and December 31, 2024, respectively</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1,188,089 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1,107,952 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(1,009,017)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(1,008,293)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Alignment Healthcare, Inc. stockholders' equity</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179,277 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99,851 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520,283 </w:t>
            </w:r>
          </w:p>
        </w:tc>
        <w:tc>
          <w:tcPr>
            <w:tcW w:w="1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425,033 </w:t>
            </w:r>
          </w:p>
        </w:tc>
        <w:tc>
          <w:tcPr>
            <w:tcW w:w="1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Alignment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w:t>
      </w:r>
    </w:p>
    <w:tbl>
      <w:tblPr>
        <w:tblW w:w="7524" w:type="dxa"/>
        <w:jc w:val="left"/>
        <w:tblInd w:w="0" w:type="dxa"/>
        <w:tblLayout w:type="fixed"/>
        <w:tblCellMar>
          <w:top w:w="28" w:type="dxa"/>
          <w:left w:w="28" w:type="dxa"/>
          <w:bottom w:w="28" w:type="dxa"/>
          <w:right w:w="28" w:type="dxa"/>
        </w:tblCellMar>
      </w:tblPr>
      <w:tblGrid>
        <w:gridCol w:w="1366"/>
        <w:gridCol w:w="1196"/>
        <w:gridCol w:w="1202"/>
        <w:gridCol w:w="204"/>
        <w:gridCol w:w="516"/>
        <w:gridCol w:w="109"/>
        <w:gridCol w:w="109"/>
        <w:gridCol w:w="109"/>
        <w:gridCol w:w="109"/>
        <w:gridCol w:w="196"/>
        <w:gridCol w:w="811"/>
        <w:gridCol w:w="109"/>
        <w:gridCol w:w="109"/>
        <w:gridCol w:w="109"/>
        <w:gridCol w:w="109"/>
        <w:gridCol w:w="196"/>
        <w:gridCol w:w="811"/>
        <w:gridCol w:w="154"/>
      </w:tblGrid>
      <w:tr>
        <w:trPr/>
        <w:tc>
          <w:tcPr>
            <w:tcW w:w="136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6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of Parent Company</w:t>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Subsidiary's Net income (loss)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(147,685)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(128,071)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(148,173)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Alignment Healthcare, Inc.</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(128,035)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(148,017)</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1445"/>
                <wp:effectExtent l="0" t="0" r="0" b="0"/>
                <wp:wrapNone/>
                <wp:docPr id="100" name="Frame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97</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Alignment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tbl>
      <w:tblPr>
        <w:tblW w:w="9192" w:type="dxa"/>
        <w:jc w:val="left"/>
        <w:tblInd w:w="0" w:type="dxa"/>
        <w:tblLayout w:type="fixed"/>
        <w:tblCellMar>
          <w:top w:w="28" w:type="dxa"/>
          <w:left w:w="28" w:type="dxa"/>
          <w:bottom w:w="28" w:type="dxa"/>
          <w:right w:w="28" w:type="dxa"/>
        </w:tblCellMar>
      </w:tblPr>
      <w:tblGrid>
        <w:gridCol w:w="1923"/>
        <w:gridCol w:w="1692"/>
        <w:gridCol w:w="1695"/>
        <w:gridCol w:w="196"/>
        <w:gridCol w:w="646"/>
        <w:gridCol w:w="109"/>
        <w:gridCol w:w="109"/>
        <w:gridCol w:w="109"/>
        <w:gridCol w:w="109"/>
        <w:gridCol w:w="196"/>
        <w:gridCol w:w="811"/>
        <w:gridCol w:w="109"/>
        <w:gridCol w:w="109"/>
        <w:gridCol w:w="109"/>
        <w:gridCol w:w="109"/>
        <w:gridCol w:w="196"/>
        <w:gridCol w:w="811"/>
        <w:gridCol w:w="154"/>
      </w:tblGrid>
      <w:tr>
        <w:trPr/>
        <w:tc>
          <w:tcPr>
            <w:tcW w:w="1923"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8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Alignment Healthcare, Inc.</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(148,017)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loss of subsidiary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Due to subsidiary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Subsidiary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(321,525)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(321,525)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net of restricted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exercised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321,525 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Supplemental non-cash financing and investing activities:</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 of equity to subsidiary related to equity-based compensation</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18"/>
        </w:rPr>
      </w:pPr>
      <w:r>
        <w:rPr>
          <w:rFonts w:ascii="Times New Roman;serif" w:hAnsi="Times New Roman;serif"/>
          <w:b w:val="false"/>
          <w:i/>
          <w:color w:val="000000"/>
          <w:sz w:val="18"/>
        </w:rPr>
        <w:t>Basis of Presentation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Alignment Healthcare, Inc's. (the "Parent") parent company financial information has been derived from our consolidated financial statements and have been presented on a "parent-only" basis. Under a parent-only presentation, the investment in subsidiaries is presented under the equity method of accounting. The accounting policies for the parent company are the same as those described in Note 2 Summary of Significant Accounting Policies. The Parent is a holding company with no material operations of its own that conducts substantially all of its activities through its subsidiaries. The Parent has no cash and, as a result, expenses and obligations of the Parent are allocated to and paid by its subsidiaries. The accompanying condensed financial information of the Parent should be read in conjunction with the consolidated financial statements and accompanying notes.</w:t>
      </w:r>
    </w:p>
    <w:p>
      <w:pPr>
        <w:pStyle w:val="TextBody"/>
        <w:bidi w:val="0"/>
        <w:spacing w:lineRule="auto" w:line="288" w:before="200" w:after="283"/>
        <w:jc w:val="left"/>
        <w:rPr>
          <w:rFonts w:ascii="Times New Roman;serif" w:hAnsi="Times New Roman;serif"/>
          <w:b w:val="false"/>
          <w:i/>
          <w:color w:val="000000"/>
          <w:sz w:val="18"/>
        </w:rPr>
      </w:pPr>
      <w:r>
        <w:rPr>
          <w:rFonts w:ascii="Times New Roman;serif" w:hAnsi="Times New Roman;serif"/>
          <w:b w:val="false"/>
          <w:i/>
          <w:color w:val="000000"/>
          <w:sz w:val="18"/>
        </w:rPr>
        <w:t>Investment in Subsidiary</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For purposes of these condensed financial statements, our wholly owned subsidiaries are recorded using the equity method of accounting. Investment in subsidiary represents capital contributions to subsidiaries and return of capital from our subsidiaries to us.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Parent and its subsidiaries are included in the consolidated federal and state income tax returns filed by the Parent. Income taxes are allocated to each subsidiary in an amount equivalent to the amount which would be recognized by the subsidiary if it filed a separate tax return. </w:t>
      </w:r>
    </w:p>
    <w:p>
      <w:pPr>
        <w:pStyle w:val="TextBody"/>
        <w:bidi w:val="0"/>
        <w:spacing w:lineRule="auto" w:line="288" w:before="200" w:after="283"/>
        <w:jc w:val="left"/>
        <w:rPr>
          <w:rFonts w:ascii="Times New Roman;serif" w:hAnsi="Times New Roman;serif"/>
          <w:b w:val="false"/>
          <w:i/>
          <w:color w:val="000000"/>
          <w:sz w:val="18"/>
        </w:rPr>
      </w:pPr>
      <w:r>
        <w:rPr>
          <w:rFonts w:ascii="Times New Roman;serif" w:hAnsi="Times New Roman;serif"/>
          <w:b w:val="false"/>
          <w:i/>
          <w:color w:val="000000"/>
          <w:sz w:val="18"/>
        </w:rPr>
        <w:t>Commitments and Contingencies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Alignment Healthcare, Inc., along with certain other subsidiaries, is a guarantor of the Term Loans discussed in Note 8 Long-Term Debt. The Terms Loans were repaid in full in November 2024.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 a summary of additional commitments and contingencies, see Note 14 Commitments and Contingencies. </w:t>
      </w:r>
    </w:p>
    <w:p>
      <w:pPr>
        <w:pStyle w:val="TextBody"/>
        <w:bidi w:val="0"/>
        <w:spacing w:lineRule="auto" w:line="288" w:before="200" w:after="283"/>
        <w:jc w:val="left"/>
        <w:rPr>
          <w:rFonts w:ascii="Times New Roman;serif" w:hAnsi="Times New Roman;serif"/>
          <w:b w:val="false"/>
          <w:i/>
          <w:color w:val="000000"/>
          <w:sz w:val="18"/>
        </w:rPr>
      </w:pPr>
      <w:r>
        <w:rPr>
          <w:rFonts w:ascii="Times New Roman;serif" w:hAnsi="Times New Roman;serif"/>
          <w:b w:val="false"/>
          <w:i/>
          <w:color w:val="000000"/>
          <w:sz w:val="18"/>
        </w:rPr>
        <w:t>Long-Term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4605" cy="14605"/>
                <wp:effectExtent l="0" t="0" r="0" b="0"/>
                <wp:wrapNone/>
                <wp:docPr id="101" name="Frame10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98</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On November 22, 2024, Alignment Healthcare Inc. completed the sale of $330,000 of its 4.25% Convertible Senior Notes. See Note 8 Long-Term Debt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9. Changes in and Disagreements with Accountants on Accounting and Financial Disclosure.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9A. Controls and Procedures.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Evaluation of Disclosure Controls and Procedures: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that these disclosure controls and procedures were effective at the reasonable assurance level as of December 31, 2025. </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In designing and evaluating our disclosure controls and procedures,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Management’s Annual Report on Internal Control Over Financial Reporting</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Our management is responsible for establishing and maintaining adequate internal control over financial reporting, as defined in Rules 13a-15(f) and 15d-15(f) of the Exchange Act. Internal control over financial reporting is a process designed to provide reasonable assurance regarding the reliability of financial reporting and the preparation of financial statements for external reporting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or that the degree of compliance with the policies or procedures may deteriorate.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Our management, including our Chief Executive Officer and Chief Financial Officer, conducted an evaluation of the effectiveness of our internal control over financial reporting as of December 31, 2025 based on criteria established in Internal Control-Integrated Framework issued by the Committee of Sponsoring Organizations of the Treadway Commission in 2013. Based on the results of this evaluation, our management concluded that our internal control over financial reporting was effective as of December 31, 2025.</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effectiveness of our internal control over financial reporting as of December 31, 2025 has been audited by our independent registered public accounting firm, as stated in their attestation report, which is included herein.</w:t>
      </w:r>
    </w:p>
    <w:p>
      <w:pPr>
        <w:pStyle w:val="TextBody"/>
        <w:bidi w:val="0"/>
        <w:spacing w:lineRule="auto" w:line="288" w:before="200" w:after="283"/>
        <w:jc w:val="left"/>
        <w:rPr>
          <w:rFonts w:ascii="Times New Roman;serif" w:hAnsi="Times New Roman;serif"/>
          <w:b/>
          <w:i/>
          <w:color w:val="000000"/>
          <w:sz w:val="18"/>
        </w:rPr>
      </w:pPr>
      <w:r>
        <w:rPr>
          <w:rFonts w:ascii="Times New Roman;serif" w:hAnsi="Times New Roman;serif"/>
          <w:b/>
          <w:i/>
          <w:color w:val="000000"/>
          <w:sz w:val="18"/>
        </w:rPr>
        <w:t>Changes to our Internal Controls over Financial Reporting:</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There were no material changes in our internal control over financial reporting during the year ended December 31, 2025 that have materially affected, or are reasonably likely to materially affect, our internal control over financial reporting. The majority of our work force works in a hybrid-remote fashion. We have not identified any impact in our internal control over financial reporting as a result of this working environment, in part because our internal control over financial reporting was designed to operate in a remote working environment. We are continually monitoring and assessing our remote working arrangements to determine any potential impact on the design and operating effectiveness of our internal controls over financial reporting</w:t>
      </w:r>
    </w:p>
    <w:p>
      <w:pPr>
        <w:pStyle w:val="TextBody"/>
        <w:bidi w:val="0"/>
        <w:spacing w:before="200" w:after="283"/>
        <w:jc w:val="left"/>
        <w:rPr/>
      </w:pPr>
      <w:r>
        <w:rPr/>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REPORT OF INDEPENDENT REGISTERED PUBLIC ACCOUNTING FIRM</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To the stockholders and the Board of Directors of Alignment Healthcare, Inc.:</w:t>
      </w:r>
    </w:p>
    <w:p>
      <w:pPr>
        <w:pStyle w:val="TextBody"/>
        <w:bidi w:val="0"/>
        <w:spacing w:lineRule="auto" w:line="288" w:before="200" w:after="200"/>
        <w:jc w:val="left"/>
        <w:rPr>
          <w:rFonts w:ascii="Times New Roman;serif" w:hAnsi="Times New Roman;serif"/>
          <w:b/>
          <w:color w:val="000000"/>
          <w:sz w:val="18"/>
        </w:rPr>
      </w:pPr>
      <w:r>
        <w:rPr>
          <w:rFonts w:ascii="Times New Roman;serif" w:hAnsi="Times New Roman;serif"/>
          <w:b/>
          <w:color w:val="000000"/>
          <w:sz w:val="18"/>
        </w:rPr>
        <w:t>Opinion on Internal Control over Financial Reporting</w:t>
      </w:r>
    </w:p>
    <w:p>
      <w:pPr>
        <w:pStyle w:val="TextBody"/>
        <w:bidi w:val="0"/>
        <w:spacing w:lineRule="auto" w:line="288" w:before="0" w:after="200"/>
        <w:jc w:val="left"/>
        <w:rPr/>
      </w:pPr>
      <w:r>
        <w:rPr>
          <w:rFonts w:ascii="Times New Roman;serif" w:hAnsi="Times New Roman;serif"/>
          <w:b w:val="false"/>
          <w:color w:val="000000"/>
          <w:sz w:val="18"/>
        </w:rPr>
        <w:t xml:space="preserve">We have audited the internal control over financial reporting of Alignment Healthcare, Inc. and subsidiaries (the "Company") as of December 31, 2025, based on criteria established in </w:t>
      </w:r>
      <w:r>
        <w:rPr>
          <w:rFonts w:ascii="Times New Roman;serif" w:hAnsi="Times New Roman;serif"/>
          <w:b w:val="false"/>
          <w:i/>
          <w:color w:val="000000"/>
          <w:sz w:val="18"/>
        </w:rPr>
        <w:t>Internal Control — Integrated Framework (2013)</w:t>
      </w:r>
      <w:r>
        <w:rPr>
          <w:color w:val="000000"/>
        </w:rPr>
        <w:t xml:space="preserve"> </w:t>
      </w:r>
      <w:r>
        <w:rPr>
          <w:rFonts w:ascii="Times New Roman;serif" w:hAnsi="Times New Roman;serif"/>
          <w:b w:val="false"/>
          <w:color w:val="000000"/>
          <w:sz w:val="18"/>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18"/>
        </w:rPr>
        <w:t>Internal Control — Integrated Framework (2013)</w:t>
      </w:r>
      <w:r>
        <w:rPr>
          <w:color w:val="000000"/>
        </w:rPr>
        <w:t xml:space="preserve"> </w:t>
      </w:r>
      <w:r>
        <w:rPr>
          <w:rFonts w:ascii="Times New Roman;serif" w:hAnsi="Times New Roman;serif"/>
          <w:b w:val="false"/>
          <w:color w:val="000000"/>
          <w:sz w:val="18"/>
        </w:rPr>
        <w:t>issued by COSO.</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have also audited, in accordance with the standards of the Public Company Accounting Oversight Board (United States) (PCAOB), the consolidated financial statements as of and for the year ended December 31, 2025, of the Company and our report dated February 26, 2026, expressed an unqualified opinion on those financial statements.</w:t>
      </w:r>
    </w:p>
    <w:p>
      <w:pPr>
        <w:pStyle w:val="TextBody"/>
        <w:bidi w:val="0"/>
        <w:spacing w:lineRule="auto" w:line="288" w:before="200" w:after="200"/>
        <w:jc w:val="left"/>
        <w:rPr>
          <w:rFonts w:ascii="Times New Roman;serif" w:hAnsi="Times New Roman;serif"/>
          <w:b/>
          <w:color w:val="000000"/>
          <w:sz w:val="18"/>
        </w:rPr>
      </w:pPr>
      <w:r>
        <w:rPr>
          <w:rFonts w:ascii="Times New Roman;serif" w:hAnsi="Times New Roman;serif"/>
          <w:b/>
          <w:color w:val="000000"/>
          <w:sz w:val="18"/>
        </w:rPr>
        <w:t>Basis for Opinion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1445"/>
                <wp:effectExtent l="0" t="0" r="0" b="0"/>
                <wp:wrapNone/>
                <wp:docPr id="102" name="Frame10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99</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00" w:after="200"/>
        <w:jc w:val="left"/>
        <w:rPr>
          <w:rFonts w:ascii="Times New Roman;serif" w:hAnsi="Times New Roman;serif"/>
          <w:b/>
          <w:color w:val="000000"/>
          <w:sz w:val="18"/>
        </w:rPr>
      </w:pPr>
      <w:r>
        <w:rPr>
          <w:rFonts w:ascii="Times New Roman;serif" w:hAnsi="Times New Roman;serif"/>
          <w:b/>
          <w:color w:val="000000"/>
          <w:sz w:val="18"/>
        </w:rPr>
        <w:t>Definition and Limitations of Internal Control over Financial Reporting</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/s/ Deloitte &amp; Touche LLP</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Costa Mesa, California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9B. Other Information.</w:t>
      </w:r>
    </w:p>
    <w:p>
      <w:pPr>
        <w:pStyle w:val="TextBody"/>
        <w:bidi w:val="0"/>
        <w:spacing w:lineRule="auto" w:line="288" w:before="200" w:after="200"/>
        <w:jc w:val="left"/>
        <w:rPr>
          <w:rFonts w:ascii="Times New Roman;serif" w:hAnsi="Times New Roman;serif"/>
          <w:b/>
          <w:i/>
          <w:color w:val="000000"/>
          <w:sz w:val="18"/>
        </w:rPr>
      </w:pPr>
      <w:r>
        <w:rPr>
          <w:rFonts w:ascii="Times New Roman;serif" w:hAnsi="Times New Roman;serif"/>
          <w:b/>
          <w:i/>
          <w:color w:val="000000"/>
          <w:sz w:val="18"/>
        </w:rPr>
        <w:t>Revolving Credit Facility</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On February 26, 2026, (the “Effective Date”), the Company, Alignment Healthcare USA, LLC, an indirect wholly owned subsidiary of the Company (the “Borrower”) and certain other subsidiaries of the Company (together with the Company and the Borrower, the “Borrower Parties”) entered into a Credit Agreement with Citibank, N.A., as administrative agent, and the lenders party thereto (the “Credit Agreement”). The Credit Agreement matures on February 26, 2029, and provides for a $200 million senior secured revolving credit facility (the “Credit Facility”), with sublimits of up to $20 million for the issuance of letters of credit and $5 million for swingline loans. Subject to meeting certain customary conditions, the Borrower may increase the commitments under the Credit Facility or establish one or more new term loan facilities by up to an amount equal to the greater of $50 million or 100% of the Borrower Parties’ Consolidated EBITDA (as defined in the Credit Agreement) for the most recently completed four fiscal quarters of the Borrower Parties for which financial statements have been delivered. </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Borrowings under the Credit Facility may be used for permitted acquisitions, working capital, the payment of fees, costs and expenses incurred in connection with the Credit Agreement and other general corporate purposes. The Borrower did not borrow any amounts under the Credit Facility as of the Effective Date.</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Loans under the Credit Facility will bear interest at a floating rate, which can be either, at the Borrower’s option, (a) Term SOFR (as defined in the Credit Agreement) plus an applicable margin that ranges from 2.00% to 2.50% per annum with respect to Term SOFR loans or (b) a Base Rate (as defined in the Credit Agreement) plus an applicable margin that ranges from 1.00% to 1.50% per annum with respect to Base Rate loans, based on the Borrower Parties’ consolidated senior secured leverage ratio, as calculated in accordance with the Credit Agreement. The Borrower is also required to pay certain fees in connection with the Credit Agreement, including commitment fees on a quarterly basis in respect of the unutilized portion of the commitments under the Credit Agreement and certain fees to each of the lenders upon the effectiveness of the Credit Agreement. The Borrower may voluntarily repay outstanding borrowings under the Credit Facility at any time, without premium or penalty.</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 xml:space="preserve">The Credit Agreement includes financial covenants that require the Borrower Parties to maintain, as of the last day of each fiscal quarter (commencing with the fiscal quarter ending June 30, 2026), (i) a ratio of senior secured indebtedness that is not subordinated in right of payment to the obligations under the Credit Agreement to Consolidated EBITDA (as defined in the Credit Agreement) for the period of four consecutive fiscal quarters ended on such date, of not more than 2.50 to 1.00 and (ii) Consolidated EBITDA for the period of four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1445"/>
                <wp:effectExtent l="0" t="0" r="0" b="0"/>
                <wp:wrapNone/>
                <wp:docPr id="103" name="Frame10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100</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consecutive fiscal quarters ended on such date, of amounts specified in the Credit Agreement starting from $60 million as of June 30, 2026, increasing to $70 million as of June 30, 2027, and $80 million as of June 30, 2028 and each fiscal quarter thereafter.</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Borrower’s obligations under the Credit Agreement are guaranteed by the Company and certain subsidiaries of the Company and secured by substantially all of the assets of the Borrower, the Company and such subsidiaries of the Company, subject to customary exceptions. None of the Company’s health plan subsidiaries or other regulated entities are guarantors under the Credit Agreement and the equity in such subsidiaries was not pledged. The Credit Agreement contains customary representations and warranties, as well as affirmative and negative covenants. Negative covenants include, among others, customary covenants that restrict the ability of the Company and its subsidiaries, without the approval of requisite lenders, to engage in certain fundamental transactions, incur debt and liens, enter into transactions with affiliates and make certain restricted payments and restricted investments, in each case, as set forth in the Credit Agreement and subject to certain thresholds and exceptions. The Credit Agreement also contains other customary covenants and events of default for secured credit facilities of this type. Upon an event of default that is not cured or waived within any applicable cure periods, in addition to other remedies that may be available to the lenders, the obligations under the Credit Agreement may be accelerated.</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foregoing does not constitute a complete summary of the terms of the Credit Agreement. The description of the terms of the Credit Agreement is qualified in its entirety by reference to such agreement, attached hereto as Exhibit 10.21 and incorporated herein by reference.</w:t>
      </w:r>
    </w:p>
    <w:p>
      <w:pPr>
        <w:pStyle w:val="TextBody"/>
        <w:bidi w:val="0"/>
        <w:spacing w:lineRule="auto" w:line="288" w:before="0" w:after="200"/>
        <w:jc w:val="left"/>
        <w:rPr>
          <w:rFonts w:ascii="Times New Roman;serif" w:hAnsi="Times New Roman;serif"/>
          <w:b/>
          <w:i/>
          <w:color w:val="000000"/>
          <w:sz w:val="18"/>
        </w:rPr>
      </w:pPr>
      <w:r>
        <w:rPr>
          <w:rFonts w:ascii="Times New Roman;serif" w:hAnsi="Times New Roman;serif"/>
          <w:b/>
          <w:i/>
          <w:color w:val="000000"/>
          <w:sz w:val="18"/>
        </w:rPr>
        <w:t>Kao Equity Award</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On February 24, 2026 (the “Grant Date”), the Board of Directors of the Company approved the grant of certain performance share units (“PSUs”) to John Kao, the Company’s Chief Executive Officer (the “PSU Award”), under the Company’s 2021 Equity Incentive Plan (the “Plan”). The PSU Award supplements the annual equity awards that Mr. Kao will continue to be eligible for in the future. In approving the award, the Board, with input from the Compensation Committee and its independent compensation consultant, considered the importance of retaining Mr. Kao, a recognized industry leader, while incentivizing long-term, sustained business performance and alignment with stockholder interests. The material terms of the PSU Award are described below. Capitalized terms that are not otherwise defined have the meanings set forth in the Plan.</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Except as set forth below, tranches of the PSU Award will be earned and vest only upon both (i) the achievement of pre-determined price per share goals (described below) over the period commencing on the Grant Date and ending on the fifth anniversary of the Grant Date (the “Measurement Period”); and (ii) Mr. Kao’s continued employment or service as the Company’s Chief Executive Officer through the third anniversary of the Grant Date, unless otherwise agreed upon (the “Service Requirement”).</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PSUs will become earned (“Earned PSUs”) in three tranches based on the achievement of the following volume-weighted average price per share goals during the Measurement Period (the “Stock Price Hurdles”):</w:t>
      </w:r>
    </w:p>
    <w:tbl>
      <w:tblPr>
        <w:tblW w:w="5864" w:type="dxa"/>
        <w:jc w:val="center"/>
        <w:tblInd w:w="0" w:type="dxa"/>
        <w:tblLayout w:type="fixed"/>
        <w:tblCellMar>
          <w:top w:w="28" w:type="dxa"/>
          <w:left w:w="28" w:type="dxa"/>
          <w:bottom w:w="28" w:type="dxa"/>
          <w:right w:w="28" w:type="dxa"/>
        </w:tblCellMar>
      </w:tblPr>
      <w:tblGrid>
        <w:gridCol w:w="738"/>
        <w:gridCol w:w="649"/>
        <w:gridCol w:w="652"/>
        <w:gridCol w:w="584"/>
        <w:gridCol w:w="584"/>
        <w:gridCol w:w="587"/>
        <w:gridCol w:w="606"/>
        <w:gridCol w:w="606"/>
        <w:gridCol w:w="858"/>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Price Per Share Goals</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Earned PSUs</w:t>
            </w:r>
          </w:p>
        </w:tc>
      </w:tr>
      <w:tr>
        <w:trPr/>
        <w:tc>
          <w:tcPr>
            <w:tcW w:w="2039" w:type="dxa"/>
            <w:gridSpan w:val="3"/>
            <w:tcBorders>
              <w:top w:val="single" w:sz="8" w:space="0" w:color="45B0E1"/>
              <w:left w:val="single" w:sz="8" w:space="0" w:color="45B0E1"/>
            </w:tcBorders>
            <w:shd w:fill="C1E4F5"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First Stock Price Hurdle</w:t>
            </w:r>
          </w:p>
        </w:tc>
        <w:tc>
          <w:tcPr>
            <w:tcW w:w="1755" w:type="dxa"/>
            <w:gridSpan w:val="3"/>
            <w:tcBorders>
              <w:top w:val="single" w:sz="8" w:space="0" w:color="45B0E1"/>
              <w:left w:val="single" w:sz="8" w:space="0" w:color="45B0E1"/>
            </w:tcBorders>
            <w:shd w:fill="C1E4F5"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$33.75</w:t>
            </w:r>
          </w:p>
        </w:tc>
        <w:tc>
          <w:tcPr>
            <w:tcW w:w="2070" w:type="dxa"/>
            <w:gridSpan w:val="3"/>
            <w:tcBorders>
              <w:top w:val="single" w:sz="8" w:space="0" w:color="45B0E1"/>
              <w:left w:val="single" w:sz="8" w:space="0" w:color="45B0E1"/>
              <w:right w:val="single" w:sz="8" w:space="0" w:color="45B0E1"/>
            </w:tcBorders>
            <w:shd w:fill="C1E4F5" w:val="clear"/>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333,333</w:t>
            </w:r>
          </w:p>
        </w:tc>
      </w:tr>
      <w:tr>
        <w:trPr/>
        <w:tc>
          <w:tcPr>
            <w:tcW w:w="2039" w:type="dxa"/>
            <w:gridSpan w:val="3"/>
            <w:tcBorders>
              <w:top w:val="single" w:sz="8" w:space="0" w:color="45B0E1"/>
              <w:left w:val="single" w:sz="8" w:space="0" w:color="45B0E1"/>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Second Stock Price Hurdle</w:t>
            </w:r>
          </w:p>
        </w:tc>
        <w:tc>
          <w:tcPr>
            <w:tcW w:w="1755" w:type="dxa"/>
            <w:gridSpan w:val="3"/>
            <w:tcBorders>
              <w:top w:val="single" w:sz="8" w:space="0" w:color="45B0E1"/>
              <w:left w:val="single" w:sz="8" w:space="0" w:color="45B0E1"/>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$44.00</w:t>
            </w:r>
          </w:p>
        </w:tc>
        <w:tc>
          <w:tcPr>
            <w:tcW w:w="2070" w:type="dxa"/>
            <w:gridSpan w:val="3"/>
            <w:tcBorders>
              <w:top w:val="single" w:sz="8" w:space="0" w:color="45B0E1"/>
              <w:left w:val="single" w:sz="8" w:space="0" w:color="45B0E1"/>
              <w:right w:val="single" w:sz="8" w:space="0" w:color="45B0E1"/>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333,333</w:t>
            </w:r>
          </w:p>
        </w:tc>
      </w:tr>
      <w:tr>
        <w:trPr/>
        <w:tc>
          <w:tcPr>
            <w:tcW w:w="2039" w:type="dxa"/>
            <w:gridSpan w:val="3"/>
            <w:tcBorders>
              <w:top w:val="single" w:sz="8" w:space="0" w:color="45B0E1"/>
              <w:left w:val="single" w:sz="8" w:space="0" w:color="45B0E1"/>
              <w:bottom w:val="single" w:sz="8" w:space="0" w:color="45B0E1"/>
            </w:tcBorders>
            <w:shd w:fill="C1E4F5"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Third Stock Price Hurdle</w:t>
            </w:r>
          </w:p>
        </w:tc>
        <w:tc>
          <w:tcPr>
            <w:tcW w:w="1755" w:type="dxa"/>
            <w:gridSpan w:val="3"/>
            <w:tcBorders>
              <w:top w:val="single" w:sz="8" w:space="0" w:color="45B0E1"/>
              <w:left w:val="single" w:sz="8" w:space="0" w:color="45B0E1"/>
              <w:bottom w:val="single" w:sz="8" w:space="0" w:color="45B0E1"/>
            </w:tcBorders>
            <w:shd w:fill="C1E4F5" w:val="clear"/>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$55.25</w:t>
            </w:r>
          </w:p>
        </w:tc>
        <w:tc>
          <w:tcPr>
            <w:tcW w:w="2070" w:type="dxa"/>
            <w:gridSpan w:val="3"/>
            <w:tcBorders>
              <w:top w:val="single" w:sz="8" w:space="0" w:color="45B0E1"/>
              <w:left w:val="single" w:sz="8" w:space="0" w:color="45B0E1"/>
              <w:bottom w:val="single" w:sz="8" w:space="0" w:color="45B0E1"/>
              <w:right w:val="single" w:sz="8" w:space="0" w:color="45B0E1"/>
            </w:tcBorders>
            <w:shd w:fill="C1E4F5" w:val="clear"/>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333,334</w:t>
            </w:r>
          </w:p>
        </w:tc>
      </w:tr>
    </w:tbl>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A Stock Price Hurdle is achieved if the volume-weighted average price per share over any 30-consecutive-trading-day period during the Measurement Period equals or exceeds the applicable price. Any tranche of PSUs that Mr. Kao has earned will become vested upon the later of (i) the date on which the applicable Stock Price Hurdle has been achieved or (ii) the date on which the Service Requirement has been met, subject to his continued service though such later date. Except as described below, PSUs for which the relevant Stock Price Hurdle has not been achieved by the end of the Measurement Period will be forfeited.</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If, during the Measurement Period, Mr. Kao’s employment is terminated by the Company other than for Cause or is terminated by Mr. Kao for Good Reason (each a “Qualifying Termination”), or in the event of Mr. Kao’s death or permanent disability during the Measurement Period, certain additional provisions shall apply as follows: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 xml:space="preserve">Any tranche of PSUs for which the applicable Stock Price Hurdle has been achieved shall be deemed Earned PSUs (i.e., the Service Requirement shall be waived).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If Mr. Kao’s employment has terminated due to his death or permanent disability and the First Stock Price Hurdle has previously been achieved, Mr. Kao will receive additional Earned PSUs equal to the prorated level of achievement of the Second Stock Price Hurdle and/or Third Stock Price Hurdle, as applicable, calculated by straight-line interpolation between the highest previously achieved Stock Price Hurdle and the 30-day volume-weighted average stock price as of immediately prior to the date of death or permanent disability.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 xml:space="preserve">In the event of a Qualifying Termination (but not upon death or permanent disability), the PSU Award shall remain outstanding for an applicable “tail period” during which Stock Price Hurdles may be achieved, as follows: (a) If Mr. Kao terminates his employment for Good Reason, the tail period will run from the date of termination to the later of (i)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1445"/>
                <wp:effectExtent l="0" t="0" r="0" b="0"/>
                <wp:wrapNone/>
                <wp:docPr id="104" name="Frame10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00"/>
        <w:jc w:val="left"/>
        <w:rPr/>
      </w:pPr>
      <w:r>
        <w:rPr>
          <w:rFonts w:ascii="Times New Roman;serif" w:hAnsi="Times New Roman;serif"/>
          <w:b w:val="false"/>
          <w:color w:val="000000"/>
          <w:sz w:val="18"/>
        </w:rPr>
        <w:t>expiration of the six-month period following termination or (ii) the first July 31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that occurs following the termination; and (b) if the Company terminates Mr. Kao’s employment other than for Cause, the tail period will run from the date of termination to the second July 31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that occurs following the termination; provided, however, that the tail period may not run beyond the expiration of the Measurement Period. Any unearned PSUs at the expiration of the tail period shall be forfeited. If Change of Control occurs during the tail period, the treatment described below shall apply.</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Except as set forth above, any Separation of Service, including in the event of any termination that is not a Qualifying Termination (such as termination for Cause), shall result in the forfeiture of any unearned PSUs.</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In the event of the closing of a Change in Control prior to the end of the Measurement Period (including during any applicable tail period), the Service Requirement shall be waived (if then applicable) and the following terms will apply: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If the First Stock Price Hurdle has not yet been achieved upon or in connection with the Change in Control, but the stock price at or implied by the Change in Control exceeds the Company’s closing stock price on Grant Date, then the tranche of PSUs associated with the First Stock Price Hurdle will vest. The remaining tranches shall be forfeited.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If the First Stock Price Hurdle and/or Second Stock Price Hurdle has been achieved upon or in connection with the Change in Control, then Mr. Kao will receive additional Earned PSUs equal to the prorated level achievement of the next applicable Stock Price Hurdle, calculated by straight-line interpolation between the highest previously achieved Stock Price Hurdle and the stock price at or implied by the Change in Control. Any remaining portion of the PSU Award will be forfeited.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18"/>
        </w:rPr>
        <w:t>If all Stock Price Hurdles have been achieved upon or in connection with the Change in Control, the PSU Award will fully vest upon the closing date.</w:t>
      </w:r>
    </w:p>
    <w:p>
      <w:pPr>
        <w:pStyle w:val="TextBody"/>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The following summary of the PSU Award is not a complete description of all of the terms and conditions of the PSUs, and is qualified in its entirety by reference to the full text of the grant agreement for the PSU Award, a copy of which is filed as Exhibit 10.18 and is incorporated by reference in this Annual Report on Form 10-K.</w:t>
      </w:r>
    </w:p>
    <w:p>
      <w:pPr>
        <w:pStyle w:val="TextBody"/>
        <w:bidi w:val="0"/>
        <w:spacing w:lineRule="auto" w:line="288" w:before="200" w:after="180"/>
        <w:jc w:val="left"/>
        <w:rPr>
          <w:rFonts w:ascii="Times New Roman;serif" w:hAnsi="Times New Roman;serif"/>
          <w:b/>
          <w:i/>
          <w:color w:val="000000"/>
          <w:sz w:val="18"/>
        </w:rPr>
      </w:pPr>
      <w:r>
        <w:rPr>
          <w:rFonts w:ascii="Times New Roman;serif" w:hAnsi="Times New Roman;serif"/>
          <w:b/>
          <w:i/>
          <w:color w:val="000000"/>
          <w:sz w:val="18"/>
        </w:rPr>
        <w:t>Rule 10b5-1 Plans</w:t>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During the fiscal quarter ended December 31, 2025, our executive officers and directors adopted the following trading arrangements that are intended to satisfy the affirmative defense of Rule 10b5-1(c):</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26"/>
        <w:gridCol w:w="688"/>
        <w:gridCol w:w="697"/>
        <w:gridCol w:w="453"/>
        <w:gridCol w:w="453"/>
        <w:gridCol w:w="455"/>
        <w:gridCol w:w="528"/>
        <w:gridCol w:w="528"/>
        <w:gridCol w:w="530"/>
        <w:gridCol w:w="849"/>
        <w:gridCol w:w="849"/>
        <w:gridCol w:w="851"/>
        <w:gridCol w:w="728"/>
        <w:gridCol w:w="728"/>
        <w:gridCol w:w="1042"/>
      </w:tblGrid>
      <w:tr>
        <w:trPr/>
        <w:tc>
          <w:tcPr>
            <w:tcW w:w="82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22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and Title</w:t>
            </w:r>
          </w:p>
        </w:tc>
        <w:tc>
          <w:tcPr>
            <w:tcW w:w="13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of Adoption</w:t>
            </w:r>
          </w:p>
        </w:tc>
        <w:tc>
          <w:tcPr>
            <w:tcW w:w="1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of Termination</w:t>
            </w:r>
          </w:p>
        </w:tc>
        <w:tc>
          <w:tcPr>
            <w:tcW w:w="25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Duration of Trading Arrangement</w:t>
            </w:r>
          </w:p>
        </w:tc>
        <w:tc>
          <w:tcPr>
            <w:tcW w:w="24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18"/>
              </w:rPr>
              <w:t>Number of Securities to be Sold</w:t>
            </w:r>
            <w:r>
              <w:rPr>
                <w:rFonts w:ascii="Times New Roman;serif" w:hAnsi="Times New Roman;serif"/>
                <w:b/>
                <w:color w:val="000000"/>
                <w:sz w:val="12"/>
              </w:rPr>
              <w:t>(1)</w:t>
            </w:r>
          </w:p>
        </w:tc>
      </w:tr>
      <w:tr>
        <w:trPr/>
        <w:tc>
          <w:tcPr>
            <w:tcW w:w="22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John Kao, </w:t>
            </w:r>
          </w:p>
          <w:p>
            <w:pPr>
              <w:pStyle w:val="TableContents"/>
              <w:bidi w:val="0"/>
              <w:spacing w:lineRule="auto" w:line="240" w:before="0" w:after="0"/>
              <w:jc w:val="left"/>
              <w:rPr/>
            </w:pPr>
            <w:r>
              <w:rPr>
                <w:rFonts w:ascii="Times New Roman;serif" w:hAnsi="Times New Roman;serif"/>
                <w:b w:val="false"/>
                <w:color w:val="000000"/>
                <w:sz w:val="18"/>
              </w:rPr>
              <w:t>Chief Executive Officer</w:t>
            </w:r>
            <w:r>
              <w:rPr>
                <w:rFonts w:ascii="Times New Roman;serif" w:hAnsi="Times New Roman;serif"/>
                <w:b w:val="false"/>
                <w:color w:val="000000"/>
                <w:sz w:val="12"/>
              </w:rPr>
              <w:t>(2)</w:t>
            </w:r>
          </w:p>
        </w:tc>
        <w:tc>
          <w:tcPr>
            <w:tcW w:w="13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11/21/2025</w:t>
            </w:r>
          </w:p>
        </w:tc>
        <w:tc>
          <w:tcPr>
            <w:tcW w:w="1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25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3/23/2026 - 8/21/2026</w:t>
            </w:r>
          </w:p>
        </w:tc>
        <w:tc>
          <w:tcPr>
            <w:tcW w:w="24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1,858,000</w:t>
            </w:r>
          </w:p>
        </w:tc>
      </w:tr>
      <w:tr>
        <w:trPr/>
        <w:tc>
          <w:tcPr>
            <w:tcW w:w="22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Andreas Wagner,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Human Resources Officer</w:t>
            </w:r>
          </w:p>
        </w:tc>
        <w:tc>
          <w:tcPr>
            <w:tcW w:w="13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11/21/2025</w:t>
            </w:r>
          </w:p>
        </w:tc>
        <w:tc>
          <w:tcPr>
            <w:tcW w:w="15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25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2/20/2026 - 11/20/2026</w:t>
            </w:r>
          </w:p>
        </w:tc>
        <w:tc>
          <w:tcPr>
            <w:tcW w:w="249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66,958</w:t>
            </w:r>
          </w:p>
        </w:tc>
      </w:tr>
    </w:tbl>
    <w:p>
      <w:pPr>
        <w:pStyle w:val="TextBody"/>
        <w:bidi w:val="0"/>
        <w:spacing w:lineRule="auto" w:line="288" w:before="20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(1) Securities reported in this column include securities subject to limit orders and such orders may not fill if limit order conditions are not met. The actual number of shares sold under the plan will depend on the vesting of certain performance-based equity awards and the number of shares withheld or sold satisfy our income tax withholding obligations and may vary from the number provided herein. Number of performance share units included in plans assumes earned at target. </w:t>
      </w:r>
    </w:p>
    <w:p>
      <w:pPr>
        <w:pStyle w:val="TextBody"/>
        <w:bidi w:val="0"/>
        <w:spacing w:lineRule="auto" w:line="288" w:before="200" w:after="283"/>
        <w:jc w:val="left"/>
        <w:rPr>
          <w:rFonts w:ascii="Times New Roman;serif" w:hAnsi="Times New Roman;serif"/>
          <w:b w:val="false"/>
          <w:color w:val="000000"/>
          <w:sz w:val="14"/>
        </w:rPr>
      </w:pPr>
      <w:r>
        <w:rPr>
          <w:rFonts w:ascii="Times New Roman;serif" w:hAnsi="Times New Roman;serif"/>
          <w:b w:val="false"/>
          <w:color w:val="000000"/>
          <w:sz w:val="14"/>
        </w:rPr>
        <w:t>(2) Represents securities held by JEK Trust, dated February 8, 2021, of which Mr. Kao is the trustee.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9C. Disclosure Regarding Foreign Jurisdictions that Prevent Inspections.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1445"/>
                <wp:effectExtent l="0" t="0" r="0" b="0"/>
                <wp:wrapNone/>
                <wp:docPr id="105" name="Frame10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102</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10. Directors, Executive Officers and Corporate Governance.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information required by this Item will be included in our definitive proxy statement for the 2026 Annual Meeting of Stockholders under the headings “Election of Directors,” “Executive Officers,” “Commonly Asked Questions and Answers About the Annual Meeting,” and “Corporate Governance," and is incorporated herein by reference.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We have adopted a code of ethics and business conduct that applies to all employees, including our Chief Executive Officer (our principal executive officer) and Chief Financial Officer (our principal financial officer), and employees, as well as each member of our Board of Directors. The code of ethics and business conduct is available on our website at www.alignmenthealth.com under the Investor Relations section. We intend to satisfy any disclosure requirement under Item 5.05 of Form 8-K regarding an amendment to, or waiver from, a provision of the code of ethics by posting such information on our website, at the address specified above.</w:t>
      </w:r>
    </w:p>
    <w:p>
      <w:pPr>
        <w:pStyle w:val="TextBody"/>
        <w:bidi w:val="0"/>
        <w:spacing w:lineRule="auto" w:line="268" w:before="200" w:after="283"/>
        <w:jc w:val="left"/>
        <w:rPr>
          <w:rFonts w:ascii="Times New Roman;serif" w:hAnsi="Times New Roman;serif"/>
          <w:b w:val="false"/>
          <w:color w:val="000000"/>
          <w:sz w:val="18"/>
        </w:rPr>
      </w:pPr>
      <w:r>
        <w:rPr>
          <w:rFonts w:ascii="Times New Roman;serif" w:hAnsi="Times New Roman;serif"/>
          <w:b w:val="false"/>
          <w:color w:val="000000"/>
          <w:sz w:val="18"/>
        </w:rPr>
        <w:t>We maintain insider trading policies and procedures governing the purchase, sale, and/or other dispositions of our company’s securities by directors, officers, employees and other covered persons that we believe are reasonably designed to promote compliance with insider trading laws, rules, and regulations, as well as Nasdaq listing standards. A copy of our insider trading policy is filed as Exhibit 19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11. Executive Compensation.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information required by this Item will be included in our definitive proxy statement for the 2026 Annual Meeting of Stockholders under the headings "Compensation Discussion and Analysis" and "Executive and Director Compensation,"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12. Security Ownership of Certain Beneficial Owners and Management and Related Stockholder Matters.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information required by this Item will be included in our definitive proxy statement for the 2026 Annual Meeting of Stockholders under the heading "Security Ownership of Certain Beneficial Owners and Management,"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13. Certain Relationships and Related Transactions, and Director Independence.</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information required by this Item will be included in our definitive proxy statement for the 2026 Annual Meeting of Stockholders under the headings "Certain Relationships and Related Party Transactions" and "Corporate Governance"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14. Principal Accounting Fees and Services.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information required by this Item will be included in our definitive proxy statement for the 2026 Annual Meeting of Stockholders under the heading "Ratification of Appointment of Independent Registered Public Accounting Firm,"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1445"/>
                <wp:effectExtent l="0" t="0" r="0" b="0"/>
                <wp:wrapNone/>
                <wp:docPr id="106" name="Frame10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103</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15. Exhibits, Financial Statement Schedules.</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The following documents are filed as a part of this report:</w:t>
      </w:r>
    </w:p>
    <w:p>
      <w:pPr>
        <w:pStyle w:val="TextBody"/>
        <w:bidi w:val="0"/>
        <w:spacing w:lineRule="auto" w:line="288" w:before="200" w:after="283"/>
        <w:jc w:val="left"/>
        <w:rPr/>
      </w:pPr>
      <w:r>
        <w:rPr>
          <w:rFonts w:ascii="Times New Roman;serif" w:hAnsi="Times New Roman;serif"/>
          <w:b w:val="false"/>
          <w:color w:val="000000"/>
          <w:sz w:val="18"/>
        </w:rPr>
        <w:t xml:space="preserve">(a) (1) </w:t>
      </w:r>
      <w:r>
        <w:rPr>
          <w:rFonts w:ascii="Times New Roman;serif" w:hAnsi="Times New Roman;serif"/>
          <w:b w:val="false"/>
          <w:i/>
          <w:color w:val="000000"/>
          <w:sz w:val="18"/>
        </w:rPr>
        <w:t xml:space="preserve">Financial Statements: </w:t>
      </w:r>
      <w:r>
        <w:rPr>
          <w:rFonts w:ascii="Times New Roman;serif" w:hAnsi="Times New Roman;serif"/>
          <w:b w:val="false"/>
          <w:color w:val="000000"/>
          <w:sz w:val="18"/>
        </w:rPr>
        <w:t>The Financial Statements described in Part II. Item 8 and beginning on page 67 are filed as part of this Annual Report on Form 10-K.</w:t>
      </w:r>
    </w:p>
    <w:p>
      <w:pPr>
        <w:pStyle w:val="TextBody"/>
        <w:bidi w:val="0"/>
        <w:spacing w:lineRule="auto" w:line="288" w:before="200" w:after="283"/>
        <w:jc w:val="left"/>
        <w:rPr/>
      </w:pPr>
      <w:r>
        <w:rPr>
          <w:rFonts w:ascii="Times New Roman;serif" w:hAnsi="Times New Roman;serif"/>
          <w:b w:val="false"/>
          <w:color w:val="000000"/>
          <w:sz w:val="18"/>
        </w:rPr>
        <w:t xml:space="preserve">(a) (3) </w:t>
      </w:r>
      <w:r>
        <w:rPr>
          <w:rFonts w:ascii="Times New Roman;serif" w:hAnsi="Times New Roman;serif"/>
          <w:b w:val="false"/>
          <w:i/>
          <w:color w:val="000000"/>
          <w:sz w:val="18"/>
        </w:rPr>
        <w:t>Exhibits:</w:t>
      </w:r>
      <w:r>
        <w:rPr>
          <w:color w:val="000000"/>
        </w:rPr>
        <w:t xml:space="preserve"> </w:t>
      </w:r>
      <w:r>
        <w:rPr>
          <w:rFonts w:ascii="Times New Roman;serif" w:hAnsi="Times New Roman;serif"/>
          <w:b w:val="false"/>
          <w:color w:val="000000"/>
          <w:sz w:val="18"/>
        </w:rPr>
        <w:t>The following exhibits are filed or furnished with or incorporated by reference this Annual Report on Form 10-K.</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719"/>
        <w:gridCol w:w="2631"/>
        <w:gridCol w:w="376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8"/>
              </w:rPr>
            </w:pPr>
            <w:r>
              <w:rPr>
                <w:rFonts w:ascii="Times New Roman;serif" w:hAnsi="Times New Roman;serif"/>
                <w:b/>
                <w:color w:val="000000"/>
                <w:sz w:val="18"/>
              </w:rPr>
              <w:t>Exhibit</w:t>
            </w:r>
          </w:p>
          <w:p>
            <w:pPr>
              <w:pStyle w:val="TableContents"/>
              <w:bidi w:val="0"/>
              <w:spacing w:lineRule="auto" w:line="276" w:before="14"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14" w:after="283"/>
              <w:jc w:val="left"/>
              <w:rPr/>
            </w:pPr>
            <w:hyperlink r:id="rId3">
              <w:r>
                <w:rPr>
                  <w:rStyle w:val="InternetLink"/>
                  <w:rFonts w:ascii="Times New Roman;serif" w:hAnsi="Times New Roman;serif"/>
                  <w:b w:val="false"/>
                  <w:color w:val="0000FF"/>
                  <w:sz w:val="18"/>
                  <w:u w:val="single"/>
                </w:rPr>
                <w:t>Amended and Restated Certificate of Incorporation of Alignment Healthcare, Inc. (incorporated by reference to Exhibit 3.1 to the Company’s Form 8-K filed on March 30, 2021).</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4">
              <w:r>
                <w:rPr>
                  <w:rStyle w:val="InternetLink"/>
                  <w:rFonts w:ascii="Times New Roman;serif" w:hAnsi="Times New Roman;serif"/>
                  <w:b w:val="false"/>
                  <w:color w:val="0000FF"/>
                  <w:sz w:val="18"/>
                  <w:u w:val="single"/>
                </w:rPr>
                <w:t>Certificate of Amendment to Amended and Restated Certificate of Incorporation dated June 11, 2024 (incorporated by reference to Exhibit 99.1 to the Company’s Form 8-K filed on June 13, 2024)</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5">
              <w:r>
                <w:rPr>
                  <w:rStyle w:val="InternetLink"/>
                  <w:rFonts w:ascii="Times New Roman;serif" w:hAnsi="Times New Roman;serif"/>
                  <w:b w:val="false"/>
                  <w:color w:val="000080"/>
                  <w:sz w:val="18"/>
                  <w:u w:val="single"/>
                </w:rPr>
                <w:t>Amended and Restated Bylaws of Alignment Healthcare, Inc.</w:t>
              </w:r>
            </w:hyperlink>
            <w:hyperlink r:id="rId6">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0000FF"/>
                <w:sz w:val="18"/>
              </w:rPr>
              <w:t>(incorporated by reference to Exhibit 3.2 to the Company's Form 10-K filed on February 27, 2024).</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7">
              <w:r>
                <w:rPr>
                  <w:rStyle w:val="InternetLink"/>
                  <w:rFonts w:ascii="Times New Roman;serif" w:hAnsi="Times New Roman;serif"/>
                  <w:b w:val="false"/>
                  <w:color w:val="0000FF"/>
                  <w:sz w:val="18"/>
                  <w:u w:val="single"/>
                </w:rPr>
                <w:t>Registration Rights Agreement, dated as of March 30, 2021, among Alignment Healthcare, Inc. and the other signatories party thereto (incorporated by reference to Exhibit 4.1 to the Company’s Form 8-K filed on March 30, 2021).</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8">
              <w:r>
                <w:rPr>
                  <w:rStyle w:val="InternetLink"/>
                  <w:rFonts w:ascii="Times New Roman;serif" w:hAnsi="Times New Roman;serif"/>
                  <w:b w:val="false"/>
                  <w:color w:val="0000FF"/>
                  <w:sz w:val="18"/>
                  <w:u w:val="single"/>
                </w:rPr>
                <w:t>Description of Capital Stock (incorporated by reference to Exhibit 4.2 to the Company’s Form 10-K filed on March 3, 2022).</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9">
              <w:r>
                <w:rPr>
                  <w:rStyle w:val="InternetLink"/>
                  <w:rFonts w:ascii="Times New Roman;serif" w:hAnsi="Times New Roman;serif"/>
                  <w:b w:val="false"/>
                  <w:color w:val="0000FF"/>
                  <w:sz w:val="18"/>
                  <w:u w:val="single"/>
                </w:rPr>
                <w:t>Indenture dated November 22, 2024, by and among the Company, U.S. Bank Trust Company, National Association, as trustee, governing the 4.25% Convertible Senior Notes due 2029 (incorporated by reference to Exhibit 4.1 to the Company's Form 8-K filed on November 25, 2024).</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10">
              <w:r>
                <w:rPr>
                  <w:rStyle w:val="InternetLink"/>
                  <w:rFonts w:ascii="Times New Roman;serif" w:hAnsi="Times New Roman;serif"/>
                  <w:b w:val="false"/>
                  <w:color w:val="0000FF"/>
                  <w:sz w:val="18"/>
                  <w:u w:val="single"/>
                </w:rPr>
                <w:t>Form of Director and Officer Indemnification Agreement (incorporated by reference to Exhibit 10.6 to the Company’s Form S-1 filed on March 23, 2021).</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11">
              <w:r>
                <w:rPr>
                  <w:rStyle w:val="InternetLink"/>
                  <w:rFonts w:ascii="Times New Roman;serif" w:hAnsi="Times New Roman;serif"/>
                  <w:b w:val="false"/>
                  <w:color w:val="0000FF"/>
                  <w:sz w:val="18"/>
                  <w:u w:val="single"/>
                </w:rPr>
                <w:t>Alignment Healthcare Holdings, LLC Stock Appreciation Rights Plan (incorporated by reference to Exhibit 10.7 to the Company’s Form S-1 filed on March 3, 2021).</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12">
              <w:r>
                <w:rPr>
                  <w:rStyle w:val="InternetLink"/>
                  <w:rFonts w:ascii="Times New Roman;serif" w:hAnsi="Times New Roman;serif"/>
                  <w:b w:val="false"/>
                  <w:color w:val="0000FF"/>
                  <w:sz w:val="18"/>
                  <w:u w:val="single"/>
                </w:rPr>
                <w:t>Alignment Healthcare, Inc. 2021 Equity Incentive Plan (incorporated by reference to Exhibit 10.2 to the Company’s Form 8-K filed on March 30, 2021).</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13">
              <w:r>
                <w:rPr>
                  <w:rStyle w:val="InternetLink"/>
                  <w:rFonts w:ascii="Times New Roman;serif" w:hAnsi="Times New Roman;serif"/>
                  <w:b w:val="false"/>
                  <w:color w:val="000080"/>
                  <w:sz w:val="18"/>
                  <w:u w:val="single"/>
                </w:rPr>
                <w:t>Amended &amp; Restated Employment Agreement of John E. Kao dated March 26, 2021 (incorporated by reference to Exhibit 10.9 to the Company's Form 10-Q filed on May 17, 2021)</w:t>
              </w:r>
            </w:hyperlink>
            <w:r>
              <w:rPr>
                <w:rFonts w:ascii="Times New Roman;serif" w:hAnsi="Times New Roman;serif"/>
                <w:b w:val="false"/>
                <w:color w:val="0000FF"/>
                <w:sz w:val="18"/>
                <w:u w:val="single"/>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14">
              <w:r>
                <w:rPr>
                  <w:rStyle w:val="InternetLink"/>
                  <w:rFonts w:ascii="Times New Roman;serif" w:hAnsi="Times New Roman;serif"/>
                  <w:b w:val="false"/>
                  <w:color w:val="000080"/>
                  <w:sz w:val="18"/>
                  <w:u w:val="single"/>
                </w:rPr>
                <w:t>Amended &amp; Restated Employment Agreement of Dawn Maroney dated March 26, 2021 (incorporated by reference to Exhibit 10.10 to the Company's Form 10-Q filed on May 17, 2021)</w:t>
              </w:r>
            </w:hyperlink>
            <w:r>
              <w:rPr>
                <w:rFonts w:ascii="Times New Roman;serif" w:hAnsi="Times New Roman;serif"/>
                <w:b w:val="false"/>
                <w:color w:val="0000FF"/>
                <w:sz w:val="18"/>
                <w:u w:val="single"/>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15">
              <w:r>
                <w:rPr>
                  <w:rStyle w:val="InternetLink"/>
                  <w:rFonts w:ascii="Times New Roman;serif" w:hAnsi="Times New Roman;serif"/>
                  <w:b w:val="false"/>
                  <w:color w:val="000080"/>
                  <w:sz w:val="18"/>
                  <w:u w:val="single"/>
                </w:rPr>
                <w:t xml:space="preserve">Employment Agreement of </w:t>
              </w:r>
            </w:hyperlink>
            <w:hyperlink r:id="rId16">
              <w:r>
                <w:rPr>
                  <w:rStyle w:val="InternetLink"/>
                  <w:rFonts w:ascii="Times New Roman;serif" w:hAnsi="Times New Roman;serif"/>
                  <w:b w:val="false"/>
                  <w:color w:val="000080"/>
                  <w:sz w:val="18"/>
                  <w:u w:val="single"/>
                </w:rPr>
                <w:t>J</w:t>
              </w:r>
            </w:hyperlink>
            <w:hyperlink r:id="rId17">
              <w:r>
                <w:rPr>
                  <w:rStyle w:val="InternetLink"/>
                  <w:rFonts w:ascii="Times New Roman;serif" w:hAnsi="Times New Roman;serif"/>
                  <w:b w:val="false"/>
                  <w:color w:val="000080"/>
                  <w:sz w:val="18"/>
                  <w:u w:val="single"/>
                </w:rPr>
                <w:t xml:space="preserve">ames </w:t>
              </w:r>
            </w:hyperlink>
            <w:hyperlink r:id="rId18">
              <w:r>
                <w:rPr>
                  <w:rStyle w:val="InternetLink"/>
                  <w:rFonts w:ascii="Times New Roman;serif" w:hAnsi="Times New Roman;serif"/>
                  <w:b w:val="false"/>
                  <w:color w:val="000080"/>
                  <w:sz w:val="18"/>
                  <w:u w:val="single"/>
                </w:rPr>
                <w:t>Head</w:t>
              </w:r>
            </w:hyperlink>
            <w:hyperlink r:id="rId19">
              <w:r>
                <w:rPr>
                  <w:rStyle w:val="InternetLink"/>
                  <w:rFonts w:ascii="Times New Roman;serif" w:hAnsi="Times New Roman;serif"/>
                  <w:b w:val="false"/>
                  <w:color w:val="000080"/>
                  <w:sz w:val="18"/>
                  <w:u w:val="single"/>
                </w:rPr>
                <w:t xml:space="preserve"> dated </w:t>
              </w:r>
            </w:hyperlink>
            <w:hyperlink r:id="rId20">
              <w:r>
                <w:rPr>
                  <w:rStyle w:val="InternetLink"/>
                  <w:rFonts w:ascii="Times New Roman;serif" w:hAnsi="Times New Roman;serif"/>
                  <w:b w:val="false"/>
                  <w:color w:val="000080"/>
                  <w:sz w:val="18"/>
                  <w:u w:val="single"/>
                </w:rPr>
                <w:t>May 2, 2025</w:t>
              </w:r>
            </w:hyperlink>
            <w:hyperlink r:id="rId21">
              <w:r>
                <w:rPr>
                  <w:rStyle w:val="InternetLink"/>
                  <w:rFonts w:ascii="Times New Roman;serif" w:hAnsi="Times New Roman;serif"/>
                  <w:b w:val="false"/>
                  <w:color w:val="000080"/>
                  <w:sz w:val="18"/>
                  <w:u w:val="single"/>
                </w:rPr>
                <w:t xml:space="preserve"> (incorporated by reference to Exhibit 10.1</w:t>
              </w:r>
            </w:hyperlink>
            <w:hyperlink r:id="rId22">
              <w:r>
                <w:rPr>
                  <w:rStyle w:val="InternetLink"/>
                  <w:rFonts w:ascii="Times New Roman;serif" w:hAnsi="Times New Roman;serif"/>
                  <w:b w:val="false"/>
                  <w:color w:val="000080"/>
                  <w:sz w:val="18"/>
                  <w:u w:val="single"/>
                </w:rPr>
                <w:t xml:space="preserve"> to the Company's Form 10-Q filed on May 1</w:t>
              </w:r>
            </w:hyperlink>
            <w:hyperlink r:id="rId23">
              <w:r>
                <w:rPr>
                  <w:rStyle w:val="InternetLink"/>
                  <w:rFonts w:ascii="Times New Roman;serif" w:hAnsi="Times New Roman;serif"/>
                  <w:b w:val="false"/>
                  <w:color w:val="000080"/>
                  <w:sz w:val="18"/>
                  <w:u w:val="single"/>
                </w:rPr>
                <w:t>, 202</w:t>
              </w:r>
            </w:hyperlink>
            <w:hyperlink r:id="rId24">
              <w:r>
                <w:rPr>
                  <w:rStyle w:val="InternetLink"/>
                  <w:rFonts w:ascii="Times New Roman;serif" w:hAnsi="Times New Roman;serif"/>
                  <w:b w:val="false"/>
                  <w:color w:val="000080"/>
                  <w:sz w:val="18"/>
                  <w:u w:val="single"/>
                </w:rPr>
                <w:t>5</w:t>
              </w:r>
            </w:hyperlink>
            <w:hyperlink r:id="rId25">
              <w:r>
                <w:rPr>
                  <w:rStyle w:val="InternetLink"/>
                  <w:rFonts w:ascii="Times New Roman;serif" w:hAnsi="Times New Roman;serif"/>
                  <w:b w:val="false"/>
                  <w:color w:val="000080"/>
                  <w:sz w:val="18"/>
                  <w:u w:val="single"/>
                </w:rPr>
                <w:t>)</w:t>
              </w:r>
            </w:hyperlink>
            <w:r>
              <w:rPr>
                <w:rFonts w:ascii="Times New Roman;serif" w:hAnsi="Times New Roman;serif"/>
                <w:b w:val="false"/>
                <w:color w:val="0000FF"/>
                <w:sz w:val="18"/>
                <w:u w:val="single"/>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26">
              <w:r>
                <w:rPr>
                  <w:rStyle w:val="InternetLink"/>
                  <w:rFonts w:ascii="Times New Roman;serif" w:hAnsi="Times New Roman;serif"/>
                  <w:b w:val="false"/>
                  <w:color w:val="000080"/>
                  <w:sz w:val="18"/>
                  <w:u w:val="single"/>
                </w:rPr>
                <w:t>Amended &amp; Restated Employment Agreement of Thomas Freeman dated March 26, 2021 (incorporated by reference to Exhibit 10.11 to the Company's Form 10-Q filed on May 17, 2021)</w:t>
              </w:r>
            </w:hyperlink>
            <w:r>
              <w:rPr>
                <w:rFonts w:ascii="Times New Roman;serif" w:hAnsi="Times New Roman;serif"/>
                <w:b w:val="false"/>
                <w:color w:val="0000FF"/>
                <w:sz w:val="18"/>
                <w:u w:val="single"/>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erif" w:hAnsi="Times New Roman;serif"/>
                  <w:b w:val="false"/>
                  <w:color w:val="000080"/>
                  <w:sz w:val="18"/>
                  <w:u w:val="single"/>
                </w:rPr>
                <w:t>A</w:t>
              </w:r>
            </w:hyperlink>
            <w:hyperlink r:id="rId28">
              <w:r>
                <w:rPr>
                  <w:rStyle w:val="InternetLink"/>
                  <w:rFonts w:ascii="Times New Roman;serif" w:hAnsi="Times New Roman;serif"/>
                  <w:b w:val="false"/>
                  <w:color w:val="000080"/>
                  <w:sz w:val="18"/>
                  <w:u w:val="single"/>
                </w:rPr>
                <w:t>mendment to Amended &amp; Restated Employment Agreement of Thomas Freeman dated May 2, 2025 (i</w:t>
              </w:r>
            </w:hyperlink>
            <w:hyperlink r:id="rId29">
              <w:r>
                <w:rPr>
                  <w:rStyle w:val="InternetLink"/>
                  <w:rFonts w:ascii="Times New Roman;serif" w:hAnsi="Times New Roman;serif"/>
                  <w:b w:val="false"/>
                  <w:color w:val="000080"/>
                  <w:sz w:val="18"/>
                  <w:u w:val="single"/>
                </w:rPr>
                <w:t xml:space="preserve">ncorporated by reference to Exhibit </w:t>
              </w:r>
            </w:hyperlink>
            <w:hyperlink r:id="rId30">
              <w:r>
                <w:rPr>
                  <w:rStyle w:val="InternetLink"/>
                  <w:rFonts w:ascii="Times New Roman;serif" w:hAnsi="Times New Roman;serif"/>
                  <w:b w:val="false"/>
                  <w:color w:val="000080"/>
                  <w:sz w:val="18"/>
                  <w:u w:val="single"/>
                </w:rPr>
                <w:t>10.2</w:t>
              </w:r>
            </w:hyperlink>
            <w:hyperlink r:id="rId31">
              <w:r>
                <w:rPr>
                  <w:rStyle w:val="InternetLink"/>
                  <w:rFonts w:ascii="Times New Roman;serif" w:hAnsi="Times New Roman;serif"/>
                  <w:b w:val="false"/>
                  <w:color w:val="000080"/>
                  <w:sz w:val="18"/>
                  <w:u w:val="single"/>
                </w:rPr>
                <w:t xml:space="preserve"> to the Company's Form 10-Q filed on </w:t>
              </w:r>
            </w:hyperlink>
            <w:hyperlink r:id="rId32">
              <w:r>
                <w:rPr>
                  <w:rStyle w:val="InternetLink"/>
                  <w:rFonts w:ascii="Times New Roman;serif" w:hAnsi="Times New Roman;serif"/>
                  <w:b w:val="false"/>
                  <w:color w:val="000080"/>
                  <w:sz w:val="18"/>
                  <w:u w:val="single"/>
                </w:rPr>
                <w:t>May 1, 2025).</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33">
              <w:r>
                <w:rPr>
                  <w:rStyle w:val="InternetLink"/>
                  <w:rFonts w:ascii="Times New Roman;serif" w:hAnsi="Times New Roman;serif"/>
                  <w:b w:val="false"/>
                  <w:color w:val="000080"/>
                  <w:sz w:val="18"/>
                  <w:u w:val="single"/>
                </w:rPr>
                <w:t>Employment Agreement of Hyong (Ken) Kim, M.D. dated as of September 25, 2023 (incorporated by reference to Exhibit 10.1 to the Company’s Form 8-K filed on September 6, 2023)</w:t>
              </w:r>
            </w:hyperlink>
            <w:r>
              <w:rPr>
                <w:rFonts w:ascii="Times New Roman;serif" w:hAnsi="Times New Roman;serif"/>
                <w:b w:val="false"/>
                <w:color w:val="0000FF"/>
                <w:sz w:val="18"/>
                <w:u w:val="single"/>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w:anchor="alhc-20251231xexx1010.htm">
              <w:r>
                <w:rPr>
                  <w:rStyle w:val="InternetLink"/>
                  <w:rFonts w:ascii="Times New Roman;serif" w:hAnsi="Times New Roman;serif"/>
                  <w:b w:val="false"/>
                  <w:color w:val="000080"/>
                  <w:sz w:val="18"/>
                  <w:u w:val="single"/>
                </w:rPr>
                <w:t xml:space="preserve">Employment Agreement of </w:t>
              </w:r>
            </w:hyperlink>
            <w:hyperlink w:anchor="alhc-20251231xexx1010.htm">
              <w:r>
                <w:rPr>
                  <w:rStyle w:val="InternetLink"/>
                  <w:rFonts w:ascii="Times New Roman;serif" w:hAnsi="Times New Roman;serif"/>
                  <w:b w:val="false"/>
                  <w:color w:val="000080"/>
                  <w:sz w:val="18"/>
                  <w:u w:val="single"/>
                </w:rPr>
                <w:t xml:space="preserve">Christopher </w:t>
              </w:r>
            </w:hyperlink>
            <w:hyperlink w:anchor="alhc-20251231xexx1010.htm">
              <w:r>
                <w:rPr>
                  <w:rStyle w:val="InternetLink"/>
                  <w:rFonts w:ascii="Times New Roman;serif" w:hAnsi="Times New Roman;serif"/>
                  <w:b w:val="false"/>
                  <w:color w:val="000080"/>
                  <w:sz w:val="18"/>
                  <w:u w:val="single"/>
                </w:rPr>
                <w:t xml:space="preserve">Joyce </w:t>
              </w:r>
            </w:hyperlink>
            <w:hyperlink w:anchor="alhc-20251231xexx1010.htm">
              <w:r>
                <w:rPr>
                  <w:rStyle w:val="InternetLink"/>
                  <w:rFonts w:ascii="Times New Roman;serif" w:hAnsi="Times New Roman;serif"/>
                  <w:b w:val="false"/>
                  <w:color w:val="000080"/>
                  <w:sz w:val="18"/>
                  <w:u w:val="single"/>
                </w:rPr>
                <w:t xml:space="preserve">dated as of </w:t>
              </w:r>
            </w:hyperlink>
            <w:hyperlink w:anchor="alhc-20251231xexx1010.htm">
              <w:r>
                <w:rPr>
                  <w:rStyle w:val="InternetLink"/>
                  <w:rFonts w:ascii="Times New Roman;serif" w:hAnsi="Times New Roman;serif"/>
                  <w:b w:val="false"/>
                  <w:color w:val="000080"/>
                  <w:sz w:val="18"/>
                  <w:u w:val="single"/>
                </w:rPr>
                <w:t>August 1, 2023</w:t>
              </w:r>
            </w:hyperlink>
            <w:r>
              <w:rPr>
                <w:rFonts w:ascii="Times New Roman;serif" w:hAnsi="Times New Roman;serif"/>
                <w:b w:val="false"/>
                <w:color w:val="0000FF"/>
                <w:sz w:val="18"/>
                <w:u w:val="single"/>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34">
              <w:r>
                <w:rPr>
                  <w:rStyle w:val="InternetLink"/>
                  <w:rFonts w:ascii="Times New Roman;serif" w:hAnsi="Times New Roman;serif"/>
                  <w:b w:val="false"/>
                  <w:color w:val="0000FF"/>
                  <w:sz w:val="18"/>
                  <w:u w:val="single"/>
                </w:rPr>
                <w:t>Consulting Agreement by and between Alignment Healthcare USA, LLC and Jeffrey Margolis, dated as of August 13, 2024 (incorporated by reference to Exhibit 10.1 to the Company's Form 8-K filed on August 16, 2024).</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35">
              <w:r>
                <w:rPr>
                  <w:rStyle w:val="InternetLink"/>
                  <w:rFonts w:ascii="Times New Roman;serif" w:hAnsi="Times New Roman;serif"/>
                  <w:b w:val="false"/>
                  <w:color w:val="0000FF"/>
                  <w:sz w:val="18"/>
                  <w:u w:val="single"/>
                </w:rPr>
                <w:t>Form of Option Award Agreement (incorporated by reference to Exhibit 10.16 to the Company’s Form S-1 filed on March 23, 2021).</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36">
              <w:r>
                <w:rPr>
                  <w:rStyle w:val="InternetLink"/>
                  <w:rFonts w:ascii="Times New Roman;serif" w:hAnsi="Times New Roman;serif"/>
                  <w:b w:val="false"/>
                  <w:color w:val="0000FF"/>
                  <w:sz w:val="18"/>
                  <w:u w:val="single"/>
                </w:rPr>
                <w:t>Form of Restricted Shares Award Agreement (incorporated by reference to Exhibit 10.17 to the Company’s Form S-1 filed on March 23, 2021).</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37">
              <w:r>
                <w:rPr>
                  <w:rStyle w:val="InternetLink"/>
                  <w:rFonts w:ascii="Times New Roman;serif" w:hAnsi="Times New Roman;serif"/>
                  <w:b w:val="false"/>
                  <w:color w:val="0000FF"/>
                  <w:sz w:val="18"/>
                  <w:u w:val="single"/>
                </w:rPr>
                <w:t>Form of RSU Award Agreement (incorporated by reference to Exhibit 10.18 to the Company’s Form S-1 filed on March 23, 2021).</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38">
              <w:r>
                <w:rPr>
                  <w:rStyle w:val="InternetLink"/>
                  <w:rFonts w:ascii="Times New Roman;serif" w:hAnsi="Times New Roman;serif"/>
                  <w:b w:val="false"/>
                  <w:color w:val="0000FF"/>
                  <w:sz w:val="18"/>
                  <w:u w:val="single"/>
                </w:rPr>
                <w:t>Form of Option Award Agreement (Senior Executives) (incorporated by reference to Exhibit 10.19 to the Company’s Form S-1 filed on March 23, 2021).</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39">
              <w:r>
                <w:rPr>
                  <w:rStyle w:val="InternetLink"/>
                  <w:rFonts w:ascii="Times New Roman;serif" w:hAnsi="Times New Roman;serif"/>
                  <w:b w:val="false"/>
                  <w:color w:val="0000FF"/>
                  <w:sz w:val="18"/>
                  <w:u w:val="single"/>
                </w:rPr>
                <w:t>Form of RSU Award Agreement (Senior Executives) (incorporated by reference to Exhibit 10.20 to the Company’s Form S-1 filed on March 23,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1445"/>
                <wp:effectExtent l="0" t="0" r="0" b="0"/>
                <wp:wrapNone/>
                <wp:docPr id="107" name="Frame10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104</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3"/>
        <w:gridCol w:w="222"/>
        <w:gridCol w:w="225"/>
        <w:gridCol w:w="109"/>
        <w:gridCol w:w="109"/>
        <w:gridCol w:w="109"/>
        <w:gridCol w:w="2758"/>
        <w:gridCol w:w="2658"/>
        <w:gridCol w:w="3762"/>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40">
              <w:r>
                <w:rPr>
                  <w:rStyle w:val="InternetLink"/>
                  <w:rFonts w:ascii="Times New Roman;serif" w:hAnsi="Times New Roman;serif"/>
                  <w:b w:val="false"/>
                  <w:color w:val="0000FF"/>
                  <w:sz w:val="18"/>
                  <w:u w:val="single"/>
                </w:rPr>
                <w:t>Form of Performance Share Unit Award Agreement (incorporated by reference to Exhibit 10.1 to the Company’s Form 8-K filed on September 15, 2023).</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hc-20251231xexx1018.htm">
              <w:r>
                <w:rPr>
                  <w:rStyle w:val="InternetLink"/>
                  <w:rFonts w:ascii="Times New Roman;serif" w:hAnsi="Times New Roman;serif"/>
                  <w:b w:val="false"/>
                  <w:color w:val="0000FF"/>
                  <w:sz w:val="18"/>
                  <w:u w:val="single"/>
                </w:rPr>
                <w:t>Performance Share Unit Award Agreement dated as of February 24, 2026, by and between the Company and John Kao.</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41">
              <w:r>
                <w:rPr>
                  <w:rStyle w:val="InternetLink"/>
                  <w:rFonts w:ascii="Times New Roman;serif" w:hAnsi="Times New Roman;serif"/>
                  <w:b w:val="false"/>
                  <w:color w:val="0000FF"/>
                  <w:sz w:val="18"/>
                  <w:u w:val="single"/>
                </w:rPr>
                <w:t>Form of CMS Agreement (incorporated by reference to Exhibit 10.14 to the Company’s Form S-1 filed on March 3, 2021).</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42">
              <w:r>
                <w:rPr>
                  <w:rStyle w:val="InternetLink"/>
                  <w:rFonts w:ascii="Times New Roman;serif" w:hAnsi="Times New Roman;serif"/>
                  <w:b w:val="false"/>
                  <w:color w:val="0000FF"/>
                  <w:sz w:val="18"/>
                  <w:u w:val="single"/>
                </w:rPr>
                <w:t>Amended &amp; Restated Stockholders Agreement, dated as of April 30, 2024, among Alignment Healthcare, Inc. and the other signatories party thereto (incorporated by reference to Exhibit 10.1 to the Company’s Form 10-Q filed on May 2, 2024).</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alhc-20251231xexx1021.htm">
              <w:r>
                <w:rPr>
                  <w:rStyle w:val="InternetLink"/>
                  <w:rFonts w:ascii="Times New Roman;serif" w:hAnsi="Times New Roman;serif"/>
                  <w:b w:val="false"/>
                  <w:color w:val="0000FF"/>
                  <w:sz w:val="18"/>
                  <w:u w:val="single"/>
                  <w:shd w:fill="FFFFFF" w:val="clear"/>
                </w:rPr>
                <w:t>Credit Agreement dated as of February 26, 2026, among Alignment Healthcare USA, LLC, as borrower, the Company, certain subsidiaries of the Company, Citibank, N.A., as administrative agent, and the other Lenders party thereto.</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w:anchor="alhc-20251231xexx19.htm">
              <w:r>
                <w:rPr>
                  <w:rStyle w:val="InternetLink"/>
                  <w:rFonts w:ascii="Times New Roman;serif" w:hAnsi="Times New Roman;serif"/>
                  <w:b w:val="false"/>
                  <w:color w:val="000080"/>
                  <w:sz w:val="18"/>
                  <w:u w:val="single"/>
                </w:rPr>
                <w:t>Alignment Healthcare, Inc. Insider Trading Policy</w:t>
              </w:r>
            </w:hyperlink>
            <w:r>
              <w:rPr>
                <w:rFonts w:ascii="Times New Roman;serif" w:hAnsi="Times New Roman;serif"/>
                <w:b w:val="false"/>
                <w:color w:val="0000FF"/>
                <w:sz w:val="18"/>
                <w:u w:val="single"/>
              </w:rPr>
              <w:t xml:space="preserve">. </w:t>
            </w:r>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alhc-20251231xexx211.htm">
              <w:r>
                <w:rPr>
                  <w:rStyle w:val="InternetLink"/>
                  <w:rFonts w:ascii="Times New Roman;serif" w:hAnsi="Times New Roman;serif"/>
                  <w:b w:val="false"/>
                  <w:color w:val="0000FF"/>
                  <w:sz w:val="18"/>
                  <w:u w:val="single"/>
                </w:rPr>
                <w:t>List of Subsidiaries of Alignment Healthcare, Inc.</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alhc-20251231xexx231.htm">
              <w:r>
                <w:rPr>
                  <w:rStyle w:val="InternetLink"/>
                  <w:rFonts w:ascii="Times New Roman;serif" w:hAnsi="Times New Roman;serif"/>
                  <w:b w:val="false"/>
                  <w:color w:val="0000FF"/>
                  <w:sz w:val="18"/>
                  <w:u w:val="single"/>
                </w:rPr>
                <w:t>Consent of Independent Registered Public Accounting Firm</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alhc-20251231xexx311.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w:anchor="alhc-20251231xexx312.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w:anchor="alhc-20251231xexx321.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w:anchor="alhc-20251231xexx322.htm">
              <w:r>
                <w:rPr>
                  <w:rStyle w:val="InternetLink"/>
                  <w:rFonts w:ascii="Times New Roman;serif" w:hAnsi="Times New Roman;serif"/>
                  <w:b w:val="false"/>
                  <w:color w:val="0000FF"/>
                  <w:sz w:val="18"/>
                  <w:u w:val="single"/>
                </w:rPr>
                <w:t>Certification of Principal Financial Officer Pursuant to 18 U.S.C. Section 1350, as Adopted Pursuant to Section 906 of the Sarbanes-Oxley Act of 2002.</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43">
              <w:r>
                <w:rPr>
                  <w:rStyle w:val="InternetLink"/>
                  <w:rFonts w:ascii="Times New Roman;serif" w:hAnsi="Times New Roman;serif"/>
                  <w:b w:val="false"/>
                  <w:color w:val="0000FF"/>
                  <w:sz w:val="18"/>
                  <w:u w:val="single"/>
                </w:rPr>
                <w:t>Alignment Healthcare, Inc. Clawback Policy (incorporated by reference to Exhibit 97 to the Company's Form 10-K filed on February 27, 2024).</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XBRL tags are embedded within the Inline XBRL document.</w:t>
            </w:r>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120" w:after="283"/>
        <w:ind w:left="0" w:right="0" w:hanging="630"/>
        <w:jc w:val="left"/>
        <w:rPr>
          <w:rFonts w:ascii="Times New Roman;serif" w:hAnsi="Times New Roman;serif"/>
          <w:b w:val="false"/>
          <w:color w:val="000000"/>
          <w:sz w:val="18"/>
        </w:rPr>
      </w:pPr>
      <w:r>
        <w:rPr>
          <w:rFonts w:ascii="Times New Roman;serif" w:hAnsi="Times New Roman;serif"/>
          <w:b w:val="false"/>
          <w:color w:val="000000"/>
          <w:sz w:val="18"/>
        </w:rPr>
        <w:t>*Filed herewith.</w:t>
      </w:r>
    </w:p>
    <w:p>
      <w:pPr>
        <w:pStyle w:val="TextBody"/>
        <w:bidi w:val="0"/>
        <w:spacing w:lineRule="auto" w:line="288" w:before="120" w:after="283"/>
        <w:ind w:left="0" w:right="0" w:hanging="630"/>
        <w:jc w:val="left"/>
        <w:rPr>
          <w:rFonts w:ascii="Times New Roman;serif" w:hAnsi="Times New Roman;serif"/>
          <w:b w:val="false"/>
          <w:color w:val="000000"/>
          <w:sz w:val="18"/>
        </w:rPr>
      </w:pPr>
      <w:r>
        <w:rPr>
          <w:rFonts w:ascii="Times New Roman;serif" w:hAnsi="Times New Roman;serif"/>
          <w:b w:val="false"/>
          <w:color w:val="000000"/>
          <w:sz w:val="18"/>
        </w:rPr>
        <w:t xml:space="preserve">**Furnished herewith </w:t>
      </w:r>
    </w:p>
    <w:p>
      <w:pPr>
        <w:pStyle w:val="TextBody"/>
        <w:bidi w:val="0"/>
        <w:spacing w:lineRule="auto" w:line="288" w:before="120" w:after="283"/>
        <w:ind w:left="0" w:right="0" w:hanging="630"/>
        <w:jc w:val="left"/>
        <w:rPr>
          <w:rFonts w:ascii="Times New Roman;serif" w:hAnsi="Times New Roman;serif"/>
          <w:b w:val="false"/>
          <w:color w:val="000000"/>
          <w:sz w:val="18"/>
        </w:rPr>
      </w:pPr>
      <w:r>
        <w:rPr>
          <w:rFonts w:ascii="Times New Roman;serif" w:hAnsi="Times New Roman;serif"/>
          <w:b w:val="false"/>
          <w:color w:val="000000"/>
          <w:sz w:val="18"/>
        </w:rPr>
        <w:t>+Indicates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18"/>
        </w:rPr>
      </w:pPr>
      <w:r>
        <w:rPr>
          <w:rFonts w:ascii="Times New Roman;serif" w:hAnsi="Times New Roman;serif"/>
          <w:b/>
          <w:color w:val="000000"/>
          <w:sz w:val="18"/>
        </w:rPr>
        <w:t>Item 16. Form 10-K Summary.</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1445"/>
                <wp:effectExtent l="0" t="0" r="0" b="0"/>
                <wp:wrapNone/>
                <wp:docPr id="108" name="Frame10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105</w:t>
                      </w:r>
                    </w:p>
                  </w:txbxContent>
                </v:textbox>
                <w10:wrap type="none"/>
              </v:rect>
            </w:pict>
          </mc:Fallback>
        </mc:AlternateContent>
      </w:r>
    </w:p>
    <w:p>
      <w:pPr>
        <w:pStyle w:val="TextBody"/>
        <w:bidi w:val="0"/>
        <w:spacing w:lineRule="auto" w:line="276" w:before="0" w:after="0"/>
        <w:jc w:val="left"/>
        <w:rPr/>
      </w:pPr>
      <w:hyperlink w:anchor="i35ff813b07f241c5961a1493f167292b_7">
        <w:r>
          <w:rPr>
            <w:rStyle w:val="InternetLink"/>
            <w:rFonts w:ascii="Times New Roman;serif" w:hAnsi="Times New Roman;serif"/>
            <w:b w:val="false"/>
            <w:color w:val="0000FF"/>
            <w:sz w:val="18"/>
            <w:u w:val="single"/>
          </w:rPr>
          <w:t>Table of Contents</w:t>
        </w:r>
      </w:hyperlink>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200" w:after="283"/>
        <w:jc w:val="left"/>
        <w:rPr/>
      </w:pPr>
      <w:r>
        <w:rPr>
          <w:rFonts w:ascii="Times New Roman;serif" w:hAnsi="Times New Roman;serif"/>
          <w:b w:val="false"/>
          <w:color w:val="000000"/>
          <w:sz w:val="18"/>
        </w:rPr>
        <w:t>Pursuant to the requirements of Section 13 or 15(d) of the Securities Exchange Act of 1934, as amended, the Registrant has duly caused this Report to be signed on its behalf by the undersigned, thereunto duly authorized</w:t>
      </w:r>
      <w:r>
        <w:rPr>
          <w:rFonts w:ascii="Times New Roman;serif" w:hAnsi="Times New Roman;serif"/>
          <w:b/>
          <w:color w:val="000000"/>
          <w:sz w:val="18"/>
        </w:rPr>
        <w:t>.</w:t>
      </w:r>
    </w:p>
    <w:tbl>
      <w:tblPr>
        <w:tblW w:w="4736" w:type="dxa"/>
        <w:jc w:val="left"/>
        <w:tblInd w:w="0" w:type="dxa"/>
        <w:tblLayout w:type="fixed"/>
        <w:tblCellMar>
          <w:top w:w="28" w:type="dxa"/>
          <w:left w:w="28" w:type="dxa"/>
          <w:bottom w:w="28" w:type="dxa"/>
          <w:right w:w="28" w:type="dxa"/>
        </w:tblCellMar>
      </w:tblPr>
      <w:tblGrid>
        <w:gridCol w:w="671"/>
        <w:gridCol w:w="592"/>
        <w:gridCol w:w="596"/>
        <w:gridCol w:w="319"/>
        <w:gridCol w:w="319"/>
        <w:gridCol w:w="319"/>
        <w:gridCol w:w="559"/>
        <w:gridCol w:w="559"/>
        <w:gridCol w:w="802"/>
      </w:tblGrid>
      <w:tr>
        <w:trPr/>
        <w:tc>
          <w:tcPr>
            <w:tcW w:w="67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877" w:type="dxa"/>
            <w:gridSpan w:val="6"/>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Alignment Healthcare, Inc.</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Date: February 27, 2026</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 John Kao</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John Kao</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Chief Executive Officer</w:t>
            </w:r>
          </w:p>
        </w:tc>
      </w:tr>
    </w:tbl>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as amended, this Report has been signed below by the following persons on behalf of the Registrant in the capacities and on the dates indicated.</w:t>
      </w:r>
    </w:p>
    <w:tbl>
      <w:tblPr>
        <w:tblW w:w="7732" w:type="dxa"/>
        <w:jc w:val="left"/>
        <w:tblInd w:w="0" w:type="dxa"/>
        <w:tblLayout w:type="fixed"/>
        <w:tblCellMar>
          <w:top w:w="28" w:type="dxa"/>
          <w:left w:w="28" w:type="dxa"/>
          <w:bottom w:w="28" w:type="dxa"/>
          <w:right w:w="28" w:type="dxa"/>
        </w:tblCellMar>
      </w:tblPr>
      <w:tblGrid>
        <w:gridCol w:w="641"/>
        <w:gridCol w:w="562"/>
        <w:gridCol w:w="567"/>
        <w:gridCol w:w="109"/>
        <w:gridCol w:w="109"/>
        <w:gridCol w:w="109"/>
        <w:gridCol w:w="1273"/>
        <w:gridCol w:w="1273"/>
        <w:gridCol w:w="1293"/>
        <w:gridCol w:w="109"/>
        <w:gridCol w:w="109"/>
        <w:gridCol w:w="109"/>
        <w:gridCol w:w="428"/>
        <w:gridCol w:w="428"/>
        <w:gridCol w:w="613"/>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Signature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Title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Date</w:t>
            </w:r>
          </w:p>
        </w:tc>
      </w:tr>
      <w:tr>
        <w:trPr/>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 John Kao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Chief Executive Officer </w:t>
            </w:r>
          </w:p>
          <w:p>
            <w:pPr>
              <w:pStyle w:val="TableContents"/>
              <w:bidi w:val="0"/>
              <w:spacing w:lineRule="auto" w:line="276" w:before="14"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(Principal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John Kao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 James M. Head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Chief Financial Officer (Principal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James M. Head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 Joseph Konowiecki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Chairman of the 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Joseph Konowiecki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 Jody Bilney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Jody Bilney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 David Hodgson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David Hodgson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 Yon Jorden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Yon Jorden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 Jacqueline Kosecoff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Jacqueline Kosecoff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 Margaret McCarthy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Margaret McCarthy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 Mark McClellan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Mark McClellan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center"/>
              <w:rPr/>
            </w:pPr>
            <w:r>
              <w:rPr>
                <w:rFonts w:ascii="Times New Roman;serif" w:hAnsi="Times New Roman;serif"/>
                <w:b/>
                <w:color w:val="000000"/>
                <w:sz w:val="18"/>
                <w:shd w:fill="FFFFFF" w:val="clear"/>
              </w:rPr>
              <w:t xml:space="preserve">/s/ </w:t>
            </w:r>
            <w:r>
              <w:rPr>
                <w:rFonts w:ascii="Times New Roman;serif" w:hAnsi="Times New Roman;serif"/>
                <w:b w:val="false"/>
                <w:color w:val="000000"/>
                <w:sz w:val="18"/>
                <w:shd w:fill="FFFFFF" w:val="clear"/>
              </w:rPr>
              <w:t>Robbert Vorhoff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Robbert Vorhoff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1445"/>
                <wp:effectExtent l="0" t="0" r="0" b="0"/>
                <wp:wrapNone/>
                <wp:docPr id="109" name="Frame10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10.10</w:t>
      </w:r>
    </w:p>
    <w:p>
      <w:pPr>
        <w:pStyle w:val="TextBody"/>
        <w:bidi w:val="0"/>
        <w:spacing w:before="0" w:after="240"/>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40" w:before="240" w:after="24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BETWEEN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ALIGNMENT HEALTHCARE USA, LLC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Christopher Joyce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August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94995"/>
                <wp:effectExtent l="0" t="0" r="0" b="0"/>
                <wp:wrapNone/>
                <wp:docPr id="110" name="Frame10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EMPLOYMENT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EMPLOYMENT AGREEMENT is made and entered into effective as of August 1, 2023 (the "Effective Date"), by and between Alignment Healthcare USA, LLC, a California corporation (the “</w:t>
      </w:r>
      <w:r>
        <w:rPr>
          <w:rFonts w:ascii="Times New Roman;serif" w:hAnsi="Times New Roman;serif"/>
          <w:b w:val="false"/>
          <w:color w:val="000000"/>
          <w:sz w:val="24"/>
          <w:u w:val="single"/>
        </w:rPr>
        <w:t>Employer</w:t>
      </w:r>
      <w:r>
        <w:rPr>
          <w:color w:val="000000"/>
        </w:rPr>
        <w:t>”</w:t>
      </w:r>
      <w:r>
        <w:rPr>
          <w:rFonts w:ascii="Times New Roman;serif" w:hAnsi="Times New Roman;serif"/>
          <w:b w:val="false"/>
          <w:color w:val="000000"/>
          <w:sz w:val="24"/>
        </w:rPr>
        <w:t>), and Christopher Joyce (the “</w:t>
      </w:r>
      <w:r>
        <w:rPr>
          <w:rFonts w:ascii="Times New Roman;serif" w:hAnsi="Times New Roman;serif"/>
          <w:b w:val="false"/>
          <w:color w:val="000000"/>
          <w:sz w:val="24"/>
          <w:u w:val="single"/>
        </w:rPr>
        <w:t>Employee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Employer desires to employ the Employee, and the Employee desires to accept such employment, on the terms and subject to the conditions hereinafter set forth;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covenants contained herein and other good and valuable consideration, the receipt and sufficiency of which are hereby acknowledged, the parties hereto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Generally, defined terms used in this Agreement are defined in the first instance in which they appear herein. In addition, the following terms and phrases have the following meanings: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when used with reference to a specified Person, (a) any Person who directly or indirectly controls, is controlled by or is under common control with the specified Person, (b) any Person who is an officer, director, partner, member, manager or trustee of, or serves in a similar capacity with respect to, the specified Person, or for which the specified Person is an officer, director, partner, member or manager or trustee or serves in a similar capacity, (c) any Person who, directly or indirectly, is the beneficial owner of 10% or more of any class of equity securities of the specified Person, or of which the specified Person, directly or indirectly, is the owner of 10% or more of any class of equity securities and (d) any member of such specified Person’s immediate family.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Alignment Healthcare, Inc. or any other Person the Board has appointed or delegated authority.</w:t>
      </w:r>
    </w:p>
    <w:p>
      <w:pPr>
        <w:pStyle w:val="TextBody"/>
        <w:bidi w:val="0"/>
        <w:spacing w:lineRule="auto" w:line="288" w:before="240" w:after="283"/>
        <w:ind w:left="0" w:right="0" w:firstLine="1440"/>
        <w:jc w:val="both"/>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the Employee’s: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failure to devote substantially all Employee’s working time to the business of the Employer and its Affiliates;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failure to abide by the code of conduct or other policies (including, without limitation, policies relating to confidentiality and reasonable workplace conduct) of the Employer;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violation or breach of the provisions, representations or covenants of Sections 10, 11, 15 or 16(a);</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theft, dishonesty, willful or gross misconduct, breach of fiduciary duty, falsification of any Employer documents or records, or misrepresentation(s) to the Employer;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Employee’s unauthorized use, misappropriation, destruction or diversion of any tangible or intangible asset or corporate opportunity of the Employer or its Affiliates </w:t>
      </w: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94995"/>
                <wp:effectExtent l="0" t="0" r="0" b="0"/>
                <wp:wrapNone/>
                <wp:docPr id="111" name="Frame11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(including, without limitation, Employee’s improper use or disclosure of the Employer’s or any Affiliates’ confidential or proprietary information);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any act by Employee which has a material detrimental effect on the Employer’s reputation or business;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Employee’s failure or inability (other than due to Employee’s Disability) to perform any reasonable and lawful assigned duties consistent with Employee’s position;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material breach by Employee of this Agreement or its exhibits or any other agreement between Employee and the Employer;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commission of any act of fraud, theft or financial dishonesty, or any felony or criminal act involving moral turpitude;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engaging in any discriminatory or sexually harassing behavior; or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unlawful use (including being under the influence) of alcohol or drugs or possession of illegal drugs while on the premises of the Employer or any of its Affiliates or while performing duties and responsibilities to the Employer and its Affiliates.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Solely to the extent that the Board determines in its sole discretion that the Cause conduct is curable, Employee shall have five (5) business days after receipt of notice that the Employer believes it has grounds to terminate Employee’s employment for Cause to entirely cure the Cause conduct under subsections (i) through (viii) above and its consequences to the satisfaction of the Board and thereby avoid termination of Employee’s employment for Cause if so determined by the Board in its sole discretion.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During any time period when the Employer believes that (or is in the process of investigating whether) Employee may have committed an act of Cause (or has committed an act which could result in constituting Cause under any of the above subsections), the Employer may in its discretion place Employee on a leave of absence and/or preclude Employee from utilizing Employer or Affiliate resources or having access to Employer premises. If after Employee’s termination of employment for any reason other than Cause, the Employer discovers that Employee’s employment could have been terminated for Cause, then the Employer may in its discretion recharacterize such termination as a termination for Cause.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 xml:space="preserve">means all proprietary and other information relating to the business and operations of the Employer and its Affiliates, which has not been specifically designated for release to the public by an authorized representative of the Employer or one of its Affiliates, including, but not limited to the following: (i) information, observations, procedures and data concerning the business or affairs of the Employer or any of its Affiliates; (ii) products or services; (iii) costs and pricing structures; (iv) analyses; (v) drawings, photographs and reports; (vi) computer software, including operating systems, applications and program listings; (vii) flow charts, manuals and documentation; (viii) data bases; (ix) accounting and business methods; (x) inventions, devices, new developments, methods and processes, whether patentable </w:t>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29920"/>
                <wp:effectExtent l="0" t="0" r="0" b="0"/>
                <wp:wrapNone/>
                <wp:docPr id="112" name="Frame11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unpatentable and whether or not reduced to practice; (xi) customers, vendors, suppliers and customer, vendor and supplier lists; (xii) business goals, plans, techniques and strategies; (xiii) other copyrightable works; (xiv) all production methods, processes, technology and trade secrets; and (xv) all similar and related information in whatever form. Confidential Information also includes any information that the Employer or any of its Affiliates have received, or may receive hereafter, belonging to customers or other third parties with any understanding, express or implied, that the information would not be disclosed. Confidential Information will not include any information that has been published in a form generally available to the public prior to the date the Employee proposes to disclose or use such information (through no wrongful act of the Employee). Confidential Information will not be deemed to have been published merely because individual portions of the information have been separately published, but only if all material features comprising such information have been published in combination.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the Employee’s inability, due to physical or mental illness or disability, to perform the essential functions of Employee’s employment with the Employer, even with reasonable accommodation that does not impose an undue hardship on the Employer, for more than 60 consecutive days, or for any 90 days within any one year period, unless a longer period is required by federal or state law, in which case such longer period will be applicable. The Employer reserves the right, in good faith, to make the determination of Disability under this Agreement based on information supplied by the Employee and/or Employee’s medical personnel, as well as information from medical personnel selected by the Employer or its insurers.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 xml:space="preserve">has the meaning set forth in the preamble;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for purposes of </w:t>
      </w:r>
      <w:r>
        <w:rPr>
          <w:rFonts w:ascii="Times New Roman;serif" w:hAnsi="Times New Roman;serif"/>
          <w:b w:val="false"/>
          <w:color w:val="000000"/>
          <w:sz w:val="24"/>
          <w:u w:val="single"/>
        </w:rPr>
        <w:t>Sections 8 through 15</w:t>
      </w:r>
      <w:r>
        <w:rPr>
          <w:rFonts w:ascii="Times New Roman;serif" w:hAnsi="Times New Roman;serif"/>
          <w:b w:val="false"/>
          <w:color w:val="000000"/>
          <w:sz w:val="24"/>
        </w:rPr>
        <w:t>, “Employer” includes Alignment Healthcare, Inc. and all of its Subsidiaries and Affiliates.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shall exist if, without Employee’s written or oral consent, Employer materially breaches a financial obligation of this Agreement;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Good Reason shall not exist so long as Employee maintains an equivalent salary or title possessed at Employer or any affiliate immediately before any claim of Good Reason, or a higher salary or title at Employer or any affiliate; and </w:t>
      </w: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 xml:space="preserve">that, Good Reason shall not exist if Cause exists. Employee may terminate employment hereunder for Good Reason within sixty (60) days following the occurrence of any condition constituting Good Reason,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Employee has first provided written notice to Employer specifying in reasonable detail and satisfactory to Employer the condition giving rise to Good Reason, Employee has provided Employer with a period of sixty (60) days to remedy the condition (and the notice so specifies), and Employer has failed to remedy the condition within this sixty (60) day period.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be construed broadly and shall include, without limitation, an individual, a partnership, an investment fund, a limited liability company, a corporation, an association, a joint stock company, a trust, a joint venture, an unincorporated organization and a governmental entity or any department, agency or political subdivision thereof.</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29920"/>
                <wp:effectExtent l="0" t="0" r="0" b="0"/>
                <wp:wrapNone/>
                <wp:docPr id="113" name="Frame11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Subsidiaries</w:t>
      </w:r>
      <w:r>
        <w:rPr>
          <w:color w:val="000000"/>
        </w:rPr>
        <w:t xml:space="preserve">” </w:t>
      </w:r>
      <w:r>
        <w:rPr>
          <w:rFonts w:ascii="Times New Roman;serif" w:hAnsi="Times New Roman;serif"/>
          <w:b w:val="false"/>
          <w:color w:val="000000"/>
          <w:sz w:val="24"/>
        </w:rPr>
        <w:t>of any Person means any corporation, partnership, joint venture or other legal entity of which such Person (either alone or through or together with any other Person), owns, directly or indirectly, 50% or more of the stock or other equity interests which are generally entitled to vote for the election of the board of directors or other governing body of such corporation or other legal entity.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 xml:space="preserve">means the effective date of the termination of the Employee’s employment hereunder, which (i) in the case of termination due to resignation by the Employee without Good Reason, shall mean the date that is 90 days following the date of the Employee’s written notice to the Employer of Employee’s resignation, or in the case of resignation by the Employee with Good Reason, shall mean the Early Resignation Date, provided, however, that in each case the Employer may accelerate the Termination Date; (ii) in the case of termination by reason of the Employee’s death, shall mean the date of death; (iii) in the case of termination by reason of Disability, shall mean the date specified in the notice of such termination delivered to the Employee by the Employer; (iv) in the case of a termination by the Employer for Cause or without Cause, shall mean the date specified in the written notice of such termination delivered to the Employee by the Employer; (iv) in the case of termination by mutual agreement, shall mean the date mutually agreed to by the parties hereto, (v) in the case of termination due to either party’s delivery to the other party of a Notice of Nonrenewal pursuant to </w:t>
      </w:r>
      <w:r>
        <w:rPr>
          <w:rFonts w:ascii="Times New Roman;serif" w:hAnsi="Times New Roman;serif"/>
          <w:b w:val="false"/>
          <w:color w:val="000000"/>
          <w:sz w:val="24"/>
          <w:u w:val="single"/>
        </w:rPr>
        <w:t xml:space="preserve">Section </w:t>
      </w:r>
      <w:r>
        <w:rPr>
          <w:rFonts w:ascii="Times New Roman;serif" w:hAnsi="Times New Roman;serif"/>
          <w:b w:val="false"/>
          <w:color w:val="000000"/>
          <w:sz w:val="24"/>
        </w:rPr>
        <w:t>2, shall mean the next scheduled Renewal Date to which the Notice of Nonrenewal relates.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Employment</w:t>
      </w:r>
      <w:r>
        <w:rPr>
          <w:rFonts w:ascii="Times New Roman;serif" w:hAnsi="Times New Roman;serif"/>
          <w:b w:val="false"/>
          <w:color w:val="000000"/>
          <w:sz w:val="24"/>
        </w:rPr>
        <w:t>. The Employer shall employ the Employee, and the Employee accepts employment with the Employer, upon the terms and conditions set forth in this Agreement. The initial term of this Agreement (the “</w:t>
      </w:r>
      <w:r>
        <w:rPr>
          <w:rFonts w:ascii="Times New Roman;serif" w:hAnsi="Times New Roman;serif"/>
          <w:b w:val="false"/>
          <w:color w:val="000000"/>
          <w:sz w:val="24"/>
          <w:u w:val="single"/>
        </w:rPr>
        <w:t>Initial Term</w:t>
      </w:r>
      <w:r>
        <w:rPr>
          <w:color w:val="000000"/>
        </w:rPr>
        <w:t>”</w:t>
      </w:r>
      <w:r>
        <w:rPr>
          <w:rFonts w:ascii="Times New Roman;serif" w:hAnsi="Times New Roman;serif"/>
          <w:b w:val="false"/>
          <w:color w:val="000000"/>
          <w:sz w:val="24"/>
        </w:rPr>
        <w:t>) shall commence on the Effective Date and end on the first annual anniversary of the Effective Date; provided, however, that on the first annual anniversary of the Effective Date and each annual anniversary thereafter (each, a “</w:t>
      </w:r>
      <w:r>
        <w:rPr>
          <w:rFonts w:ascii="Times New Roman;serif" w:hAnsi="Times New Roman;serif"/>
          <w:b w:val="false"/>
          <w:color w:val="000000"/>
          <w:sz w:val="24"/>
          <w:u w:val="single"/>
        </w:rPr>
        <w:t>Renewal Date</w:t>
      </w:r>
      <w:r>
        <w:rPr>
          <w:color w:val="000000"/>
        </w:rPr>
        <w:t>”</w:t>
      </w:r>
      <w:r>
        <w:rPr>
          <w:rFonts w:ascii="Times New Roman;serif" w:hAnsi="Times New Roman;serif"/>
          <w:b w:val="false"/>
          <w:color w:val="000000"/>
          <w:sz w:val="24"/>
        </w:rPr>
        <w:t>), the term of this Agreement shall be extended by one additional year (each, an “</w:t>
      </w:r>
      <w:r>
        <w:rPr>
          <w:rFonts w:ascii="Times New Roman;serif" w:hAnsi="Times New Roman;serif"/>
          <w:b w:val="false"/>
          <w:color w:val="000000"/>
          <w:sz w:val="24"/>
          <w:u w:val="single"/>
        </w:rPr>
        <w:t>Extension Term,</w:t>
      </w:r>
      <w:r>
        <w:rPr>
          <w:color w:val="000000"/>
        </w:rPr>
        <w:t xml:space="preserve">” </w:t>
      </w:r>
      <w:r>
        <w:rPr>
          <w:rFonts w:ascii="Times New Roman;serif" w:hAnsi="Times New Roman;serif"/>
          <w:b w:val="false"/>
          <w:color w:val="000000"/>
          <w:sz w:val="24"/>
        </w:rPr>
        <w:t>and collectively with the Initial Term, the “</w:t>
      </w:r>
      <w:r>
        <w:rPr>
          <w:rFonts w:ascii="Times New Roman;serif" w:hAnsi="Times New Roman;serif"/>
          <w:b w:val="false"/>
          <w:color w:val="000000"/>
          <w:sz w:val="24"/>
          <w:u w:val="single"/>
        </w:rPr>
        <w:t>Employment Period</w:t>
      </w:r>
      <w:r>
        <w:rPr>
          <w:color w:val="000000"/>
        </w:rPr>
        <w:t>”</w:t>
      </w:r>
      <w:r>
        <w:rPr>
          <w:rFonts w:ascii="Times New Roman;serif" w:hAnsi="Times New Roman;serif"/>
          <w:b w:val="false"/>
          <w:color w:val="000000"/>
          <w:sz w:val="24"/>
        </w:rPr>
        <w:t>) unless either party gives written notice to the other within 90 days in advance of the next scheduled Renewal Date that it does not wish to extend the Employment Period (such notice, a “</w:t>
      </w:r>
      <w:r>
        <w:rPr>
          <w:rFonts w:ascii="Times New Roman;serif" w:hAnsi="Times New Roman;serif"/>
          <w:b w:val="false"/>
          <w:color w:val="000000"/>
          <w:sz w:val="24"/>
          <w:u w:val="single"/>
        </w:rPr>
        <w:t>Notice of Nonrenewal</w:t>
      </w:r>
      <w:r>
        <w:rPr>
          <w:color w:val="000000"/>
        </w:rPr>
        <w:t>”</w:t>
      </w:r>
      <w:r>
        <w:rPr>
          <w:rFonts w:ascii="Times New Roman;serif" w:hAnsi="Times New Roman;serif"/>
          <w:b w:val="false"/>
          <w:color w:val="000000"/>
          <w:sz w:val="24"/>
        </w:rPr>
        <w:t>); and provided, further, that the Employment Period may be sooner terminated as provided 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Position and Duties</w:t>
      </w:r>
      <w:r>
        <w:rPr>
          <w:rFonts w:ascii="Times New Roman;serif" w:hAnsi="Times New Roman;serif"/>
          <w:b w:val="false"/>
          <w:color w:val="000000"/>
          <w:sz w:val="24"/>
        </w:rPr>
        <w:t xml:space="preserve">. During the Employment Period, the Employee shall be employed by Employer on a full-time basis with the title determined exclusively by the Employer, initially as Chief Legal &amp; Administrative Officer, reporting to the Chief Executive Officer of Employer. Subject to the power and discretion of the Chief Executive Officer of Employer or the Board to modify such duties, position, title, and/or situs of employment, Employee shall have the usual and customary duties, responsibilities, and authority of such position as reasonably may be assigned to Employee by Employer from time to time and perform such other duties and responsibilities on behalf of Employer as reasonably may be directed by the Employer, including, if elected or appointed thereto, serving as an officer and/or member of the board or any Subsidiary or Affiliate of the Employer as reasonably requested by the Employer and its Affiliates, in each case, without additional compensation hereunder. The Employee hereby accepts such employment and positions and agrees to diligently and conscientiously devote Employee’s full and exclusive business time, attention, and best efforts in discharging and fulfilling Employee’s duties and responsibilities hereunder. The Employee shall comply with the Employer’s policies and procedures and the direction and instruction of the Board and the Employee shall not engage in any business activity which, in the reasonable </w:t>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629920"/>
                <wp:effectExtent l="0" t="0" r="0" b="0"/>
                <wp:wrapNone/>
                <wp:docPr id="114" name="Frame11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judgment of the Board, conflicts with the duties of the Employee hereunder, whether or not such activity is pursued for gain, profit or other pecuniary advantage.</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Salary</w:t>
      </w:r>
      <w:r>
        <w:rPr>
          <w:rFonts w:ascii="Times New Roman;serif" w:hAnsi="Times New Roman;serif"/>
          <w:b w:val="false"/>
          <w:color w:val="000000"/>
          <w:sz w:val="24"/>
        </w:rPr>
        <w:t>. During the Employment Period, the Employer shall pay the Employee base salary at the rate of $525,000 per annum (as may be increased from time to time at the discretion of the Employer, the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less applicable deductions and withholdings.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Performance Bonus</w:t>
      </w:r>
      <w:r>
        <w:rPr>
          <w:rFonts w:ascii="Times New Roman;serif" w:hAnsi="Times New Roman;serif"/>
          <w:b w:val="false"/>
          <w:color w:val="000000"/>
          <w:sz w:val="24"/>
        </w:rPr>
        <w:t>. In addition to the Base Salary, during the Employment Period, the Employee shall be eligible to receive a cash bonus (the “</w:t>
      </w:r>
      <w:r>
        <w:rPr>
          <w:rFonts w:ascii="Times New Roman;serif" w:hAnsi="Times New Roman;serif"/>
          <w:b w:val="false"/>
          <w:color w:val="000000"/>
          <w:sz w:val="24"/>
          <w:u w:val="single"/>
        </w:rPr>
        <w:t>Bonus</w:t>
      </w:r>
      <w:r>
        <w:rPr>
          <w:color w:val="000000"/>
        </w:rPr>
        <w:t>”</w:t>
      </w:r>
      <w:r>
        <w:rPr>
          <w:rFonts w:ascii="Times New Roman;serif" w:hAnsi="Times New Roman;serif"/>
          <w:b w:val="false"/>
          <w:color w:val="000000"/>
          <w:sz w:val="24"/>
        </w:rPr>
        <w:t>) with respect to each calendar year. The amount of the Bonus, if any, payable in respect of any calendar year will be determined based on the achievement of the Employer’s performance metrics, achievement of performance goals established by the Board or an appropriate committee thereof, or a combination of the foregoing, in a manner consistent with the Bonus program applicable to other members of senior management. The target Bonus amount (the "</w:t>
      </w:r>
      <w:r>
        <w:rPr>
          <w:rFonts w:ascii="Times New Roman;serif" w:hAnsi="Times New Roman;serif"/>
          <w:b w:val="false"/>
          <w:color w:val="000000"/>
          <w:sz w:val="24"/>
          <w:u w:val="single"/>
        </w:rPr>
        <w:t>Target Bonus Percentage</w:t>
      </w:r>
      <w:r>
        <w:rPr>
          <w:rFonts w:ascii="Times New Roman;serif" w:hAnsi="Times New Roman;serif"/>
          <w:b w:val="false"/>
          <w:color w:val="000000"/>
          <w:sz w:val="24"/>
        </w:rPr>
        <w:t>") and the maximum Bonus amount (the "</w:t>
      </w:r>
      <w:r>
        <w:rPr>
          <w:rFonts w:ascii="Times New Roman;serif" w:hAnsi="Times New Roman;serif"/>
          <w:b w:val="false"/>
          <w:color w:val="000000"/>
          <w:sz w:val="24"/>
          <w:u w:val="single"/>
        </w:rPr>
        <w:t>Maximum Bonus Percentage</w:t>
      </w:r>
      <w:r>
        <w:rPr>
          <w:rFonts w:ascii="Times New Roman;serif" w:hAnsi="Times New Roman;serif"/>
          <w:b w:val="false"/>
          <w:color w:val="000000"/>
          <w:sz w:val="24"/>
        </w:rPr>
        <w:t xml:space="preserve">") in respect of each calendar year will equal 85% and 170%, respectively, of the Base Salary payable to the Employee for such year. The Bonus in respect to the calendar year ended December 31, 2023 shall not be prorated. As a condition to receiving the Bonus, the Employee must be an employee of Employer in good standing as of the applicable Bonus payment date.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Employee Benefits</w:t>
      </w:r>
      <w:r>
        <w:rPr>
          <w:rFonts w:ascii="Times New Roman;serif" w:hAnsi="Times New Roman;serif"/>
          <w:b w:val="false"/>
          <w:color w:val="000000"/>
          <w:sz w:val="24"/>
        </w:rPr>
        <w:t>. During the Employment Period, retirement, health and welfare benefits shall be subject to the Employer’s policies and practices and the terms of the applicable benefit plans and arrangements as in effect from time to time. The Employee shall accrue paid-time off at the rate of five (5) weeks per twelve (12) months of employment.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Reimbursements</w:t>
      </w:r>
      <w:r>
        <w:rPr>
          <w:rFonts w:ascii="Times New Roman;serif" w:hAnsi="Times New Roman;serif"/>
          <w:b w:val="false"/>
          <w:color w:val="000000"/>
          <w:sz w:val="24"/>
        </w:rPr>
        <w:t>. The Employer shall reimburse the Employee for all reasonable and necessary business-related expenses incurred by Employee in the course of performing Employee’s duties under this Agreement which are consistent the Employer’s policies in effect from time to time with respect to travel, entertainment and other business expenses, subject to the Employer’s requirements with respect to reporting and documentation of such expenses.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Deductions and Withholding</w:t>
      </w:r>
      <w:r>
        <w:rPr>
          <w:rFonts w:ascii="Times New Roman;serif" w:hAnsi="Times New Roman;serif"/>
          <w:b w:val="false"/>
          <w:color w:val="000000"/>
          <w:sz w:val="24"/>
        </w:rPr>
        <w:t>. The Employer shall deduct from any payments to be made by it to or on behalf of the Employee under this Agreement any amounts required to be withheld in respect of any federal, state or local income or other taxes.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Annual Review of Base Salary and Bonus Percentages</w:t>
      </w:r>
      <w:r>
        <w:rPr>
          <w:rFonts w:ascii="Times New Roman;serif" w:hAnsi="Times New Roman;serif"/>
          <w:b w:val="false"/>
          <w:color w:val="000000"/>
          <w:sz w:val="24"/>
        </w:rPr>
        <w:t>. The Board (or the Compensation Committee of the Board) shall undertake a review of rate of Base Salary and the Target Bonus Percentage and Maximum Bonus Percentage (the “</w:t>
      </w:r>
      <w:r>
        <w:rPr>
          <w:rFonts w:ascii="Times New Roman;serif" w:hAnsi="Times New Roman;serif"/>
          <w:b w:val="false"/>
          <w:color w:val="000000"/>
          <w:sz w:val="24"/>
          <w:u w:val="single"/>
        </w:rPr>
        <w:t>Bonus Percentages</w:t>
      </w:r>
      <w:r>
        <w:rPr>
          <w:color w:val="000000"/>
        </w:rPr>
        <w:t>”</w:t>
      </w:r>
      <w:r>
        <w:rPr>
          <w:rFonts w:ascii="Times New Roman;serif" w:hAnsi="Times New Roman;serif"/>
          <w:b w:val="false"/>
          <w:color w:val="000000"/>
          <w:sz w:val="24"/>
        </w:rPr>
        <w:t>) not less frequently than annually during the Employment Period and may increase, but not decrease, the rate of Base Salary and the Bonus Percentages from those then in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Equity Grant</w:t>
      </w:r>
      <w:r>
        <w:rPr>
          <w:rFonts w:ascii="Times New Roman;serif" w:hAnsi="Times New Roman;serif"/>
          <w:b w:val="false"/>
          <w:color w:val="000000"/>
          <w:sz w:val="24"/>
        </w:rPr>
        <w:t xml:space="preserve">. The Employee will be eligible to receive the following equity grants (“Equity Awards”): (i) a one-time sign-on bonus (“Sign-On Bonus”) consisting of 38,285 restricted stock units of Employer’s common stock (“RSUs”); and (ii) a one-time new hire grant (“New Hire Grant”) consisting of 245,023 RSUs. The Sign-On Bonus will be fully vested on the Grant Date, provided, however, that if Employee’s employment is terminated for any reason (other than a termination by Employer without Cause or a termination by Employee for Good Reason) at any time before the first anniversary of the Grant Date, Employee will be required to repay Employer the full amount of the Sign-On Bonus. If Employee’s employment is terminated for any reason (other than a termination by the Employer without Cause or a </w:t>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629920"/>
                <wp:effectExtent l="0" t="0" r="0" b="0"/>
                <wp:wrapNone/>
                <wp:docPr id="115" name="Frame11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termination by Employee for Good Reason) at any time before the second anniversary of the Grant Date, Employee will be required to repay Employer fifty percent (50%) of the Sign-On Bonus. The New Hire Grant will vest in equal installments of twenty-five percent (25%) each on the first four anniversaries of the Grant Date (subject to Employee’s continued employment on the applicable vesting date). The grant date for both Equity Awards will be the first Wednesday of the first full calendar month following Employee’s start date (or if such Wednesday is not a trading day on the Nasdaq Stock Market, the following trading day) (“Grant Date”). The Equity Award shall be subject to approval by Alignment’s board of directors (or a committee thereof), and shall be further subject to the terms of Alignment’s 2021 Equity Incentive Plan and the terms of the applicable award agreements which shall be consistent with the award agreements with respect to other members of senior management.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The Employee’s employment under this Agreement shall be terminated upon the earliest to occur of the following events: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The Employer may in its sole discretion terminate this Agreement and the Employee’s employment hereunder for Cause at any time and with or without advance notice to the Employee.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without Cause</w:t>
      </w:r>
      <w:r>
        <w:rPr>
          <w:rFonts w:ascii="Times New Roman;serif" w:hAnsi="Times New Roman;serif"/>
          <w:b w:val="false"/>
          <w:color w:val="000000"/>
          <w:sz w:val="24"/>
        </w:rPr>
        <w:t>. The Employer may terminate this Agreement and the Employee’s employment hereunder without Cause at any time, with or without notice, for any reason or no reason (and no reason need be given).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Mutual Agreement</w:t>
      </w:r>
      <w:r>
        <w:rPr>
          <w:rFonts w:ascii="Times New Roman;serif" w:hAnsi="Times New Roman;serif"/>
          <w:b w:val="false"/>
          <w:color w:val="000000"/>
          <w:sz w:val="24"/>
        </w:rPr>
        <w:t>. This Agreement and the Employee’s employment hereunder may be terminated by the mutual written agreement of the Employer and the Employee.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Termination by Death or Disability</w:t>
      </w:r>
      <w:r>
        <w:rPr>
          <w:rFonts w:ascii="Times New Roman;serif" w:hAnsi="Times New Roman;serif"/>
          <w:b w:val="false"/>
          <w:color w:val="000000"/>
          <w:sz w:val="24"/>
        </w:rPr>
        <w:t>. This Agreement and the Employee’s employment hereunder shall automatically terminate upon the Employee’s death or Disability.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Resignation</w:t>
      </w:r>
      <w:r>
        <w:rPr>
          <w:rFonts w:ascii="Times New Roman;serif" w:hAnsi="Times New Roman;serif"/>
          <w:b w:val="false"/>
          <w:color w:val="000000"/>
          <w:sz w:val="24"/>
        </w:rPr>
        <w:t>. The Employee may terminate this Agreement and Employee’s employment hereunder without Good Reason upon 90 days advance written notice to the Employer. In addition, the Employee may terminate this Agreement and Employee’s employment hereunder with Good Reason as set forth in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Nonrenewal</w:t>
      </w:r>
      <w:r>
        <w:rPr>
          <w:rFonts w:ascii="Times New Roman;serif" w:hAnsi="Times New Roman;serif"/>
          <w:b w:val="false"/>
          <w:color w:val="000000"/>
          <w:sz w:val="24"/>
        </w:rPr>
        <w:t>. If either party delivers to the other a Notice of Nonrenewal, this Agreement and the Employee’s employment hereunder shall automatically terminate as of the next scheduled Renewal Date to which the Notice of Nonrenewal relates.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Compensation upon Termination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In the event of the Employee’s termination of employment for any reason, the Employee or Employee’s estate or beneficiaries shall have the right to receive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the unpaid portion of the Base Salary and paid time off accrued, but unused, and payable through the Termination Date;</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reimbursement for any expenses for which the Employee shall not have been previously reimbursed, as provided in </w:t>
      </w:r>
      <w:r>
        <w:rPr>
          <w:rFonts w:ascii="Times New Roman;serif" w:hAnsi="Times New Roman;serif"/>
          <w:b w:val="false"/>
          <w:color w:val="000000"/>
          <w:sz w:val="24"/>
          <w:u w:val="single"/>
        </w:rPr>
        <w:t>Section 4(d)</w:t>
      </w:r>
      <w:r>
        <w:rPr>
          <w:rFonts w:ascii="Times New Roman;serif" w:hAnsi="Times New Roman;serif"/>
          <w:b w:val="false"/>
          <w:color w:val="000000"/>
          <w:sz w:val="24"/>
        </w:rPr>
        <w:t>;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continuation of health insurance coverage rights, if any, as required under applicable law.</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629920"/>
                <wp:effectExtent l="0" t="0" r="0" b="0"/>
                <wp:wrapNone/>
                <wp:docPr id="116" name="Frame11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for Cause; Resignation without Good Reason; Mutual Agreement; Nonrenewal by the Employee; Death or Disability</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In the event of the Employee’s termination of employment by reason of (A) a termination by the Employer for Cause, (B) resignation by the Employee without Good Reason or (C) mutual agreement, the Employer shall have no current or further obligations (including Base Salary) to the Employee under this Agreement other than as set forth in </w:t>
      </w:r>
      <w:r>
        <w:rPr>
          <w:rFonts w:ascii="Times New Roman;serif" w:hAnsi="Times New Roman;serif"/>
          <w:b w:val="false"/>
          <w:color w:val="000000"/>
          <w:sz w:val="24"/>
          <w:u w:val="single"/>
        </w:rPr>
        <w:t>Section 6(a)</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In the event of the Employee’s termination of employment by reason of (A) the Employee’s death, (B) the Employee’s Disability or (C) delivery by the Employee of a Notice of Nonrenewal, the Employer shall have no current or further obligations (including Base Salary) to the Employee under this Agreement other than as set forth in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and payment of any Bonus for any calendar year preceding the calendar year in which termination occurs which has not yet been paid, payable at the time bonuses for such calendar year are otherwise payable to senior executives of the Employer (“</w:t>
      </w:r>
      <w:r>
        <w:rPr>
          <w:rFonts w:ascii="Times New Roman;serif" w:hAnsi="Times New Roman;serif"/>
          <w:b w:val="false"/>
          <w:color w:val="000000"/>
          <w:sz w:val="24"/>
          <w:u w:val="single"/>
        </w:rPr>
        <w:t>Prior Year Bonus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without Cause, Resignation with Good Reason or Nonrenewal by the Employer</w:t>
      </w:r>
      <w:r>
        <w:rPr>
          <w:rFonts w:ascii="Times New Roman;serif" w:hAnsi="Times New Roman;serif"/>
          <w:b w:val="false"/>
          <w:color w:val="000000"/>
          <w:sz w:val="24"/>
        </w:rPr>
        <w:t xml:space="preserve">. In the event of the Employee’s termination of employment hereunder by reason of (i) a termination by the Employer without Cause, (ii) resignation by the Employee with Good Reason or (iii) delivery by the Employer of a Notice of Nonrenewal, the Employer shall pay or provide to the Employee the payments and benefits set forth in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and payment of any Prior Year Bonus. In addition, subject to the Employee’s execution and non-revocation of a customary general waiver and release of claims in such form as provided by the Employer (a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xml:space="preserve">) in accordance with </w:t>
      </w:r>
      <w:r>
        <w:rPr>
          <w:rFonts w:ascii="Times New Roman;serif" w:hAnsi="Times New Roman;serif"/>
          <w:b w:val="false"/>
          <w:color w:val="000000"/>
          <w:sz w:val="24"/>
          <w:u w:val="single"/>
        </w:rPr>
        <w:t>Section 6(d)</w:t>
      </w:r>
      <w:r>
        <w:rPr>
          <w:color w:val="000000"/>
        </w:rPr>
        <w:t xml:space="preserve"> </w:t>
      </w:r>
      <w:r>
        <w:rPr>
          <w:rFonts w:ascii="Times New Roman;serif" w:hAnsi="Times New Roman;serif"/>
          <w:b w:val="false"/>
          <w:color w:val="000000"/>
          <w:sz w:val="24"/>
        </w:rPr>
        <w:t xml:space="preserve">and the Employee’s continued full performance of obligations under </w:t>
      </w:r>
      <w:r>
        <w:rPr>
          <w:rFonts w:ascii="Times New Roman;serif" w:hAnsi="Times New Roman;serif"/>
          <w:b w:val="false"/>
          <w:color w:val="000000"/>
          <w:sz w:val="24"/>
          <w:u w:val="single"/>
        </w:rPr>
        <w:t>Sections 10 and 11</w:t>
      </w:r>
      <w:r>
        <w:rPr>
          <w:rFonts w:ascii="Times New Roman;serif" w:hAnsi="Times New Roman;serif"/>
          <w:b w:val="false"/>
          <w:color w:val="000000"/>
          <w:sz w:val="24"/>
        </w:rPr>
        <w:t>, and in lieu of any severance benefits that may be payable to the Employee under a separate severance agreement or an executive severance plan as a result of such termination, the Employer shall pay or provide to the Employee the following (the “</w:t>
      </w:r>
      <w:r>
        <w:rPr>
          <w:rFonts w:ascii="Times New Roman;serif" w:hAnsi="Times New Roman;serif"/>
          <w:b w:val="false"/>
          <w:color w:val="000000"/>
          <w:sz w:val="24"/>
          <w:u w:val="single"/>
        </w:rPr>
        <w:t>Severance Benefits</w:t>
      </w:r>
      <w:r>
        <w:rPr>
          <w:color w:val="000000"/>
        </w:rPr>
        <w:t>”</w:t>
      </w:r>
      <w:r>
        <w:rPr>
          <w:rFonts w:ascii="Times New Roman;serif" w:hAnsi="Times New Roman;serif"/>
          <w:b w:val="false"/>
          <w:color w:val="000000"/>
          <w:sz w:val="24"/>
        </w:rPr>
        <w:t>):</w:t>
      </w:r>
    </w:p>
    <w:p>
      <w:pPr>
        <w:pStyle w:val="TextBody"/>
        <w:bidi w:val="0"/>
        <w:spacing w:lineRule="auto" w:line="240" w:before="240" w:after="283"/>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severance pay in an aggregate amount equal to one (1.0) times the sum of (1) Base Salary, plus (2) the Target Bonus Percentage, paid in substantially equal installments over the 12-month period following the Termination Date in accordance with the Employer’s normal payroll practices;</w:t>
      </w:r>
    </w:p>
    <w:p>
      <w:pPr>
        <w:pStyle w:val="TextBody"/>
        <w:bidi w:val="0"/>
        <w:spacing w:lineRule="auto" w:line="240" w:before="240" w:after="283"/>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a </w:t>
      </w:r>
      <w:r>
        <w:rPr>
          <w:rFonts w:ascii="Times New Roman;serif" w:hAnsi="Times New Roman;serif"/>
          <w:b w:val="false"/>
          <w:i/>
          <w:color w:val="000000"/>
          <w:sz w:val="24"/>
        </w:rPr>
        <w:t xml:space="preserve">pro rata </w:t>
      </w:r>
      <w:r>
        <w:rPr>
          <w:rFonts w:ascii="Times New Roman;serif" w:hAnsi="Times New Roman;serif"/>
          <w:b w:val="false"/>
          <w:color w:val="000000"/>
          <w:sz w:val="24"/>
        </w:rPr>
        <w:t xml:space="preserve">amount of the Bonus, if any, which would have been payable to the Employee for the calendar year in which the Termination Date occurs, determined after the end of the calendar year in which such Termination Date occurs and equal to the amount which would have been payable to the Employee if Employee’s employment had not been terminated during such calendar year multiplied by the fraction, the numerator of which is the number of whole months the Employee was employed by the Employer during such calendar year and the denominator of which is 12; it being understood that any </w:t>
      </w:r>
      <w:r>
        <w:rPr>
          <w:rFonts w:ascii="Times New Roman;serif" w:hAnsi="Times New Roman;serif"/>
          <w:b w:val="false"/>
          <w:i/>
          <w:color w:val="000000"/>
          <w:sz w:val="24"/>
        </w:rPr>
        <w:t xml:space="preserve">pro rata </w:t>
      </w:r>
      <w:r>
        <w:rPr>
          <w:rFonts w:ascii="Times New Roman;serif" w:hAnsi="Times New Roman;serif"/>
          <w:b w:val="false"/>
          <w:color w:val="000000"/>
          <w:sz w:val="24"/>
        </w:rPr>
        <w:t>bonus payable under this clause (ii) shall be paid in a lump sum at the time bonuses for such calendar year are otherwise payable to senior executives of the Employer; and</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if the Employee elects COBRA benefits, the Employer shall pay or reimburse the Employee’s share of the premium for such COBRA benefits until the earlier of (A) the first annual anniversary of Termination Date; or (B) the date that the Employee is eligible to receive health benefits through new employment; it being understood that (x) the Employee is required to notify the Employer immediately if Employee begins new employment during such period and to repay promptly any excess benefits contributions made by the Employer; and (y) after the Employer’s payment or reimbursement obligation ends, the Employee may continue </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629920"/>
                <wp:effectExtent l="0" t="0" r="0" b="0"/>
                <wp:wrapNone/>
                <wp:docPr id="117" name="Frame11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benefits coverage for the remainder of the COBRA period, if any, by paying the full premium cost of such benefits.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Release Condition</w:t>
      </w:r>
      <w:r>
        <w:rPr>
          <w:rFonts w:ascii="Times New Roman;serif" w:hAnsi="Times New Roman;serif"/>
          <w:b w:val="false"/>
          <w:color w:val="000000"/>
          <w:sz w:val="24"/>
        </w:rPr>
        <w:t xml:space="preserve">. Notwithstanding anything to the contrary in this Agreement, to the extent that any payments due under this Agreement as a result of the termination of the Employee’s employment are subject to the Employee’s execution and delivery of a Release, (i) no such payments shall be made prior to the first normal payroll date of the Employer occurring on or after the Release Effective Date, (ii) the Employer shall deliver the Release to the Employee within ten business days following the Termination Date, (iii) if the Employee fails to execute the Release on or prior to the Release Expiration Date (as defined below) or the Employee timely revokes Employee’s acceptance of the Release within the seven day period following the Release Expiration Date, the Employee shall not be entitled to the Severance Benefits otherwise conditioned on the Release, and (iv) if the Employee executes the Release on or prior to the Release Expiration Date and does not timely revoke Employee’s acceptance of the Release within the seven day period following the Release Expiration Date, any Severance Benefits that would otherwise have been paid to the Employee prior to the first normal payroll date of the Employer occurring on or after the Release Effective Date but for clause (i) above shall be paid on the first normal payroll date of the Employer occurring on or after the Release Effective Date. For purposes of this </w:t>
      </w:r>
      <w:r>
        <w:rPr>
          <w:rFonts w:ascii="Times New Roman;serif" w:hAnsi="Times New Roman;serif"/>
          <w:b w:val="false"/>
          <w:color w:val="000000"/>
          <w:sz w:val="24"/>
          <w:u w:val="single"/>
        </w:rPr>
        <w:t>Section 6(d)</w:t>
      </w:r>
      <w:r>
        <w:rPr>
          <w:rFonts w:ascii="Times New Roman;serif" w:hAnsi="Times New Roman;serif"/>
          <w:b w:val="false"/>
          <w:color w:val="000000"/>
          <w:sz w:val="24"/>
        </w:rPr>
        <w:t>, “</w:t>
      </w:r>
      <w:r>
        <w:rPr>
          <w:rFonts w:ascii="Times New Roman;serif" w:hAnsi="Times New Roman;serif"/>
          <w:b w:val="false"/>
          <w:color w:val="000000"/>
          <w:sz w:val="24"/>
          <w:u w:val="single"/>
        </w:rPr>
        <w:t>Release Expiration Date</w:t>
      </w:r>
      <w:r>
        <w:rPr>
          <w:color w:val="000000"/>
        </w:rPr>
        <w:t xml:space="preserve">” </w:t>
      </w:r>
      <w:r>
        <w:rPr>
          <w:rFonts w:ascii="Times New Roman;serif" w:hAnsi="Times New Roman;serif"/>
          <w:b w:val="false"/>
          <w:color w:val="000000"/>
          <w:sz w:val="24"/>
        </w:rPr>
        <w:t>shall mean the date that is 21 days following the date upon which the Employer timely delivers the Release to the Employee, or, in the event that termination of the Employee’s employment is “in connection with an exit incentive or other employment termination program” (as such phrase is defined in the Age Discrimination in Employment Act of 1967), the date that is 45 days following such delivery date, and “</w:t>
      </w:r>
      <w:r>
        <w:rPr>
          <w:rFonts w:ascii="Times New Roman;serif" w:hAnsi="Times New Roman;serif"/>
          <w:b w:val="false"/>
          <w:color w:val="000000"/>
          <w:sz w:val="24"/>
          <w:u w:val="single"/>
        </w:rPr>
        <w:t>Release Effective Date</w:t>
      </w:r>
      <w:r>
        <w:rPr>
          <w:color w:val="000000"/>
        </w:rPr>
        <w:t xml:space="preserve">” </w:t>
      </w:r>
      <w:r>
        <w:rPr>
          <w:rFonts w:ascii="Times New Roman;serif" w:hAnsi="Times New Roman;serif"/>
          <w:b w:val="false"/>
          <w:color w:val="000000"/>
          <w:sz w:val="24"/>
        </w:rPr>
        <w:t>shall mean the eighth day following the Release Expiration Date, provided that the Employee executes the Release on or prior to the Release Expiration Date and does not timely revoke Employee’s acceptance of the Release within the seven day period following the Release Expiration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Exclusive Remedy</w:t>
      </w:r>
      <w:r>
        <w:rPr>
          <w:rFonts w:ascii="Times New Roman;serif" w:hAnsi="Times New Roman;serif"/>
          <w:b w:val="false"/>
          <w:color w:val="000000"/>
          <w:sz w:val="24"/>
        </w:rPr>
        <w:t xml:space="preserve">. The rights of the Employee set forth in this </w:t>
      </w:r>
      <w:r>
        <w:rPr>
          <w:rFonts w:ascii="Times New Roman;serif" w:hAnsi="Times New Roman;serif"/>
          <w:b w:val="false"/>
          <w:color w:val="000000"/>
          <w:sz w:val="24"/>
          <w:u w:val="single"/>
        </w:rPr>
        <w:t xml:space="preserve">Section 6 </w:t>
      </w:r>
      <w:r>
        <w:rPr>
          <w:rFonts w:ascii="Times New Roman;serif" w:hAnsi="Times New Roman;serif"/>
          <w:b w:val="false"/>
          <w:color w:val="000000"/>
          <w:sz w:val="24"/>
        </w:rPr>
        <w:t>are intended to be the Employee’s exclusive remedy for termination and any severance benefits related thereto and, to the greatest extent permitted by applicable law, the Employee waives all other remedies.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Insurance</w:t>
      </w:r>
      <w:r>
        <w:rPr>
          <w:rFonts w:ascii="Times New Roman;serif" w:hAnsi="Times New Roman;serif"/>
          <w:b w:val="false"/>
          <w:color w:val="000000"/>
          <w:sz w:val="24"/>
        </w:rPr>
        <w:t>. The Employer or one of its Affiliates may, for its own benefit, maintain “key man” life and disability insurance policies covering the Employee. The Employee will cooperate with the Employer or its Affiliates and provide such information or other assistance as they may reasonably request in connection with obtaining and maintaining such policies.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The Employee’s Termination Obligations</w:t>
      </w:r>
      <w:r>
        <w:rPr>
          <w:rFonts w:ascii="Times New Roman;serif" w:hAnsi="Times New Roman;serif"/>
          <w:b w:val="false"/>
          <w:color w:val="000000"/>
          <w:sz w:val="24"/>
        </w:rPr>
        <w:t>. The Employee hereby acknowledges and agrees that all personal property and equipment furnished to or prepared by the Employee in the course of or incident to Employee’s employment hereunder belongs to the Employer and shall be promptly returned to the Employer upon termination of the Employee’s employment or, at any event, at the Employer’s request. The term “personal property” includes, without limitation, all office equipment, laptop computers, cell phones, books, manuals, records, reports, notes, contracts, requests for proposals, bids, lists, blueprints, and other documents, or materials, or copies thereof (including computer files), and all other proprietary and non-proprietary information relating to the business of the Employer. Following termination of Employee’s employment hereunder, the Employee will not retain any written or other tangible material containing any proprietary or non-proprietary information of the Employer.</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Acknowledgment of Protectable Interests</w:t>
      </w:r>
      <w:r>
        <w:rPr>
          <w:rFonts w:ascii="Times New Roman;serif" w:hAnsi="Times New Roman;serif"/>
          <w:b w:val="false"/>
          <w:color w:val="000000"/>
          <w:sz w:val="24"/>
        </w:rPr>
        <w:t xml:space="preserve">. The Employee acknowledges and agrees that Employee’s employment with the Employer involves building and maintaining business relationships and good will on behalf of the Employer with customers, patients, </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629920"/>
                <wp:effectExtent l="0" t="0" r="0" b="0"/>
                <wp:wrapNone/>
                <wp:docPr id="118" name="Frame11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physicians and other professional contractors, employees and staff, and various providers and users of health care services; that Employee is entrusted with proprietary, strategic and other confidential information which is of special value to the Employer; and that the foregoing matters are significant interests that the Employer is entitled to protect.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All Confidential Information that comes or has come into the Employee’s possession by reason of Employee’s employment hereunder is the property of the Employer and shall not be used except in the course of employment by the Employer and for the Employer’s exclusive benefit. Further, the Employee shall not, during Employee’s employment or thereafter, disclose or acknowledge the content of any Confidential Information to any person who is not an employee of the Employer authorized to possess such Confidential Information. Upon termination of employment, the Employee shall deliver to the Employer all documents, writings, electronic storage devices, and other tangible things containing any Confidential Information and the Employee shall not make or retain copies, excerpts, or notes of such information.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Restrictive Covenants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During the Employment Period, the Employee shall not, directly or indirectly, without written approval by the Board, accept or perform any work, consulting, or other services for any other business entity or for remuneration of any kind. Without limiting the foregoing, during the Employment Period, the Employee shall not, directly or indirectly, without written approval by the Board, engage in activities or businesses (including, without limitation, owning any interest in, managing, controlling, participating in, consulting with, advising, rendering services for, or in any manner engaging in the business of owning, operating or managing any business) that are principally or primarily involved in holding, managing or acquiring investments in the healthcare industry or other similar business in which the Employer is engaged (or so engage with, for or on behalf of any customer of the Employer), provided, however, that neither (i) the passive ownership by the Employee of not more than 2.0% of the outstanding equity securities of a publicly traded company nor (ii) the Employee’s ownership of the securities or interests described on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 xml:space="preserve">shall constitute a violation of this </w:t>
      </w:r>
      <w:r>
        <w:rPr>
          <w:rFonts w:ascii="Times New Roman;serif" w:hAnsi="Times New Roman;serif"/>
          <w:b w:val="false"/>
          <w:color w:val="000000"/>
          <w:sz w:val="24"/>
          <w:u w:val="single"/>
        </w:rPr>
        <w:t>Section 11(a)</w:t>
      </w:r>
      <w:r>
        <w:rPr>
          <w:rFonts w:ascii="Times New Roman;serif" w:hAnsi="Times New Roman;serif"/>
          <w:b w:val="false"/>
          <w:color w:val="000000"/>
          <w:sz w:val="24"/>
        </w:rPr>
        <w:t>. If the Employee acquires knowledge of a business venture which may be a business venture or prospective business venture (“</w:t>
      </w:r>
      <w:r>
        <w:rPr>
          <w:rFonts w:ascii="Times New Roman;serif" w:hAnsi="Times New Roman;serif"/>
          <w:b w:val="false"/>
          <w:color w:val="000000"/>
          <w:sz w:val="24"/>
          <w:u w:val="single"/>
        </w:rPr>
        <w:t>Corporate Opportunity</w:t>
      </w:r>
      <w:r>
        <w:rPr>
          <w:color w:val="000000"/>
        </w:rPr>
        <w:t>”</w:t>
      </w:r>
      <w:r>
        <w:rPr>
          <w:rFonts w:ascii="Times New Roman;serif" w:hAnsi="Times New Roman;serif"/>
          <w:b w:val="false"/>
          <w:color w:val="000000"/>
          <w:sz w:val="24"/>
        </w:rPr>
        <w:t>) in which the Employer could have an interest or expectancy, or otherwise is exploiting any Corporate Opportunity, the Employee shall promptly bring such opportunity to the Employer. The Employee shall not have the right to hold any such Corporate Opportunity for Employee’s own account or benefit (or for the account or benefit of Employee’s agents’, partners’ or Affiliates’), or to recommend, assign or otherwise transfer or deal in such Corporate Opportunity with Persons other than the Employer.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During the Employment Period and for a period of one year thereafter, the Employee shall not, directly or indirectly, induce, incite, instigate, aid, or assist any employee of the Employer to terminate Employee’s employment with the Employer.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During the Employment Period and for a period of one year thereafter, the Employee shall not, directly or indirectly, use the Employer’s Confidential Information to induce, attempt to induce or knowingly encourage any Customer (as defined below) of the Employer to divert any business or income from the Employer, or to stop or alter the manner in which it is then doing business with the Employer. The term “</w:t>
      </w:r>
      <w:r>
        <w:rPr>
          <w:rFonts w:ascii="Times New Roman;serif" w:hAnsi="Times New Roman;serif"/>
          <w:b w:val="false"/>
          <w:color w:val="000000"/>
          <w:sz w:val="24"/>
          <w:u w:val="single"/>
        </w:rPr>
        <w:t>Customer</w:t>
      </w:r>
      <w:r>
        <w:rPr>
          <w:color w:val="000000"/>
        </w:rPr>
        <w:t xml:space="preserve">” </w:t>
      </w:r>
      <w:r>
        <w:rPr>
          <w:rFonts w:ascii="Times New Roman;serif" w:hAnsi="Times New Roman;serif"/>
          <w:b w:val="false"/>
          <w:color w:val="000000"/>
          <w:sz w:val="24"/>
        </w:rPr>
        <w:t>with respect to the Employer shall mean any individual or business firm that is, or within the prior 24 months was, a customer or client of the Employer, or whose business was actively solicited by the Employer at any time, regardless of whether such customer or client was generated, in whole or in part, by the Employee’s efforts.</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629920"/>
                <wp:effectExtent l="0" t="0" r="0" b="0"/>
                <wp:wrapNone/>
                <wp:docPr id="119" name="Frame11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During the Employment Period and thereafter, the Employee shall not make any defamatory or disparaging statement concerning the Employer or its Affiliates, or their respective predecessors and successors, or any of the current or former directors, employees, officers, managers, shareholders, partners, members, agents or representatives of any of the foregoing (the “</w:t>
      </w:r>
      <w:r>
        <w:rPr>
          <w:rFonts w:ascii="Times New Roman;serif" w:hAnsi="Times New Roman;serif"/>
          <w:b w:val="false"/>
          <w:color w:val="000000"/>
          <w:sz w:val="24"/>
          <w:u w:val="single"/>
        </w:rPr>
        <w:t>Protected Persons</w:t>
      </w:r>
      <w:r>
        <w:rPr>
          <w:color w:val="000000"/>
        </w:rPr>
        <w:t>”</w:t>
      </w:r>
      <w:r>
        <w:rPr>
          <w:rFonts w:ascii="Times New Roman;serif" w:hAnsi="Times New Roman;serif"/>
          <w:b w:val="false"/>
          <w:color w:val="000000"/>
          <w:sz w:val="24"/>
        </w:rPr>
        <w:t>) to the extent such statement could be reasonably likely to damage the reputation and/or financial position of any of the Protected Persons. Notwithstanding the foregoing, nothing herein shall or shall be deemed to prevent or impair the Employee from (i) testifying truthfully in any legal or administrative proceeding if such testimony is compelled or requested, (ii) making competitive-type statements that are normal and customary for the industry in the context of product or service comparisons and the like, (iii) making good faith statements in the good faith performance of the Employee’s duties for the Employer or its Affiliates, or (iv) engaging in protected concerted activity or exercising rights under the National Labor Relations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Employee acknowledges that the provisions of </w:t>
      </w:r>
      <w:r>
        <w:rPr>
          <w:rFonts w:ascii="Times New Roman;serif" w:hAnsi="Times New Roman;serif"/>
          <w:b w:val="false"/>
          <w:color w:val="000000"/>
          <w:sz w:val="24"/>
          <w:u w:val="single"/>
        </w:rPr>
        <w:t>Sections 10 and 11</w:t>
      </w:r>
      <w:r>
        <w:rPr>
          <w:color w:val="000000"/>
        </w:rPr>
        <w:t xml:space="preserve"> </w:t>
      </w:r>
      <w:r>
        <w:rPr>
          <w:rFonts w:ascii="Times New Roman;serif" w:hAnsi="Times New Roman;serif"/>
          <w:b w:val="false"/>
          <w:color w:val="000000"/>
          <w:sz w:val="24"/>
        </w:rPr>
        <w:t xml:space="preserve">are reasonable and necessary to protect the continuing interests of the Employer, and any violation of </w:t>
      </w:r>
      <w:r>
        <w:rPr>
          <w:rFonts w:ascii="Times New Roman;serif" w:hAnsi="Times New Roman;serif"/>
          <w:b w:val="false"/>
          <w:color w:val="000000"/>
          <w:sz w:val="24"/>
          <w:u w:val="single"/>
        </w:rPr>
        <w:t>Sections 10 and 11</w:t>
      </w:r>
      <w:r>
        <w:rPr>
          <w:color w:val="000000"/>
        </w:rPr>
        <w:t xml:space="preserve"> </w:t>
      </w:r>
      <w:r>
        <w:rPr>
          <w:rFonts w:ascii="Times New Roman;serif" w:hAnsi="Times New Roman;serif"/>
          <w:b w:val="false"/>
          <w:color w:val="000000"/>
          <w:sz w:val="24"/>
        </w:rPr>
        <w:t xml:space="preserve">will result in irreparable injury to the Employer, the exact amount of which will be difficult to ascertain, and that the remedies at law for any such violation would not reasonably or adequately compensate the Employer for such violation. Accordingly, the Employee agrees that if the Employee violates any of the provision of </w:t>
      </w:r>
      <w:r>
        <w:rPr>
          <w:rFonts w:ascii="Times New Roman;serif" w:hAnsi="Times New Roman;serif"/>
          <w:b w:val="false"/>
          <w:color w:val="000000"/>
          <w:sz w:val="24"/>
          <w:u w:val="single"/>
        </w:rPr>
        <w:t>Sections 10 and 11</w:t>
      </w:r>
      <w:r>
        <w:rPr>
          <w:rFonts w:ascii="Times New Roman;serif" w:hAnsi="Times New Roman;serif"/>
          <w:b w:val="false"/>
          <w:color w:val="000000"/>
          <w:sz w:val="24"/>
        </w:rPr>
        <w:t xml:space="preserve">, in addition to any other remedy that may be available at law or in equity, the Employer shall be entitled to specific performance and injunctive relief, without the necessity of proving actual damages or posting of a bond or other security. </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Damages For Improper Termination With Cause</w:t>
      </w:r>
      <w:r>
        <w:rPr>
          <w:rFonts w:ascii="Times New Roman;serif" w:hAnsi="Times New Roman;serif"/>
          <w:b w:val="false"/>
          <w:color w:val="000000"/>
          <w:sz w:val="24"/>
        </w:rPr>
        <w:t xml:space="preserve">. If the Employer terminates this Agreement and the Employee’s employment hereunder for Cause, but it subsequently is determined by a court of competent jurisdiction, as the case may be, that the Employer did not have Cause for the termination, then for purposes of this Agreement, the Employer’s decision to terminate shall be deemed to have been a termination without Cause, and the Employer shall be obligated to pay the Severance Benefits specified under </w:t>
      </w:r>
      <w:r>
        <w:rPr>
          <w:rFonts w:ascii="Times New Roman;serif" w:hAnsi="Times New Roman;serif"/>
          <w:b w:val="false"/>
          <w:color w:val="000000"/>
          <w:sz w:val="24"/>
          <w:u w:val="single"/>
        </w:rPr>
        <w:t>Section 6(c)</w:t>
      </w:r>
      <w:r>
        <w:rPr>
          <w:rFonts w:ascii="Times New Roman;serif" w:hAnsi="Times New Roman;serif"/>
          <w:b w:val="false"/>
          <w:color w:val="000000"/>
          <w:sz w:val="24"/>
        </w:rPr>
        <w:t xml:space="preserve">, and, subject to </w:t>
      </w:r>
      <w:r>
        <w:rPr>
          <w:rFonts w:ascii="Times New Roman;serif" w:hAnsi="Times New Roman;serif"/>
          <w:b w:val="false"/>
          <w:color w:val="000000"/>
          <w:sz w:val="24"/>
          <w:u w:val="single"/>
        </w:rPr>
        <w:t>Section 24</w:t>
      </w:r>
      <w:r>
        <w:rPr>
          <w:color w:val="000000"/>
        </w:rPr>
        <w:t xml:space="preserve"> </w:t>
      </w:r>
      <w:r>
        <w:rPr>
          <w:rFonts w:ascii="Times New Roman;serif" w:hAnsi="Times New Roman;serif"/>
          <w:b w:val="false"/>
          <w:color w:val="000000"/>
          <w:sz w:val="24"/>
        </w:rPr>
        <w:t>hereof, only that amount.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Arbitration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provided in Section 13(b) below and except for any claim or claims that cannot be arbitrated as a matter of law, any controversy or dispute arising out of, based upon, or relating to this Agreement, its enforcement or interpretation, or because of an alleged breach, default, or misrepresentation in connection with any of its provisions, or arising out of, based upon, or relating in any way to the Employee’s employment or association with the Employer, or termination of the same, including, without limiting the generality of the foregoing, any questions regarding whether a particular dispute is arbitrable, and any alleged violation of statute, common law or public policy, including, but not limited to, any state or federal statutory claims, shall be submitted to final and binding arbitration in Orange County, California, in accordance with the JAMS Employment Arbitration Rules and Procedures, before a single neutral arbitrator selected from the JAMS panel, or if JAMS is no longer able to supply the arbitrator, such arbitrator shall be selected from the American Arbitration Association, in accordance with its National Rules for the Resolution of Employment Disputes (the arbitrator selected hereunder, the “</w:t>
      </w:r>
      <w:r>
        <w:rPr>
          <w:rFonts w:ascii="Times New Roman;serif" w:hAnsi="Times New Roman;serif"/>
          <w:b w:val="false"/>
          <w:color w:val="000000"/>
          <w:sz w:val="24"/>
          <w:u w:val="single"/>
        </w:rPr>
        <w:t>Arbitrator</w:t>
      </w:r>
      <w:r>
        <w:rPr>
          <w:color w:val="000000"/>
        </w:rPr>
        <w:t>”</w:t>
      </w:r>
      <w:r>
        <w:rPr>
          <w:rFonts w:ascii="Times New Roman;serif" w:hAnsi="Times New Roman;serif"/>
          <w:b w:val="false"/>
          <w:color w:val="000000"/>
          <w:sz w:val="24"/>
        </w:rPr>
        <w:t xml:space="preserve">). Provisional injunctive relief may, but need not, be sought by either party to this Agreement in a court of law while arbitration proceedings are pending, pursuant to California Code of Civil Procedure section 1281.8,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state or federal statutes. At the conclusion of the arbitration, the Arbitrator shall issue </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29920"/>
                <wp:effectExtent l="0" t="0" r="0" b="0"/>
                <wp:wrapNone/>
                <wp:docPr id="120" name="Frame11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To the extent permitted by law, the arbitrator’s fees and arbitration expenses and any other costs associated with the arbitration or arbitration hearing that are unique to arbitration will be borne equally by each party. The parties shall each pay their own deposition, witness, expert and attorneys’ fees and other expenses as and to the same extent as if the matter were being heard in court,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arbitrator may in its discretion award costs to the prevailing party if it determines that to be appropriate in accordance with applicable law.</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the foregoing, the Employee agrees that it would be difficult to measure any damages caused to the Employer which might result from any breach by the Employee of the covenants set forth in Sections 10, 11, 14 or 15, and that in any event, money damages would be an inadequate remedy for any such breach. Accordingly, if the Employee has breached, breaches, or proposes to breach Sections 10, 11, 14 or 15, the Employer shall be entitled, in addition to all other remedies such party may have, to a temporary, preliminary or permanent injunction or other appropriate equitable relief to restrain any such breach without showing or proving any actual damage to the non-breaching party from any court having competent jurisdiction over either party.</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Parties expressly agree that each may bring and pursue Claims against the other only in their individual capacities, and not on behalf of, with respect to, joined with, and/or as a part of, any class action, collective action, and/or representative action, except as expressly set forth herein or unless such waiver is not permitted by applicable law. The Parties agree that in the event Employee brings a Claim under the California Private Attorneys General Act of 2004, Employee may pursue Claims and seek remedies as a representative of the California Labor &amp; Workforce Development Agency, but only based on alleged violations of law personally suffered by Employee, and any such individual PAGA Claims must be arbitrated consistent with this Arbitration provision. If Employee suffered an alleged violation of law, Employee may request that the arbitrator award any remedies available under the law for the violation personally experienced by Employee. However, Employee may not seek to represent other employees, or join the Claims of other employees, or obtain remedies for alleged legal violations suffered by other employees, even if Employee claims to have suffered the same type of alleged legal violations. The Parties further agree that Employee may not participate in, or seek to be covered by or benefit from, a class action, collective action, or representative action asserting Claims covered by this Arbitration provision if filed by another employee. If any Party brings a Claim as a plaintiff, or participates as a member of or person to be covered by a class action, collective action, or representative action, or challenges the enforceability of this provision, the Parties agree that a court, not an arbitrator, shall determine what Claims are subject to the duty to arbitrate and whether any Claims must proceed on a class, collective, joint, and/or representative basis. If the court determines that any Claims must proceed on a class or collective basis, or that any Claims arising from alleged unlawful acts or violations not personally committed against or suffered by Employee have been asserted, then those Claims, if allowed, may only proceed in court, not in arbitration. Such Claims shall be dismissed by the court to the fullest extent allowed by law; if the Claims cannot be dismissed by the court, the Claims will be stayed pending the conclusion of the arbitration between the Parties.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Parties voluntarily agree that Employer is engaged in transactions involving interstate commerce, and this Arbitration provision shall be subject to the substantive and procedural provisions of the Federal Arbitration Act, 9 U.S.C. §§ 1, et seq.</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PARTIES HERETO HEREBY IRREVOCABLY WAIVE ALL RIGHT TO TRIAL, INCLUDING ANY RIGHTS TO TRIAL BY JURY, IN ANY ACTION, PROCEEDING OR COUNTERCLAIM BROUGHT BY EITHER OF THE PARTIES </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629920"/>
                <wp:effectExtent l="0" t="0" r="0" b="0"/>
                <wp:wrapNone/>
                <wp:docPr id="121" name="Frame12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AGAINST THE OTHER IN CONNECTION WITH ANY MATTER WHATSOEVER ARISING OUT OF OR IN ANY WAY CONNECTED WITH THIS AGREEMENT OR THE PROVISION OF SERVICES UNDER THIS AGREEMENT.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Cooperation</w:t>
      </w:r>
      <w:r>
        <w:rPr>
          <w:rFonts w:ascii="Times New Roman;serif" w:hAnsi="Times New Roman;serif"/>
          <w:b w:val="false"/>
          <w:color w:val="000000"/>
          <w:sz w:val="24"/>
        </w:rPr>
        <w:t xml:space="preserve">. Upon the receipt of reasonable notice from the Employer (including from outside counsel to the Employer), the Employee agrees that while employed by the Employer and after the termination of the Employee’s employment for any reason, the Employee will respond and provide information with regard to matters in which the Employee has knowledge as a result of the Employee’s employment with the Employer, and will provide reasonable assistance to the Employer, its Affiliates and their respective representatives in defense of any claims that may be made against the Employer or its Affiliates, and will assist the Employer and its Affiliates in the prosecution of any claims that may be made by the Employer or its Affiliates, to the extent that such claims may relate to the period of the Employee’s employment with the Employer,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with respect to periods after the termination of the Employee’s employment, the Employer shall reimburse the Employee for any reasonable out-of-pocket expenses incurred in providing such assistance and, with respect to any period in which the Employee is required to provide more than ten hours of assistance per week after Employee’s termination of employment but is not receiving severance payments from the Employer or its Affiliates, and is not testifying, the Employer shall pay the Employee a reasonable amount of money for Employee’s services at a reasonable rate agreed to between the Employer and the Employee;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after the Employee’s termination of employment with the Employer, such assistance shall not unreasonably interfere with the Employee’s business or personal obligations. The Employee agrees to promptly inform the Employer if the Employee becomes aware of any lawsuits involving such claims that may be filed or threatened against the Employer or its Affiliates. The Employee also agrees to promptly inform the Employer (to the extent the Employee is legally permitted to do so) if the Employee is asked to assist in any investigation of the Employer or its Affiliates (or their actions), regardless of whether a lawsuit or other proceeding has then been filed against the Employer or its Affiliates with respect to such investigation, and shall not do so unless legally required.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Disclosure and Assignment of Inventions and Improvements</w:t>
      </w:r>
      <w:r>
        <w:rPr>
          <w:rFonts w:ascii="Times New Roman;serif" w:hAnsi="Times New Roman;serif"/>
          <w:b w:val="false"/>
          <w:color w:val="000000"/>
          <w:sz w:val="24"/>
        </w:rPr>
        <w:t>. Without prejudice to any other duties express or implied imposed on the Employee hereunder it shall be part of the Employee’s normal duties at all times to consider in what manner and by what methods or devices the products, services, processes, equipment or systems of the Employer and any customer or vendor of the Employer might be improved and promptly to give to the Chief Executive Officer of the Employer or Employee’s designee full details of any improvement, invention, research, development, discovery, design, code, model, suggestion or innovation (collectively called “</w:t>
      </w:r>
      <w:r>
        <w:rPr>
          <w:rFonts w:ascii="Times New Roman;serif" w:hAnsi="Times New Roman;serif"/>
          <w:b w:val="false"/>
          <w:color w:val="000000"/>
          <w:sz w:val="24"/>
          <w:u w:val="single"/>
        </w:rPr>
        <w:t>Work Product</w:t>
      </w:r>
      <w:r>
        <w:rPr>
          <w:color w:val="000000"/>
        </w:rPr>
        <w:t>”</w:t>
      </w:r>
      <w:r>
        <w:rPr>
          <w:rFonts w:ascii="Times New Roman;serif" w:hAnsi="Times New Roman;serif"/>
          <w:b w:val="false"/>
          <w:color w:val="000000"/>
          <w:sz w:val="24"/>
        </w:rPr>
        <w:t>), which the Employee (alone or with others) may make, discover, create or conceive in the course of the Employee’s employment. The Employee acknowledges that the Work Product is the property of the Employer. To the extent that any of the Work Product is capable of protection by copyright, the Employee acknowledges that it is created within the scope of the Employee’s employment and is a work made for hire. To the extent that any such material may not be a work made for hire, the Employee hereby assigns to the Employer all rights in such material. To the extent that any of the Work Product is an invention, discovery, process or other potentially patentable subject matter (the “</w:t>
      </w:r>
      <w:r>
        <w:rPr>
          <w:rFonts w:ascii="Times New Roman;serif" w:hAnsi="Times New Roman;serif"/>
          <w:b w:val="false"/>
          <w:color w:val="000000"/>
          <w:sz w:val="24"/>
          <w:u w:val="single"/>
        </w:rPr>
        <w:t>Inventions</w:t>
      </w:r>
      <w:r>
        <w:rPr>
          <w:color w:val="000000"/>
        </w:rPr>
        <w:t>”</w:t>
      </w:r>
      <w:r>
        <w:rPr>
          <w:rFonts w:ascii="Times New Roman;serif" w:hAnsi="Times New Roman;serif"/>
          <w:b w:val="false"/>
          <w:color w:val="000000"/>
          <w:sz w:val="24"/>
        </w:rPr>
        <w:t>), the Employee hereby assigns to the Employer all right, title, and interest in and to all Inventions. The Employer acknowledges that the assignment in the preceding sentence does not apply to an Invention that the Employee develops entirely on Employee’s own time without using the Employer’s equipment, supplies, facilities or trade secret information, except for those Inventions that either:</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629920"/>
                <wp:effectExtent l="0" t="0" r="0" b="0"/>
                <wp:wrapNone/>
                <wp:docPr id="122" name="Frame12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relate at the time of conception or reduction to practice of the Invention to the Employer’s business, or actual or demonstrably anticipated research or development of the Employer,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result from any work performed by the Employee for the Employer.</w:t>
      </w:r>
    </w:p>
    <w:p>
      <w:pPr>
        <w:pStyle w:val="TextBody"/>
        <w:bidi w:val="0"/>
        <w:spacing w:lineRule="auto" w:line="288" w:before="0" w:after="240"/>
        <w:jc w:val="both"/>
        <w:rPr/>
      </w:pPr>
      <w:r>
        <w:rPr>
          <w:rFonts w:ascii="Times New Roman;serif" w:hAnsi="Times New Roman;serif"/>
          <w:b w:val="false"/>
          <w:color w:val="000000"/>
          <w:sz w:val="24"/>
        </w:rPr>
        <w:t xml:space="preserve">Execution of this Agreement constitutes the Employee’s acknowledgment of receipt of written notification of this </w:t>
      </w:r>
      <w:r>
        <w:rPr>
          <w:rFonts w:ascii="Times New Roman;serif" w:hAnsi="Times New Roman;serif"/>
          <w:b w:val="false"/>
          <w:color w:val="000000"/>
          <w:sz w:val="24"/>
          <w:u w:val="single"/>
        </w:rPr>
        <w:t>Section 15</w:t>
      </w:r>
      <w:r>
        <w:rPr>
          <w:color w:val="000000"/>
        </w:rPr>
        <w:t xml:space="preserve"> </w:t>
      </w:r>
      <w:r>
        <w:rPr>
          <w:rFonts w:ascii="Times New Roman;serif" w:hAnsi="Times New Roman;serif"/>
          <w:b w:val="false"/>
          <w:color w:val="000000"/>
          <w:sz w:val="24"/>
        </w:rPr>
        <w:t>and of notice of the general exception to assignments of Inventions provided under the Uniform Employee Patents Act, in the form adopted by the state having jurisdiction over this Agreement or provision, or any comparable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Representations and Warranties; Advice of Counsel</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Employee represents and warrants that (i) Employee is under no contractual or other obligation that would prevent Employee from accepting the Employer’s offer of employment as set forth herein, (ii) Employee has the full right, authority and capacity to enter into this Agreement and to perform Employee’s obligations hereunder, (iii) the execution of this Agreement and the performance of Employee’s obligations hereunder will not breach or be in conflict with any other agreement to which the Employee is a party or is bound, and (iv) the Employee is not now subject to, and has not previously violated, any covenants against competition, solicitation, hire or similar covenants, any court order or other legal obligation, or other agreement that would affect the performance of Employee’s obligations hereunder or would otherwise conflict with, prevent or restrict the full performance of Employee’s duties and obligations to the Employer or any of its Affiliates before, during or after the Employment Period. The Employee covenants that Employee will not disclose or use on behalf of the Employer or its Affiliates any proprietary information of a third party without such party’s consent.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Prior to execution of this Agreement, the Employee was advised by the Employer of the Employee’s right to seek independent advice from an attorney of the Employee’s own selection regarding this Agreement. The Employee acknowledges that the Employee has entered into this Agreement knowingly and voluntarily and with full knowledge and understanding of the provisions of this Agreement after being given the opportunity to consult with counsel. The Employee further represents that in entering into this Agreement, the Employee is not relying on any statements or representations made by any of the directors, officers, employees or agents of the Employer or any of its Affiliates which are not expressly set forth herein, and that the Employee is relying only upon the Employee’s own judgment and any advice provided by the Employee’s attorney.</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is intended by the parties to be the final expression of their agreement with respect to the employment of the Employee by the Employer and may not be contradicted by evidence of any prior or contemporaneous agreement (including, without limitation any term sheet or similar agreement entered into between the Employer or any Affiliate and the Employee). The parties further intend that this Agreement shall constitute the complete and exclusive statement of its terms and that no extrinsic evidence whatsoever may be introduced in any judicial, administrative, or other legal proceeding to vary the terms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No Other Representations</w:t>
      </w:r>
      <w:r>
        <w:rPr>
          <w:rFonts w:ascii="Times New Roman;serif" w:hAnsi="Times New Roman;serif"/>
          <w:b w:val="false"/>
          <w:color w:val="000000"/>
          <w:sz w:val="24"/>
        </w:rPr>
        <w:t xml:space="preserve">. Except as expressly provided in this Agreement, (i) no person or entity has made or has the authority to make any representations or promises on behalf of any of the parties which are inconsistent with the representations or promises contained in this Agreement, and (ii) this Agreement has not been executed in reliance on any representations or </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629920"/>
                <wp:effectExtent l="0" t="0" r="0" b="0"/>
                <wp:wrapNone/>
                <wp:docPr id="123" name="Frame12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promises not set forth herein. Specifically, no promises, warranties or representations have been made by anyone on any topic or subject matter related to the Employee’s relationship with the Employer or any of its Affiliates or any of their executives or employees, including but not limited to any promises, warranties or representations regarding future employment, compensation, benefits, any entitlement to equity interests in the Employer or any of its Affiliates or regarding the termination of the Employee’s employment. In this regard, the Employee agrees that no promises, warranties or representations shall be deemed to be made in the future unless they are set forth in writing and signed by an authorized representative of the Employer.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Amendments</w:t>
      </w:r>
      <w:r>
        <w:rPr>
          <w:rFonts w:ascii="Times New Roman;serif" w:hAnsi="Times New Roman;serif"/>
          <w:b w:val="false"/>
          <w:color w:val="000000"/>
          <w:sz w:val="24"/>
        </w:rPr>
        <w:t>. This Agreement may be modified only by agreement of the parties by a written instrument executed by the parties that is designated as an amendment to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Severability and Non-Waiver/Survival</w:t>
      </w:r>
      <w:r>
        <w:rPr>
          <w:rFonts w:ascii="Times New Roman;serif" w:hAnsi="Times New Roman;serif"/>
          <w:b w:val="false"/>
          <w:color w:val="000000"/>
          <w:sz w:val="24"/>
        </w:rPr>
        <w:t xml:space="preserve">. Any provision of this Agreement (or portion thereof) which is deemed invalid, illegal or unenforceable in any jurisdiction shall, as to that jurisdiction and subject to this </w:t>
      </w:r>
      <w:r>
        <w:rPr>
          <w:rFonts w:ascii="Times New Roman;serif" w:hAnsi="Times New Roman;serif"/>
          <w:b w:val="false"/>
          <w:color w:val="000000"/>
          <w:sz w:val="24"/>
          <w:u w:val="single"/>
        </w:rPr>
        <w:t>Section 20</w:t>
      </w:r>
      <w:r>
        <w:rPr>
          <w:rFonts w:ascii="Times New Roman;serif" w:hAnsi="Times New Roman;serif"/>
          <w:b w:val="false"/>
          <w:color w:val="000000"/>
          <w:sz w:val="24"/>
        </w:rPr>
        <w:t>, be ineffective to the extent of such invalidity, illegality or unenforceability, without affecting in any way the remaining provisions thereof in such jurisdiction or rendering such provision or any other provision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 No waiver of any provision or violation of this Agreement by the Employer shall be implied by the Employer’s forbearance or failure to take action. The expiration or termination of the Employment Period and this Agreement shall not impair the rights or obligations of any party hereto which shall have accrued hereunder prior to such expiration or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Successor/Assigns</w:t>
      </w:r>
      <w:r>
        <w:rPr>
          <w:rFonts w:ascii="Times New Roman;serif" w:hAnsi="Times New Roman;serif"/>
          <w:b w:val="false"/>
          <w:color w:val="000000"/>
          <w:sz w:val="24"/>
        </w:rPr>
        <w:t>. This Agreement shall be binding upon and inure to the benefit of the parties and their respective heirs, representatives, executors, administrators, successors, and assigns, provided, however, that the Employee may not assign any or all of Employee’s rights or duties hereunder. The Employee shall be entitled, to the extent permitted under applicable law, to select and change a beneficiary or beneficiaries to receive any compensation or benefit hereunder following the Employee’s death by giving written notice thereof. In the event of the Employee’s death or a judicial determination of Employee’s incompetence, references in this Agreement to the Employee shall be deemed, where appropriate, to refer to Employee’s beneficiary, estate or other legal representative.</w: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Voluntary and Knowledgeable Act</w:t>
      </w:r>
      <w:r>
        <w:rPr>
          <w:rFonts w:ascii="Times New Roman;serif" w:hAnsi="Times New Roman;serif"/>
          <w:b w:val="false"/>
          <w:color w:val="000000"/>
          <w:sz w:val="24"/>
        </w:rPr>
        <w:t>. The Employee represents and warrants that the Employee has read and understands each and every provision of this Agreement and has freely and voluntarily entered into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This Agreement shall be construed and enforced under and be governed as to its validity and effect by the laws of the State of California without regard to the conflict of laws principles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Attorneys’ Fees</w:t>
      </w:r>
      <w:r>
        <w:rPr>
          <w:rFonts w:ascii="Times New Roman;serif" w:hAnsi="Times New Roman;serif"/>
          <w:b w:val="false"/>
          <w:color w:val="000000"/>
          <w:sz w:val="24"/>
        </w:rPr>
        <w:t xml:space="preserve">. If any dispute between the parties should result in litigation, the prevailing party in such dispute shall be entitled to recover from the other party all reasonable out-of-pocket fees, costs and expenses of enforcing any right of the prevailing party, including without limitation, reasonable attorneys’ fees and expenses, all of which shall be deemed to have accrued upon the commencement of such action and shall be paid whether or not such action is prosecuted to judgment, to the extent permitted by law. Any judgment or order entered in such action shall contain a specific provision providing for the recovery of attorneys’ fees and costs incurred in enforcing such judgment and an award of prejudgment interest from the date of the </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629920"/>
                <wp:effectExtent l="0" t="0" r="0" b="0"/>
                <wp:wrapNone/>
                <wp:docPr id="124" name="Frame12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breach at the maximum rate of interest allowed by law. For the purposes of this </w:t>
      </w:r>
      <w:r>
        <w:rPr>
          <w:rFonts w:ascii="Times New Roman;serif" w:hAnsi="Times New Roman;serif"/>
          <w:b w:val="false"/>
          <w:color w:val="000000"/>
          <w:sz w:val="24"/>
          <w:u w:val="single"/>
        </w:rPr>
        <w:t>Section 24</w:t>
      </w:r>
      <w:r>
        <w:rPr>
          <w:rFonts w:ascii="Times New Roman;serif" w:hAnsi="Times New Roman;serif"/>
          <w:b w:val="false"/>
          <w:color w:val="000000"/>
          <w:sz w:val="24"/>
        </w:rPr>
        <w:t>: (a) attorneys’ fees include, without limitation, fees incurred in the following: (i) post-judgment motions; (ii) contempt proceedings; (iii) garnishment, levy, and debtor and third party examinations; (iv) discovery and (v) bankruptcy litigation, and (b) “prevailing party” means the party who is determined in the proceeding to have prevailed or who prevails by dismissal, default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shall be deemed to be an original, but both of which together shall constitute one and the same instrument.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Notices</w:t>
      </w:r>
      <w:r>
        <w:rPr>
          <w:rFonts w:ascii="Times New Roman;serif" w:hAnsi="Times New Roman;serif"/>
          <w:b w:val="false"/>
          <w:color w:val="000000"/>
          <w:sz w:val="24"/>
        </w:rPr>
        <w:t>. Except as otherwise provided for herein, all notices and other communications provided for hereunder shall be in writing (including facsimile communication and electronic mail) and mailed (via registered or certified mail), telecopied or delivered to the party for whom it is intended at the address, telecopier number or e-mail address set forth below or, as to each party, at such other address as designated by that party in a written notice to the other parties. All notices and communications shall be deemed to have been validly served, given or delivered (i) if personally delivered, upon receipt or refusal to accept delivery, (ii) if sent via facsimile, upon mechanical confirmation of successful transmission thereof generated by the sending facsimile machine, (iii) if sent by a commercial overnight courier for delivery on the next business day, on the first business day after deposit with such courier service (or the second business day if sent to an address not in the United States), (iv) if sent by registered or certified mail, three days after deposit thereof in the United States mail, or (v) if sent by electronic mail, one business day after transmission when directed to the appropriate e-mail address (provided that the party giving notice must verify the e-mail address of the recipient prior to transmission):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to the Employee, to Employee at Employee’s most recent address in the Employer’s records,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to the Employer, to:</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Alignment Healthcare USA, LLC</w:t>
        <w:br/>
        <w:t>1100 Town &amp; Country Road, Suite 1600</w:t>
        <w:br/>
        <w:t>Orange, CA 92868</w:t>
        <w:br/>
        <w:t>Facsimile: (844) 320-2247</w:t>
        <w:br/>
        <w:t>E-mail: LegalNotices@ahcusa.com</w:t>
        <w:br/>
        <w:t>Attention: Legal Department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the recipient party to whom notice is to be given may have furnished to the other party in writing in accordance herewith.</w:t>
      </w:r>
    </w:p>
    <w:p>
      <w:pPr>
        <w:pStyle w:val="TextBody"/>
        <w:bidi w:val="0"/>
        <w:spacing w:lineRule="auto" w:line="240" w:before="0" w:after="240"/>
        <w:ind w:left="0" w:right="0" w:firstLine="72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Descriptive Headings; Nouns and Pronouns</w:t>
      </w:r>
      <w:r>
        <w:rPr>
          <w:rFonts w:ascii="Times New Roman;serif" w:hAnsi="Times New Roman;serif"/>
          <w:b w:val="false"/>
          <w:color w:val="000000"/>
          <w:sz w:val="24"/>
        </w:rPr>
        <w:t>. Descriptive headings are for convenience only and shall not control or affect the meaning or construction of any provision of this Agreement. Whenever the context may require, any pronouns used herein shall include the corresponding masculine, feminine or neuter forms, and the singular form of nouns and pronouns shall include the plural and vice-versa.</w:t>
      </w:r>
    </w:p>
    <w:p>
      <w:pPr>
        <w:pStyle w:val="TextBody"/>
        <w:bidi w:val="0"/>
        <w:spacing w:lineRule="auto" w:line="240" w:before="0" w:after="240"/>
        <w:ind w:left="0" w:right="0" w:firstLine="72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Non-Qualified Deferred Compensation</w:t>
      </w:r>
      <w:r>
        <w:rPr>
          <w:rFonts w:ascii="Times New Roman;serif" w:hAnsi="Times New Roman;serif"/>
          <w:b w:val="false"/>
          <w:color w:val="000000"/>
          <w:sz w:val="24"/>
        </w:rPr>
        <w:t>. To the extent applicable, this Agreement shall be interpreted in accordance with Section 409A of the U.S.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xml:space="preserve">), and Department of Treasury regulations and other interpretive guidance issued thereunder, including without limitation any such regulations or other guidance that may be issued after the date hereof. For purposes of Section 409A of the Code, each of the </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629920"/>
                <wp:effectExtent l="0" t="0" r="0" b="0"/>
                <wp:wrapNone/>
                <wp:docPr id="125" name="Frame12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payments that may be made hereunder is designated as a separate payment and, for the avoidance of doubt and without limiting the foregoing, the Employee’s right to receive installment payments pursuant to </w:t>
      </w:r>
      <w:r>
        <w:rPr>
          <w:rFonts w:ascii="Times New Roman;serif" w:hAnsi="Times New Roman;serif"/>
          <w:b w:val="false"/>
          <w:color w:val="000000"/>
          <w:sz w:val="24"/>
          <w:u w:val="single"/>
        </w:rPr>
        <w:t>Section 6(c)</w:t>
      </w:r>
      <w:r>
        <w:rPr>
          <w:color w:val="000000"/>
        </w:rPr>
        <w:t xml:space="preserve"> </w:t>
      </w:r>
      <w:r>
        <w:rPr>
          <w:rFonts w:ascii="Times New Roman;serif" w:hAnsi="Times New Roman;serif"/>
          <w:b w:val="false"/>
          <w:color w:val="000000"/>
          <w:sz w:val="24"/>
        </w:rPr>
        <w:t>shall be treated as a right to receive a series of separate and distinct payments. To the extent that any reimbursement of expenses or in-kind benefits constitutes “deferred compensation” under Section 409A of the Code, such reimbursement or benefit shall be provided no later than December 31 of the year following the year in which the expense was incurred. The reimbursements under this Agreement are not subject to liquidation or exchange for another benefit, and the amount of expenses reimbursed in one taxable year shall not affect the amount eligible for reimbursement in any other taxable year. Notwithstanding any provision of this Agreement to the contrary, in the event that the Employer determines that any amounts payable hereunder will be immediately taxable to the Employee under Section 409A of the Code and related Department of Treasury guidance, the Employer reserves the right (without any obligation to do so or to indemnify the Employee for failure to do so) to (a) adopt such amendments to this Agreement and appropriate policies and procedures, including amendments and policies with retroactive effect, that the Employer determines necessary or appropriate to preserve the intended tax treatment of the benefits provided by this Agreement, to preserve the economic benefits of this Agreement and to avoid less favorable accounting or tax consequences for the Employer and/or (b) take such other actions as the Employer determines necessary or appropriate to exempt the amounts payable hereunder from Section 409A of the Code and related Department of Treasury guidance, or to comply with the requirements of Section 409A of the Code and related Department of Treasury guidance, including such Department of Treasury guidance and other interpretive materials as may be issued after the date hereof, and avoid the applicable of penalty taxes thereunder. No provision of this Agreement shall be interpreted or construed to transfer any liability for failure to comply with the requirements of Section 409A of the Code from the Employee or any other individual to the Employer or any of its Affiliates, employees or agents. To the extent any amounts under this Agreement are payable by reference to Employee’s “termination of employment,” such term and similar terms shall be deemed to refer to Employee’s “separation from service,” within the meaning of Section 409A of the Code. Notwithstanding any other provision in this Agreement, to the extent any payments hereunder constitute nonqualified deferred compensation, within the meaning of Section 409A of the Code, then if the Employee is a specified employee (within the meaning of Section 409A of the Code) as of the date of Employee’s separation from service, each such payment that is payable upon the Employee’s separation from service and would have been paid prior to the six-month anniversary of Employee’s separation from service, shall be delayed until the earlier to occur of (i) the first day of the seventh month following the Employee’s separation from service or (ii) the date of the Employee’s death.</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29920"/>
                <wp:effectExtent l="0" t="0" r="0" b="0"/>
                <wp:wrapNone/>
                <wp:docPr id="126" name="Frame12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Employment Agreement as of the date first written above.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ALIGNMENT HEALTHCARE USA, LLC</w:t>
      </w:r>
    </w:p>
    <w:p>
      <w:pPr>
        <w:pStyle w:val="TextBody"/>
        <w:bidi w:val="0"/>
        <w:spacing w:lineRule="auto" w:line="288" w:before="0" w:after="24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John Kao                    </w:t>
        <w:br/>
      </w: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t>John Kao                    </w:t>
      </w:r>
      <w:r>
        <w:rPr>
          <w:rFonts w:ascii="Times New Roman;serif" w:hAnsi="Times New Roman;serif"/>
          <w:b w:val="false"/>
          <w:color w:val="000000"/>
          <w:sz w:val="24"/>
        </w:rPr>
        <w:br/>
        <w:t xml:space="preserve">Title: </w:t>
      </w:r>
      <w:r>
        <w:rPr>
          <w:color w:val="000000"/>
          <w:u w:val="single"/>
        </w:rPr>
        <w:t>    </w:t>
      </w:r>
      <w:r>
        <w:rPr>
          <w:rFonts w:ascii="Times New Roman;serif" w:hAnsi="Times New Roman;serif"/>
          <w:b w:val="false"/>
          <w:color w:val="000000"/>
          <w:sz w:val="24"/>
          <w:u w:val="single"/>
        </w:rPr>
        <w:t>CEO                        </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4"/>
          <w:u w:val="single"/>
        </w:rPr>
        <w:t>/s/ Christopher Joyce                    </w:t>
      </w:r>
      <w:r>
        <w:rPr>
          <w:rFonts w:ascii="Times New Roman;serif" w:hAnsi="Times New Roman;serif"/>
          <w:b w:val="false"/>
          <w:color w:val="000000"/>
          <w:sz w:val="24"/>
        </w:rPr>
        <w:br/>
        <w:t>Christopher Joyce, individually</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ind w:left="0" w:right="0" w:firstLine="14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10.18</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629920"/>
                <wp:effectExtent l="0" t="0" r="0" b="0"/>
                <wp:wrapNone/>
                <wp:docPr id="127" name="Frame12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19.6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PSU AWARD AGREEMENT</w:t>
        <w:br/>
        <w:t>ALIGNMENT HEALTHCARE, INC. 2021 EQUITY INCENTIVE PLAN</w:t>
      </w:r>
    </w:p>
    <w:p>
      <w:pPr>
        <w:pStyle w:val="TextBody"/>
        <w:bidi w:val="0"/>
        <w:spacing w:lineRule="auto" w:line="288" w:before="0" w:after="0"/>
        <w:jc w:val="left"/>
        <w:rPr/>
      </w:pPr>
      <w:r>
        <w:rPr>
          <w:rFonts w:ascii="Times New Roman;serif" w:hAnsi="Times New Roman;serif"/>
          <w:b w:val="false"/>
          <w:color w:val="000000"/>
          <w:sz w:val="24"/>
        </w:rPr>
        <w:t>Alignment Healthcare,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grants to the Participant named below (“</w:t>
      </w:r>
      <w:r>
        <w:rPr>
          <w:rFonts w:ascii="Times New Roman;serif" w:hAnsi="Times New Roman;serif"/>
          <w:b w:val="false"/>
          <w:color w:val="000000"/>
          <w:sz w:val="24"/>
          <w:u w:val="single"/>
        </w:rPr>
        <w:t>you</w:t>
      </w:r>
      <w:r>
        <w:rPr>
          <w:color w:val="000000"/>
        </w:rPr>
        <w:t>”</w:t>
      </w:r>
      <w:r>
        <w:rPr>
          <w:rFonts w:ascii="Times New Roman;serif" w:hAnsi="Times New Roman;serif"/>
          <w:b w:val="false"/>
          <w:color w:val="000000"/>
          <w:sz w:val="24"/>
        </w:rPr>
        <w:t>) the number of restricted stock units that are subject to Performance Goals and designated as Performance Awards (“</w:t>
      </w:r>
      <w:r>
        <w:rPr>
          <w:rFonts w:ascii="Times New Roman;serif" w:hAnsi="Times New Roman;serif"/>
          <w:b w:val="false"/>
          <w:color w:val="000000"/>
          <w:sz w:val="24"/>
          <w:u w:val="single"/>
        </w:rPr>
        <w:t>PSUs</w:t>
      </w:r>
      <w:r>
        <w:rPr>
          <w:color w:val="000000"/>
        </w:rPr>
        <w:t>”</w:t>
      </w:r>
      <w:r>
        <w:rPr>
          <w:rFonts w:ascii="Times New Roman;serif" w:hAnsi="Times New Roman;serif"/>
          <w:b w:val="false"/>
          <w:color w:val="000000"/>
          <w:sz w:val="24"/>
        </w:rPr>
        <w:t>) set forth below (the “</w:t>
      </w:r>
      <w:r>
        <w:rPr>
          <w:rFonts w:ascii="Times New Roman;serif" w:hAnsi="Times New Roman;serif"/>
          <w:b w:val="false"/>
          <w:color w:val="000000"/>
          <w:sz w:val="24"/>
          <w:u w:val="single"/>
        </w:rPr>
        <w:t>Award</w:t>
      </w:r>
      <w:r>
        <w:rPr>
          <w:color w:val="000000"/>
        </w:rPr>
        <w:t>”</w:t>
      </w:r>
      <w:r>
        <w:rPr>
          <w:rFonts w:ascii="Times New Roman;serif" w:hAnsi="Times New Roman;serif"/>
          <w:b w:val="false"/>
          <w:color w:val="000000"/>
          <w:sz w:val="24"/>
        </w:rPr>
        <w:t>), under this PSU Award Agreement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7"/>
        <w:gridCol w:w="551"/>
        <w:gridCol w:w="554"/>
        <w:gridCol w:w="1314"/>
        <w:gridCol w:w="1314"/>
        <w:gridCol w:w="1314"/>
        <w:gridCol w:w="1314"/>
        <w:gridCol w:w="1314"/>
        <w:gridCol w:w="1903"/>
      </w:tblGrid>
      <w:tr>
        <w:trPr/>
        <w:tc>
          <w:tcPr>
            <w:tcW w:w="6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lineRule="auto" w:line="300" w:before="0" w:after="240"/>
              <w:jc w:val="left"/>
              <w:rPr/>
            </w:pPr>
            <w:r>
              <w:rPr>
                <w:rFonts w:ascii="Times New Roman;serif" w:hAnsi="Times New Roman;serif"/>
                <w:b w:val="false"/>
                <w:color w:val="000000"/>
                <w:sz w:val="24"/>
                <w:u w:val="single"/>
              </w:rPr>
              <w:t>Governing Plan</w:t>
            </w:r>
            <w:r>
              <w:rPr>
                <w:rFonts w:ascii="Times New Roman;serif" w:hAnsi="Times New Roman;serif"/>
                <w:b w:val="false"/>
                <w:color w:val="000000"/>
                <w:sz w:val="24"/>
              </w:rPr>
              <w:t>:</w:t>
            </w:r>
          </w:p>
        </w:tc>
        <w:tc>
          <w:tcPr>
            <w:tcW w:w="8473" w:type="dxa"/>
            <w:gridSpan w:val="6"/>
            <w:tcBorders/>
            <w:tcMar>
              <w:top w:w="0" w:type="dxa"/>
              <w:left w:w="0" w:type="dxa"/>
              <w:bottom w:w="0" w:type="dxa"/>
              <w:right w:w="0" w:type="dxa"/>
            </w:tcMar>
            <w:vAlign w:val="center"/>
          </w:tcPr>
          <w:p>
            <w:pPr>
              <w:pStyle w:val="TableContents"/>
              <w:bidi w:val="0"/>
              <w:spacing w:lineRule="auto" w:line="300" w:before="0" w:after="240"/>
              <w:jc w:val="left"/>
              <w:rPr/>
            </w:pPr>
            <w:r>
              <w:rPr>
                <w:rFonts w:ascii="Times New Roman;serif" w:hAnsi="Times New Roman;serif"/>
                <w:b w:val="false"/>
                <w:color w:val="000000"/>
                <w:sz w:val="24"/>
              </w:rPr>
              <w:t>Alignment Healthcare, Inc. 2021 Equity Incentive Plan, as amended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w:t>
            </w:r>
          </w:p>
        </w:tc>
      </w:tr>
      <w:tr>
        <w:trPr/>
        <w:tc>
          <w:tcPr>
            <w:tcW w:w="1732" w:type="dxa"/>
            <w:gridSpan w:val="3"/>
            <w:tcBorders/>
            <w:tcMar>
              <w:top w:w="0" w:type="dxa"/>
              <w:left w:w="0" w:type="dxa"/>
              <w:bottom w:w="0" w:type="dxa"/>
              <w:right w:w="0" w:type="dxa"/>
            </w:tcMar>
            <w:vAlign w:val="center"/>
          </w:tcPr>
          <w:p>
            <w:pPr>
              <w:pStyle w:val="TableContents"/>
              <w:bidi w:val="0"/>
              <w:spacing w:lineRule="auto" w:line="300" w:before="0" w:after="240"/>
              <w:jc w:val="left"/>
              <w:rPr/>
            </w:pPr>
            <w:r>
              <w:rPr>
                <w:rFonts w:ascii="Times New Roman;serif" w:hAnsi="Times New Roman;serif"/>
                <w:b w:val="false"/>
                <w:color w:val="000000"/>
                <w:sz w:val="24"/>
                <w:u w:val="single"/>
              </w:rPr>
              <w:t>Defined Terms</w:t>
            </w:r>
            <w:r>
              <w:rPr>
                <w:rFonts w:ascii="Times New Roman;serif" w:hAnsi="Times New Roman;serif"/>
                <w:b w:val="false"/>
                <w:color w:val="000000"/>
                <w:sz w:val="24"/>
              </w:rPr>
              <w:t>:</w:t>
            </w:r>
          </w:p>
        </w:tc>
        <w:tc>
          <w:tcPr>
            <w:tcW w:w="8473" w:type="dxa"/>
            <w:gridSpan w:val="6"/>
            <w:tcBorders/>
            <w:tcMar>
              <w:top w:w="0" w:type="dxa"/>
              <w:left w:w="0" w:type="dxa"/>
              <w:bottom w:w="0" w:type="dxa"/>
              <w:right w:w="0" w:type="dxa"/>
            </w:tcMar>
            <w:vAlign w:val="center"/>
          </w:tcPr>
          <w:p>
            <w:pPr>
              <w:pStyle w:val="TableContents"/>
              <w:bidi w:val="0"/>
              <w:spacing w:lineRule="auto" w:line="300" w:before="0" w:after="240"/>
              <w:jc w:val="left"/>
              <w:rPr>
                <w:rFonts w:ascii="Times New Roman;serif" w:hAnsi="Times New Roman;serif"/>
                <w:b w:val="false"/>
                <w:color w:val="000000"/>
                <w:sz w:val="24"/>
              </w:rPr>
            </w:pPr>
            <w:r>
              <w:rPr>
                <w:rFonts w:ascii="Times New Roman;serif" w:hAnsi="Times New Roman;serif"/>
                <w:b w:val="false"/>
                <w:color w:val="000000"/>
                <w:sz w:val="24"/>
              </w:rPr>
              <w:t>As set forth in the Plan, unless otherwise defined in this Agreement</w:t>
            </w:r>
          </w:p>
        </w:tc>
      </w:tr>
      <w:tr>
        <w:trPr/>
        <w:tc>
          <w:tcPr>
            <w:tcW w:w="1732" w:type="dxa"/>
            <w:gridSpan w:val="3"/>
            <w:tcBorders/>
            <w:tcMar>
              <w:top w:w="0" w:type="dxa"/>
              <w:left w:w="0" w:type="dxa"/>
              <w:bottom w:w="0" w:type="dxa"/>
              <w:right w:w="0" w:type="dxa"/>
            </w:tcMar>
            <w:vAlign w:val="center"/>
          </w:tcPr>
          <w:p>
            <w:pPr>
              <w:pStyle w:val="TableContents"/>
              <w:bidi w:val="0"/>
              <w:spacing w:lineRule="auto" w:line="300" w:before="0" w:after="240"/>
              <w:jc w:val="left"/>
              <w:rPr/>
            </w:pPr>
            <w:r>
              <w:rPr>
                <w:rFonts w:ascii="Times New Roman;serif" w:hAnsi="Times New Roman;serif"/>
                <w:b w:val="false"/>
                <w:color w:val="000000"/>
                <w:sz w:val="24"/>
                <w:u w:val="single"/>
              </w:rPr>
              <w:t>Participant</w:t>
            </w:r>
            <w:r>
              <w:rPr>
                <w:rFonts w:ascii="Times New Roman;serif" w:hAnsi="Times New Roman;serif"/>
                <w:b w:val="false"/>
                <w:color w:val="000000"/>
                <w:sz w:val="24"/>
              </w:rPr>
              <w:t>:</w:t>
            </w:r>
          </w:p>
        </w:tc>
        <w:tc>
          <w:tcPr>
            <w:tcW w:w="8473" w:type="dxa"/>
            <w:gridSpan w:val="6"/>
            <w:tcBorders/>
            <w:tcMar>
              <w:top w:w="0" w:type="dxa"/>
              <w:left w:w="0" w:type="dxa"/>
              <w:bottom w:w="0" w:type="dxa"/>
              <w:right w:w="0" w:type="dxa"/>
            </w:tcMar>
            <w:vAlign w:val="center"/>
          </w:tcPr>
          <w:p>
            <w:pPr>
              <w:pStyle w:val="TableContents"/>
              <w:bidi w:val="0"/>
              <w:spacing w:lineRule="auto" w:line="300" w:before="0" w:after="240"/>
              <w:jc w:val="left"/>
              <w:rPr>
                <w:rFonts w:ascii="Times New Roman;serif" w:hAnsi="Times New Roman;serif"/>
                <w:b w:val="false"/>
                <w:color w:val="000000"/>
                <w:sz w:val="24"/>
              </w:rPr>
            </w:pPr>
            <w:r>
              <w:rPr>
                <w:rFonts w:ascii="Times New Roman;serif" w:hAnsi="Times New Roman;serif"/>
                <w:b w:val="false"/>
                <w:color w:val="000000"/>
                <w:sz w:val="24"/>
              </w:rPr>
              <w:t>John Kao</w:t>
            </w:r>
          </w:p>
        </w:tc>
      </w:tr>
      <w:tr>
        <w:trPr/>
        <w:tc>
          <w:tcPr>
            <w:tcW w:w="1732" w:type="dxa"/>
            <w:gridSpan w:val="3"/>
            <w:tcBorders/>
            <w:tcMar>
              <w:top w:w="0" w:type="dxa"/>
              <w:left w:w="0" w:type="dxa"/>
              <w:bottom w:w="0" w:type="dxa"/>
              <w:right w:w="0" w:type="dxa"/>
            </w:tcMar>
            <w:vAlign w:val="center"/>
          </w:tcPr>
          <w:p>
            <w:pPr>
              <w:pStyle w:val="TableContents"/>
              <w:bidi w:val="0"/>
              <w:spacing w:lineRule="auto" w:line="300" w:before="0" w:after="240"/>
              <w:jc w:val="left"/>
              <w:rPr/>
            </w:pPr>
            <w:r>
              <w:rPr>
                <w:rFonts w:ascii="Times New Roman;serif" w:hAnsi="Times New Roman;serif"/>
                <w:b w:val="false"/>
                <w:color w:val="000000"/>
                <w:sz w:val="24"/>
                <w:u w:val="single"/>
              </w:rPr>
              <w:t>Grant Date</w:t>
            </w:r>
            <w:r>
              <w:rPr>
                <w:rFonts w:ascii="Times New Roman;serif" w:hAnsi="Times New Roman;serif"/>
                <w:b w:val="false"/>
                <w:color w:val="000000"/>
                <w:sz w:val="24"/>
              </w:rPr>
              <w:t>:</w:t>
            </w:r>
          </w:p>
        </w:tc>
        <w:tc>
          <w:tcPr>
            <w:tcW w:w="8473" w:type="dxa"/>
            <w:gridSpan w:val="6"/>
            <w:tcBorders/>
            <w:tcMar>
              <w:top w:w="0" w:type="dxa"/>
              <w:left w:w="0" w:type="dxa"/>
              <w:bottom w:w="0" w:type="dxa"/>
              <w:right w:w="0" w:type="dxa"/>
            </w:tcMar>
            <w:vAlign w:val="center"/>
          </w:tcPr>
          <w:p>
            <w:pPr>
              <w:pStyle w:val="TableContents"/>
              <w:bidi w:val="0"/>
              <w:spacing w:lineRule="auto" w:line="300" w:before="0" w:after="240"/>
              <w:jc w:val="left"/>
              <w:rPr>
                <w:rFonts w:ascii="Times New Roman;serif" w:hAnsi="Times New Roman;serif"/>
                <w:b w:val="false"/>
                <w:color w:val="000000"/>
                <w:sz w:val="24"/>
              </w:rPr>
            </w:pPr>
            <w:r>
              <w:rPr>
                <w:rFonts w:ascii="Times New Roman;serif" w:hAnsi="Times New Roman;serif"/>
                <w:b w:val="false"/>
                <w:color w:val="000000"/>
                <w:sz w:val="24"/>
              </w:rPr>
              <w:t>January 24, 2026</w:t>
            </w:r>
          </w:p>
        </w:tc>
      </w:tr>
      <w:tr>
        <w:trPr/>
        <w:tc>
          <w:tcPr>
            <w:tcW w:w="1732" w:type="dxa"/>
            <w:gridSpan w:val="3"/>
            <w:tcBorders/>
            <w:tcMar>
              <w:top w:w="0" w:type="dxa"/>
              <w:left w:w="0" w:type="dxa"/>
              <w:bottom w:w="0" w:type="dxa"/>
              <w:right w:w="0" w:type="dxa"/>
            </w:tcMar>
            <w:vAlign w:val="center"/>
          </w:tcPr>
          <w:p>
            <w:pPr>
              <w:pStyle w:val="TableContents"/>
              <w:bidi w:val="0"/>
              <w:spacing w:lineRule="auto" w:line="300" w:before="0" w:after="240"/>
              <w:jc w:val="left"/>
              <w:rPr/>
            </w:pPr>
            <w:r>
              <w:rPr>
                <w:rFonts w:ascii="Times New Roman;serif" w:hAnsi="Times New Roman;serif"/>
                <w:b w:val="false"/>
                <w:color w:val="000000"/>
                <w:sz w:val="24"/>
                <w:u w:val="single"/>
              </w:rPr>
              <w:t>Number of PSUs</w:t>
            </w:r>
            <w:r>
              <w:rPr>
                <w:rFonts w:ascii="Times New Roman;serif" w:hAnsi="Times New Roman;serif"/>
                <w:b w:val="false"/>
                <w:color w:val="000000"/>
                <w:sz w:val="24"/>
              </w:rPr>
              <w:t>:</w:t>
            </w:r>
          </w:p>
        </w:tc>
        <w:tc>
          <w:tcPr>
            <w:tcW w:w="8473" w:type="dxa"/>
            <w:gridSpan w:val="6"/>
            <w:tcBorders/>
            <w:tcMar>
              <w:top w:w="0" w:type="dxa"/>
              <w:left w:w="0" w:type="dxa"/>
              <w:bottom w:w="0" w:type="dxa"/>
              <w:right w:w="0" w:type="dxa"/>
            </w:tcMar>
            <w:vAlign w:val="center"/>
          </w:tcPr>
          <w:p>
            <w:pPr>
              <w:pStyle w:val="TableContents"/>
              <w:bidi w:val="0"/>
              <w:spacing w:lineRule="auto" w:line="300" w:before="0" w:after="240"/>
              <w:jc w:val="left"/>
              <w:rPr>
                <w:rFonts w:ascii="Times New Roman;serif" w:hAnsi="Times New Roman;serif"/>
                <w:b w:val="false"/>
                <w:color w:val="000000"/>
                <w:sz w:val="24"/>
              </w:rPr>
            </w:pPr>
            <w:r>
              <w:rPr>
                <w:rFonts w:ascii="Times New Roman;serif" w:hAnsi="Times New Roman;serif"/>
                <w:b w:val="false"/>
                <w:color w:val="000000"/>
                <w:sz w:val="24"/>
              </w:rPr>
              <w:t>1,000,000 Maximum, divided into three tranches:</w:t>
              <w:br/>
              <w:br/>
              <w:t>Tranche 1: 333,333</w:t>
              <w:br/>
              <w:t>Tranche 2: 333,333</w:t>
              <w:br/>
              <w:t>Tranche 3: 333,334</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0520"/>
                <wp:effectExtent l="0" t="0" r="0" b="0"/>
                <wp:wrapNone/>
                <wp:docPr id="128" name="Frame1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34"/>
        <w:gridCol w:w="382"/>
        <w:gridCol w:w="384"/>
        <w:gridCol w:w="1811"/>
        <w:gridCol w:w="1295"/>
        <w:gridCol w:w="1295"/>
        <w:gridCol w:w="1464"/>
        <w:gridCol w:w="1295"/>
        <w:gridCol w:w="1845"/>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300" w:before="0" w:after="240"/>
              <w:jc w:val="left"/>
              <w:rPr/>
            </w:pPr>
            <w:r>
              <w:rPr>
                <w:rFonts w:ascii="Times New Roman;serif" w:hAnsi="Times New Roman;serif"/>
                <w:b w:val="false"/>
                <w:color w:val="000000"/>
                <w:sz w:val="24"/>
                <w:u w:val="single"/>
              </w:rPr>
              <w:t>Definition of PSU</w:t>
            </w:r>
            <w:r>
              <w:rPr>
                <w:rFonts w:ascii="Times New Roman;serif" w:hAnsi="Times New Roman;serif"/>
                <w:b w:val="false"/>
                <w:color w:val="000000"/>
                <w:sz w:val="24"/>
              </w:rPr>
              <w:t>:</w:t>
            </w:r>
          </w:p>
        </w:tc>
        <w:tc>
          <w:tcPr>
            <w:tcW w:w="900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40"/>
              <w:jc w:val="left"/>
              <w:rPr>
                <w:rFonts w:ascii="Times New Roman;serif" w:hAnsi="Times New Roman;serif"/>
                <w:b w:val="false"/>
                <w:color w:val="000000"/>
                <w:sz w:val="24"/>
              </w:rPr>
            </w:pPr>
            <w:r>
              <w:rPr>
                <w:rFonts w:ascii="Times New Roman;serif" w:hAnsi="Times New Roman;serif"/>
                <w:b w:val="false"/>
                <w:color w:val="000000"/>
                <w:sz w:val="24"/>
              </w:rPr>
              <w:t>Each PSU entitles you to earn and receive one Share in the future upon the achievement of certain performance goals, subject to continued employment and the terms of this Agreement.</w:t>
            </w:r>
          </w:p>
        </w:tc>
      </w:tr>
      <w:tr>
        <w:trPr/>
        <w:tc>
          <w:tcPr>
            <w:tcW w:w="1200" w:type="dxa"/>
            <w:gridSpan w:val="3"/>
            <w:vMerge w:val="restart"/>
            <w:tcBorders/>
            <w:tcMar>
              <w:top w:w="0" w:type="dxa"/>
              <w:left w:w="0" w:type="dxa"/>
              <w:bottom w:w="0" w:type="dxa"/>
              <w:right w:w="0" w:type="dxa"/>
            </w:tcMar>
            <w:vAlign w:val="center"/>
          </w:tcPr>
          <w:p>
            <w:pPr>
              <w:pStyle w:val="TableContents"/>
              <w:bidi w:val="0"/>
              <w:spacing w:lineRule="auto" w:line="300" w:before="0" w:after="240"/>
              <w:jc w:val="left"/>
              <w:rPr/>
            </w:pPr>
            <w:r>
              <w:rPr>
                <w:rFonts w:ascii="Times New Roman;serif" w:hAnsi="Times New Roman;serif"/>
                <w:b w:val="false"/>
                <w:color w:val="000000"/>
                <w:sz w:val="24"/>
                <w:u w:val="single"/>
              </w:rPr>
              <w:t>Earning and Payment</w:t>
            </w:r>
            <w:r>
              <w:rPr>
                <w:rFonts w:ascii="Times New Roman;serif" w:hAnsi="Times New Roman;serif"/>
                <w:b w:val="false"/>
                <w:color w:val="000000"/>
                <w:sz w:val="24"/>
              </w:rPr>
              <w:t>:</w:t>
            </w:r>
          </w:p>
        </w:tc>
        <w:tc>
          <w:tcPr>
            <w:tcW w:w="9005"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40"/>
              <w:jc w:val="left"/>
              <w:rPr/>
            </w:pPr>
            <w:r>
              <w:rPr>
                <w:rFonts w:ascii="Times New Roman;serif" w:hAnsi="Times New Roman;serif"/>
                <w:b w:val="false"/>
                <w:color w:val="000000"/>
                <w:sz w:val="24"/>
              </w:rPr>
              <w:t>Except as otherwise set forth herein, as long as you do not have a Separation from Service prior to the applicable Vesting Date (as defined below), the number of earned PSUs (“</w:t>
            </w:r>
            <w:r>
              <w:rPr>
                <w:rFonts w:ascii="Times New Roman;serif" w:hAnsi="Times New Roman;serif"/>
                <w:b w:val="false"/>
                <w:color w:val="000000"/>
                <w:sz w:val="24"/>
                <w:u w:val="single"/>
              </w:rPr>
              <w:t>Earned PSUs</w:t>
            </w:r>
            <w:r>
              <w:rPr>
                <w:color w:val="000000"/>
              </w:rPr>
              <w:t>”</w:t>
            </w:r>
            <w:r>
              <w:rPr>
                <w:rFonts w:ascii="Times New Roman;serif" w:hAnsi="Times New Roman;serif"/>
                <w:b w:val="false"/>
                <w:color w:val="000000"/>
                <w:sz w:val="24"/>
              </w:rPr>
              <w:t xml:space="preserve">) will be based on the Company’s actual performance against the performance metrics set forth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for each of Tranche 1, Tranche 2 and Tranche 3 during the measurement period beginning on the Grant Date and ending on the fifth anniversary of the Grant Date (the “</w:t>
            </w:r>
            <w:r>
              <w:rPr>
                <w:rFonts w:ascii="Times New Roman;serif" w:hAnsi="Times New Roman;serif"/>
                <w:b w:val="false"/>
                <w:color w:val="000000"/>
                <w:sz w:val="24"/>
                <w:u w:val="single"/>
              </w:rPr>
              <w:t>Measurement Period</w:t>
            </w:r>
            <w:r>
              <w:rPr>
                <w:color w:val="000000"/>
              </w:rPr>
              <w:t>”</w:t>
            </w:r>
            <w:r>
              <w:rPr>
                <w:rFonts w:ascii="Times New Roman;serif" w:hAnsi="Times New Roman;serif"/>
                <w:b w:val="false"/>
                <w:color w:val="000000"/>
                <w:sz w:val="24"/>
              </w:rPr>
              <w:t>), as determined and certified by the Committee in accordance with the below (each date of certification, a “</w:t>
            </w:r>
            <w:r>
              <w:rPr>
                <w:rFonts w:ascii="Times New Roman;serif" w:hAnsi="Times New Roman;serif"/>
                <w:b w:val="false"/>
                <w:color w:val="000000"/>
                <w:sz w:val="24"/>
                <w:u w:val="single"/>
              </w:rPr>
              <w:t>Certification Date</w:t>
            </w:r>
            <w:r>
              <w:rPr>
                <w:color w:val="000000"/>
              </w:rPr>
              <w:t>”</w:t>
            </w:r>
            <w:r>
              <w:rPr>
                <w:rFonts w:ascii="Times New Roman;serif" w:hAnsi="Times New Roman;serif"/>
                <w:b w:val="false"/>
                <w:color w:val="000000"/>
                <w:sz w:val="24"/>
              </w:rPr>
              <w:t>), and vest and become payable as follows (each vesting date outlined below, a “</w:t>
            </w:r>
            <w:r>
              <w:rPr>
                <w:rFonts w:ascii="Times New Roman;serif" w:hAnsi="Times New Roman;serif"/>
                <w:b w:val="false"/>
                <w:color w:val="000000"/>
                <w:sz w:val="24"/>
                <w:u w:val="single"/>
              </w:rPr>
              <w:t>Vesting Date</w:t>
            </w:r>
            <w:r>
              <w:rPr>
                <w:color w:val="000000"/>
              </w:rPr>
              <w:t>”</w:t>
            </w:r>
            <w:r>
              <w:rPr>
                <w:rFonts w:ascii="Times New Roman;serif" w:hAnsi="Times New Roman;serif"/>
                <w:b w:val="false"/>
                <w:color w:val="000000"/>
                <w:sz w:val="24"/>
              </w:rPr>
              <w:t>):</w:t>
            </w:r>
          </w:p>
        </w:tc>
      </w:tr>
      <w:tr>
        <w:trPr/>
        <w:tc>
          <w:tcPr>
            <w:tcW w:w="1200" w:type="dxa"/>
            <w:gridSpan w:val="3"/>
            <w:vMerge w:val="continue"/>
            <w:tcBorders/>
            <w:tcMar>
              <w:top w:w="0" w:type="dxa"/>
              <w:left w:w="0" w:type="dxa"/>
              <w:bottom w:w="0" w:type="dxa"/>
              <w:right w:w="0" w:type="dxa"/>
            </w:tcMar>
            <w:vAlign w:val="center"/>
          </w:tcPr>
          <w:p>
            <w:pPr>
              <w:pStyle w:val="Normal"/>
              <w:bidi w:val="0"/>
              <w:jc w:val="left"/>
              <w:rPr/>
            </w:pPr>
            <w:r>
              <w:rPr/>
            </w:r>
          </w:p>
        </w:tc>
        <w:tc>
          <w:tcPr>
            <w:tcW w:w="44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Vesting Dates</w:t>
            </w:r>
          </w:p>
        </w:tc>
        <w:tc>
          <w:tcPr>
            <w:tcW w:w="46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PSUs Vested and Payable</w:t>
            </w:r>
          </w:p>
        </w:tc>
      </w:tr>
      <w:tr>
        <w:trPr/>
        <w:tc>
          <w:tcPr>
            <w:tcW w:w="1200" w:type="dxa"/>
            <w:gridSpan w:val="3"/>
            <w:vMerge w:val="continue"/>
            <w:tcBorders/>
            <w:tcMar>
              <w:top w:w="0" w:type="dxa"/>
              <w:left w:w="0" w:type="dxa"/>
              <w:bottom w:w="0" w:type="dxa"/>
              <w:right w:w="0" w:type="dxa"/>
            </w:tcMar>
            <w:vAlign w:val="center"/>
          </w:tcPr>
          <w:p>
            <w:pPr>
              <w:pStyle w:val="Normal"/>
              <w:bidi w:val="0"/>
              <w:jc w:val="left"/>
              <w:rPr/>
            </w:pPr>
            <w:r>
              <w:rPr/>
            </w:r>
          </w:p>
        </w:tc>
        <w:tc>
          <w:tcPr>
            <w:tcW w:w="4401" w:type="dxa"/>
            <w:gridSpan w:val="3"/>
            <w:tcBorders/>
            <w:tcMar>
              <w:top w:w="0" w:type="dxa"/>
              <w:left w:w="0" w:type="dxa"/>
              <w:bottom w:w="0" w:type="dxa"/>
              <w:right w:w="0" w:type="dxa"/>
            </w:tcMar>
            <w:vAlign w:val="center"/>
          </w:tcPr>
          <w:p>
            <w:pPr>
              <w:pStyle w:val="TableContents"/>
              <w:bidi w:val="0"/>
              <w:spacing w:lineRule="auto" w:line="300" w:before="0" w:after="120"/>
              <w:jc w:val="center"/>
              <w:rPr>
                <w:rFonts w:ascii="Times New Roman;serif" w:hAnsi="Times New Roman;serif"/>
                <w:b w:val="false"/>
                <w:color w:val="000000"/>
                <w:sz w:val="24"/>
              </w:rPr>
            </w:pPr>
            <w:r>
              <w:rPr>
                <w:rFonts w:ascii="Times New Roman;serif" w:hAnsi="Times New Roman;serif"/>
                <w:b w:val="false"/>
                <w:color w:val="000000"/>
                <w:sz w:val="24"/>
              </w:rPr>
              <w:t>Each date on which there are Earned PSUs that occurs on or after the third anniversary of the Grant Date</w:t>
            </w:r>
          </w:p>
        </w:tc>
        <w:tc>
          <w:tcPr>
            <w:tcW w:w="460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120"/>
              <w:jc w:val="center"/>
              <w:rPr>
                <w:rFonts w:ascii="Times New Roman;serif" w:hAnsi="Times New Roman;serif"/>
                <w:b w:val="false"/>
                <w:color w:val="000000"/>
                <w:sz w:val="24"/>
              </w:rPr>
            </w:pPr>
            <w:r>
              <w:rPr>
                <w:rFonts w:ascii="Times New Roman;serif" w:hAnsi="Times New Roman;serif"/>
                <w:b w:val="false"/>
                <w:color w:val="000000"/>
                <w:sz w:val="24"/>
              </w:rPr>
              <w:t>100% of the Earned PSUs</w:t>
            </w:r>
          </w:p>
        </w:tc>
      </w:tr>
      <w:tr>
        <w:trPr/>
        <w:tc>
          <w:tcPr>
            <w:tcW w:w="1200" w:type="dxa"/>
            <w:gridSpan w:val="3"/>
            <w:vMerge w:val="continue"/>
            <w:tcBorders/>
            <w:tcMar>
              <w:top w:w="0" w:type="dxa"/>
              <w:left w:w="0" w:type="dxa"/>
              <w:bottom w:w="0" w:type="dxa"/>
              <w:right w:w="0" w:type="dxa"/>
            </w:tcMar>
            <w:vAlign w:val="center"/>
          </w:tcPr>
          <w:p>
            <w:pPr>
              <w:pStyle w:val="Normal"/>
              <w:bidi w:val="0"/>
              <w:jc w:val="left"/>
              <w:rPr/>
            </w:pPr>
            <w:r>
              <w:rPr/>
            </w:r>
          </w:p>
        </w:tc>
        <w:tc>
          <w:tcPr>
            <w:tcW w:w="9005"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40"/>
              <w:jc w:val="left"/>
              <w:rPr/>
            </w:pPr>
            <w:r>
              <w:rPr>
                <w:rFonts w:ascii="Times New Roman;serif" w:hAnsi="Times New Roman;serif"/>
                <w:b w:val="false"/>
                <w:color w:val="000000"/>
                <w:sz w:val="24"/>
              </w:rPr>
              <w:t xml:space="preserve">A Certification Date will occur not later than the second business day following the close of business on the NASDAQ on the trading day on which the Applicable Stock Price Hurdle (as defined in </w:t>
            </w:r>
            <w:r>
              <w:rPr>
                <w:rFonts w:ascii="Times New Roman;serif" w:hAnsi="Times New Roman;serif"/>
                <w:b w:val="false"/>
                <w:color w:val="000000"/>
                <w:sz w:val="24"/>
                <w:u w:val="single"/>
              </w:rPr>
              <w:t>Exhibit A</w:t>
            </w:r>
            <w:r>
              <w:rPr>
                <w:rFonts w:ascii="Times New Roman;serif" w:hAnsi="Times New Roman;serif"/>
                <w:b w:val="false"/>
                <w:color w:val="000000"/>
                <w:sz w:val="24"/>
              </w:rPr>
              <w:t>) has been achieved. Except to the extent otherwise provided in this Agreement, any PSUs for which the relevant Stock Price Hurdle has not been achieved by the end of the Measurement Period shall be forfeited.</w:t>
            </w:r>
          </w:p>
        </w:tc>
      </w:tr>
    </w:tbl>
    <w:p>
      <w:pPr>
        <w:pStyle w:val="TextBody"/>
        <w:bidi w:val="0"/>
        <w:spacing w:before="0" w:after="240"/>
        <w:jc w:val="both"/>
        <w:rPr/>
      </w:pPr>
      <w:r>
        <w:rPr/>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67665"/>
                <wp:effectExtent l="0" t="0" r="0" b="0"/>
                <wp:wrapNone/>
                <wp:docPr id="129" name="Frame1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jc w:val="center"/>
        <w:rPr>
          <w:rFonts w:ascii="Times New Roman;serif" w:hAnsi="Times New Roman;serif"/>
          <w:b/>
          <w:color w:val="000000"/>
          <w:sz w:val="24"/>
        </w:rPr>
      </w:pPr>
      <w:r>
        <w:rPr>
          <w:rFonts w:ascii="Times New Roman;serif" w:hAnsi="Times New Roman;serif"/>
          <w:b/>
          <w:color w:val="000000"/>
          <w:sz w:val="24"/>
        </w:rPr>
        <w:t>PSU TERMS</w:t>
      </w:r>
    </w:p>
    <w:p>
      <w:pPr>
        <w:pStyle w:val="TextBody"/>
        <w:bidi w:val="0"/>
        <w:spacing w:lineRule="auto" w:line="278" w:before="0" w:after="240"/>
        <w:ind w:left="0" w:right="0" w:hanging="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Grant of PSUs</w:t>
      </w:r>
      <w:r>
        <w:rPr>
          <w:rFonts w:ascii="Times New Roman;serif" w:hAnsi="Times New Roman;serif"/>
          <w:b w:val="false"/>
          <w:color w:val="000000"/>
          <w:sz w:val="24"/>
        </w:rPr>
        <w:t>.</w:t>
      </w:r>
    </w:p>
    <w:p>
      <w:pPr>
        <w:pStyle w:val="TextBody"/>
        <w:bidi w:val="0"/>
        <w:spacing w:lineRule="auto" w:line="27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a.The Award is subject to the terms of the Plan, subject to Section 9 below. The terms of the Plan are incorporated into this Agreement by this reference.</w:t>
      </w:r>
    </w:p>
    <w:p>
      <w:pPr>
        <w:pStyle w:val="TextBody"/>
        <w:bidi w:val="0"/>
        <w:spacing w:lineRule="auto" w:line="27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b.You must accept the terms of this Agreement within 10 business days after the Agreement is presented to you for review by returning a signed copy of this Agreement to the Company in accordance with such procedures as the Company may establish. The Committee may unilaterally cancel and forfeit all or a portion of the Award if you do not timely accept the terms of this Agreement.</w:t>
      </w:r>
    </w:p>
    <w:p>
      <w:pPr>
        <w:pStyle w:val="TextBody"/>
        <w:bidi w:val="0"/>
        <w:spacing w:lineRule="auto" w:line="278" w:before="0" w:after="240"/>
        <w:ind w:left="0" w:right="0" w:hanging="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Dividend Equivalents</w:t>
      </w:r>
      <w:r>
        <w:rPr>
          <w:rFonts w:ascii="Times New Roman;serif" w:hAnsi="Times New Roman;serif"/>
          <w:b w:val="false"/>
          <w:color w:val="000000"/>
          <w:sz w:val="24"/>
        </w:rPr>
        <w:t>. In the event of any issuance of a cash dividend on the Shares (a “</w:t>
      </w:r>
      <w:r>
        <w:rPr>
          <w:rFonts w:ascii="Times New Roman;serif" w:hAnsi="Times New Roman;serif"/>
          <w:b w:val="false"/>
          <w:color w:val="000000"/>
          <w:sz w:val="24"/>
          <w:u w:val="single"/>
        </w:rPr>
        <w:t>Dividend</w:t>
      </w:r>
      <w:r>
        <w:rPr>
          <w:color w:val="000000"/>
        </w:rPr>
        <w:t>”</w:t>
      </w:r>
      <w:r>
        <w:rPr>
          <w:rFonts w:ascii="Times New Roman;serif" w:hAnsi="Times New Roman;serif"/>
          <w:b w:val="false"/>
          <w:color w:val="000000"/>
          <w:sz w:val="24"/>
        </w:rPr>
        <w:t>), you shall be credited, as of the payment date for such Dividend, with an amount (a “</w:t>
      </w:r>
      <w:r>
        <w:rPr>
          <w:rFonts w:ascii="Times New Roman;serif" w:hAnsi="Times New Roman;serif"/>
          <w:b w:val="false"/>
          <w:color w:val="000000"/>
          <w:sz w:val="24"/>
          <w:u w:val="single"/>
        </w:rPr>
        <w:t>Dividend Equivalent</w:t>
      </w:r>
      <w:r>
        <w:rPr>
          <w:color w:val="000000"/>
        </w:rPr>
        <w:t>”</w:t>
      </w:r>
      <w:r>
        <w:rPr>
          <w:rFonts w:ascii="Times New Roman;serif" w:hAnsi="Times New Roman;serif"/>
          <w:b w:val="false"/>
          <w:color w:val="000000"/>
          <w:sz w:val="24"/>
        </w:rPr>
        <w:t>) equal to the product of (i) 100% of the total number of PSUs granted pursuant to this Agreement and outstanding as of the record date for such Dividend multiplied by (ii) the amount of the Dividend per Share. Upon the Vesting Date of a PSU, the aggregate amount of the Dividend Equivalents (the “</w:t>
      </w:r>
      <w:r>
        <w:rPr>
          <w:rFonts w:ascii="Times New Roman;serif" w:hAnsi="Times New Roman;serif"/>
          <w:b w:val="false"/>
          <w:color w:val="000000"/>
          <w:sz w:val="24"/>
          <w:u w:val="single"/>
        </w:rPr>
        <w:t>Distributable Amount</w:t>
      </w:r>
      <w:r>
        <w:rPr>
          <w:color w:val="000000"/>
        </w:rPr>
        <w:t>”</w:t>
      </w:r>
      <w:r>
        <w:rPr>
          <w:rFonts w:ascii="Times New Roman;serif" w:hAnsi="Times New Roman;serif"/>
          <w:b w:val="false"/>
          <w:color w:val="000000"/>
          <w:sz w:val="24"/>
        </w:rPr>
        <w:t>) in respect of such vested PSU shall be distributed to you in connection with the settlement of such vested PSU either in cash or, at the discretion of the Committee, in a number of Shares with a Fair Market Value (as determined on the applicable Vesting Date) equal to the Distributable Amount. To the extent any PSUs are forfeited prior to vesting, the corresponding Dividend Equivalents in respect thereof shall be forfeited immediately thereupon.</w:t>
      </w:r>
    </w:p>
    <w:p>
      <w:pPr>
        <w:pStyle w:val="TextBody"/>
        <w:bidi w:val="0"/>
        <w:spacing w:lineRule="auto" w:line="278" w:before="0" w:after="240"/>
        <w:ind w:left="0" w:right="0" w:hanging="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Restrictions</w:t>
      </w:r>
      <w:r>
        <w:rPr>
          <w:rFonts w:ascii="Times New Roman;serif" w:hAnsi="Times New Roman;serif"/>
          <w:b w:val="false"/>
          <w:color w:val="000000"/>
          <w:sz w:val="24"/>
        </w:rPr>
        <w:t>.</w:t>
      </w:r>
    </w:p>
    <w:p>
      <w:pPr>
        <w:pStyle w:val="TextBody"/>
        <w:bidi w:val="0"/>
        <w:spacing w:lineRule="auto" w:line="278" w:before="0" w:after="240"/>
        <w:ind w:left="0" w:right="0" w:hanging="360"/>
        <w:jc w:val="both"/>
        <w:rPr/>
      </w:pPr>
      <w:r>
        <w:rPr>
          <w:rFonts w:ascii="Times New Roman;serif" w:hAnsi="Times New Roman;serif"/>
          <w:b w:val="false"/>
          <w:color w:val="000000"/>
          <w:sz w:val="24"/>
        </w:rPr>
        <w:t>a.You will have no rights or privileges of a Stockholder as to the Shares underlying the PSUs before settlement under Section 6 below (“</w:t>
      </w:r>
      <w:r>
        <w:rPr>
          <w:rFonts w:ascii="Times New Roman;serif" w:hAnsi="Times New Roman;serif"/>
          <w:b w:val="false"/>
          <w:color w:val="000000"/>
          <w:sz w:val="24"/>
          <w:u w:val="single"/>
        </w:rPr>
        <w:t>Settlement</w:t>
      </w:r>
      <w:r>
        <w:rPr>
          <w:color w:val="000000"/>
        </w:rPr>
        <w:t>”</w:t>
      </w:r>
      <w:r>
        <w:rPr>
          <w:rFonts w:ascii="Times New Roman;serif" w:hAnsi="Times New Roman;serif"/>
          <w:b w:val="false"/>
          <w:color w:val="000000"/>
          <w:sz w:val="24"/>
        </w:rPr>
        <w:t>), including no right to vote or receive Dividends or other distributions (other than the Dividend Equivalents as set forth above); in addition, the following terms will apply:</w:t>
      </w:r>
    </w:p>
    <w:p>
      <w:pPr>
        <w:pStyle w:val="TextBody"/>
        <w:bidi w:val="0"/>
        <w:spacing w:lineRule="auto" w:line="27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(i)you will not be entitled to delivery of any Share certificates for the PSUs until Settlement (if at all), and upon the satisfaction of all other terms;</w:t>
      </w:r>
    </w:p>
    <w:p>
      <w:pPr>
        <w:pStyle w:val="TextBody"/>
        <w:bidi w:val="0"/>
        <w:spacing w:lineRule="auto" w:line="27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(ii)you may not sell, transfer (other than by will or the laws of descent and distribution), assign, pledge, or otherwise encumber or dispose of the PSUs or any rights under the PSUs before Settlement;</w:t>
      </w:r>
    </w:p>
    <w:p>
      <w:pPr>
        <w:pStyle w:val="TextBody"/>
        <w:bidi w:val="0"/>
        <w:spacing w:lineRule="auto" w:line="27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(iii)you will forfeit all of the PSUs and all of your rights under the PSUs will terminate in their entirety on the terms set forth in Section 5 below and Section 11(j) below; and </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67665"/>
                <wp:effectExtent l="0" t="0" r="0" b="0"/>
                <wp:wrapNone/>
                <wp:docPr id="130" name="Frame1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78" w:before="0" w:after="240"/>
        <w:ind w:left="0" w:right="0" w:hanging="720"/>
        <w:jc w:val="both"/>
        <w:rPr/>
      </w:pPr>
      <w:r>
        <w:rPr>
          <w:rFonts w:ascii="Times New Roman;serif" w:hAnsi="Times New Roman;serif"/>
          <w:b w:val="false"/>
          <w:color w:val="000000"/>
          <w:sz w:val="24"/>
        </w:rPr>
        <w:t xml:space="preserve">(iv)no Share underlying a PSU will be considered vested and payable until the occurrence of a Vesting Date, unless otherwise provided on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7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b.Any attempt to dispose of the PSUs, any interest in the PSUs, or any Shares in respect of the PSUs in a manner contrary to the terms of this Agreement will be void and of no effect.</w:t>
      </w:r>
    </w:p>
    <w:p>
      <w:pPr>
        <w:pStyle w:val="TextBody"/>
        <w:bidi w:val="0"/>
        <w:spacing w:lineRule="auto" w:line="278" w:before="0" w:after="240"/>
        <w:ind w:left="0" w:right="0" w:hanging="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[Intentionally Omitted</w:t>
      </w:r>
      <w:r>
        <w:rPr>
          <w:rFonts w:ascii="Times New Roman;serif" w:hAnsi="Times New Roman;serif"/>
          <w:b w:val="false"/>
          <w:color w:val="000000"/>
          <w:sz w:val="24"/>
        </w:rPr>
        <w:t>.]</w:t>
      </w:r>
    </w:p>
    <w:p>
      <w:pPr>
        <w:pStyle w:val="TextBody"/>
        <w:bidi w:val="0"/>
        <w:spacing w:lineRule="auto" w:line="278" w:before="0" w:after="240"/>
        <w:ind w:left="0" w:right="0" w:hanging="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Forfeiture; Termination; Change in Control</w:t>
      </w:r>
      <w:r>
        <w:rPr>
          <w:rFonts w:ascii="Times New Roman;serif" w:hAnsi="Times New Roman;serif"/>
          <w:b w:val="false"/>
          <w:color w:val="000000"/>
          <w:sz w:val="24"/>
        </w:rPr>
        <w:t>.</w:t>
      </w:r>
    </w:p>
    <w:p>
      <w:pPr>
        <w:pStyle w:val="TextBody"/>
        <w:bidi w:val="0"/>
        <w:spacing w:lineRule="auto" w:line="278" w:before="0" w:after="240"/>
        <w:ind w:left="0" w:right="0" w:hanging="360"/>
        <w:jc w:val="both"/>
        <w:rPr/>
      </w:pPr>
      <w:r>
        <w:rPr>
          <w:rFonts w:ascii="Times New Roman;serif" w:hAnsi="Times New Roman;serif"/>
          <w:b w:val="false"/>
          <w:color w:val="000000"/>
          <w:sz w:val="24"/>
        </w:rPr>
        <w:t xml:space="preserve">a.If, during the Measurement Period, (a) you incur a Separation from Service (for the avoidance of doubt, which does not otherwise result in the immediate or continued opportunity to earn and vest in the PSUs as set forth on </w:t>
      </w:r>
      <w:r>
        <w:rPr>
          <w:rFonts w:ascii="Times New Roman;serif" w:hAnsi="Times New Roman;serif"/>
          <w:b w:val="false"/>
          <w:color w:val="000000"/>
          <w:sz w:val="24"/>
          <w:u w:val="single"/>
        </w:rPr>
        <w:t>Exhibit A</w:t>
      </w:r>
      <w:r>
        <w:rPr>
          <w:rFonts w:ascii="Times New Roman;serif" w:hAnsi="Times New Roman;serif"/>
          <w:b w:val="false"/>
          <w:color w:val="000000"/>
          <w:sz w:val="24"/>
        </w:rPr>
        <w:t>), (b) you materially breach this Agreement (and do not cure, if curable, within 30 days following the Company providing you written notice of such breach), or (c) you fail to meet the tax withholding obligations described in Section 7 below, you will immediately and automatically forfeit all of your rights in respect of the unvested PSUs.</w:t>
      </w:r>
    </w:p>
    <w:p>
      <w:pPr>
        <w:pStyle w:val="TextBody"/>
        <w:bidi w:val="0"/>
        <w:spacing w:lineRule="auto" w:line="278" w:before="0" w:after="240"/>
        <w:ind w:left="0" w:right="0" w:hanging="360"/>
        <w:jc w:val="both"/>
        <w:rPr/>
      </w:pPr>
      <w:r>
        <w:rPr>
          <w:rFonts w:ascii="Times New Roman;serif" w:hAnsi="Times New Roman;serif"/>
          <w:b w:val="false"/>
          <w:color w:val="000000"/>
          <w:sz w:val="24"/>
        </w:rPr>
        <w:t xml:space="preserve">b.Notwithstanding anything contained herein or in the Plan to the contrary, in the event of a Change in Control prior to the end of the Measurement Period, then the PSUs granted to you hereunder will be deemed earned and become vested and payable solely to the extent set forth on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78" w:before="0" w:after="240"/>
        <w:ind w:left="0" w:right="0" w:hanging="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Settlement of PSUs.</w:t>
      </w:r>
      <w:r>
        <w:rPr>
          <w:color w:val="000000"/>
        </w:rPr>
        <w:t xml:space="preserve"> </w:t>
      </w:r>
      <w:r>
        <w:rPr>
          <w:rFonts w:ascii="Times New Roman;serif" w:hAnsi="Times New Roman;serif"/>
          <w:b w:val="false"/>
          <w:color w:val="000000"/>
          <w:sz w:val="24"/>
        </w:rPr>
        <w:t>Delivery of Shares or other amounts under this Agreement will be subject to the following:</w:t>
      </w:r>
    </w:p>
    <w:p>
      <w:pPr>
        <w:pStyle w:val="TextBody"/>
        <w:bidi w:val="0"/>
        <w:spacing w:lineRule="auto" w:line="278" w:before="0" w:after="240"/>
        <w:ind w:left="0" w:right="0" w:hanging="360"/>
        <w:jc w:val="both"/>
        <w:rPr/>
      </w:pPr>
      <w:r>
        <w:rPr>
          <w:rFonts w:ascii="Times New Roman;serif" w:hAnsi="Times New Roman;serif"/>
          <w:b w:val="false"/>
          <w:color w:val="000000"/>
          <w:sz w:val="24"/>
        </w:rPr>
        <w:t xml:space="preserve">a.The Company will deliver to you one Share for each Earned PSU that has become vested and payable as soon as administratively practicable (but not later than 60 days) after the Vesting Date (or as provided under </w:t>
      </w:r>
      <w:r>
        <w:rPr>
          <w:rFonts w:ascii="Times New Roman;serif" w:hAnsi="Times New Roman;serif"/>
          <w:b w:val="false"/>
          <w:color w:val="000000"/>
          <w:sz w:val="24"/>
          <w:u w:val="single"/>
        </w:rPr>
        <w:t>Exhibit A</w:t>
      </w:r>
      <w:r>
        <w:rPr>
          <w:rFonts w:ascii="Times New Roman;serif" w:hAnsi="Times New Roman;serif"/>
          <w:b w:val="false"/>
          <w:color w:val="000000"/>
          <w:sz w:val="24"/>
        </w:rPr>
        <w:t>), if applicable). Notwithstanding the foregoing, prior to the time a PSU becomes an Earned PSU, the delivery of any Share in respect thereof may be delayed to a date designated by you (reasonably acceptable to the Committee) (but not beyond March 15 of the year following the year in which your right to such Share is no longer subject to a substantial risk of forfeiture (within the meaning of Section 409A)).</w:t>
      </w:r>
    </w:p>
    <w:p>
      <w:pPr>
        <w:pStyle w:val="TextBody"/>
        <w:bidi w:val="0"/>
        <w:spacing w:lineRule="auto" w:line="27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b.Any issuance of Shares under the Award may be effected on a non-certificated basis, to the extent not prohibited by Applicable Law.</w:t>
      </w:r>
    </w:p>
    <w:p>
      <w:pPr>
        <w:pStyle w:val="TextBody"/>
        <w:bidi w:val="0"/>
        <w:spacing w:lineRule="auto" w:line="27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c.If a certificate for Shares is delivered to you under the Award, the certificate may bear the following or a similar legend as determined by the Company:</w:t>
      </w:r>
    </w:p>
    <w:p>
      <w:pPr>
        <w:pStyle w:val="TextBody"/>
        <w:bidi w:val="0"/>
        <w:spacing w:lineRule="atLeast" w:line="28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ownership and transferability of this certificate and the shares of stock represented hereby are subject to the terms (including forfeiture) of the Alignment Healthcare, Inc. 2021 </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67665"/>
                <wp:effectExtent l="0" t="0" r="0" b="0"/>
                <wp:wrapNone/>
                <wp:docPr id="131" name="Frame1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0" w:after="240"/>
        <w:jc w:val="both"/>
        <w:rPr>
          <w:rFonts w:ascii="Times New Roman;serif" w:hAnsi="Times New Roman;serif"/>
          <w:b w:val="false"/>
          <w:color w:val="000000"/>
          <w:sz w:val="24"/>
        </w:rPr>
      </w:pPr>
      <w:r>
        <w:rPr>
          <w:rFonts w:ascii="Times New Roman;serif" w:hAnsi="Times New Roman;serif"/>
          <w:b w:val="false"/>
          <w:color w:val="000000"/>
          <w:sz w:val="24"/>
        </w:rPr>
        <w:t>Equity Incentive Plan and a PSU award agreement entered into between the registered owner and Alignment Healthcare, Inc. Copies of such plan and agreement are on file in the executive offices of Alignment Healthcare, Inc.</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 addition, any stock certificates for Shares will be subject to any stop-transfer orders and other restrictions as the Company may deem advisable under Applicable Law, and the Company may cause a legend or legends to be placed on any certificates to make appropriate reference to these restrictions. Unless otherwise determined by the Board, the PSUs and any Shares acquired in respect of any PSUs will be subject to the lock-up restrictions as set forth in Section 13.20 of the Plan (and any successor terms).</w:t>
      </w:r>
    </w:p>
    <w:p>
      <w:pPr>
        <w:pStyle w:val="TextBody"/>
        <w:bidi w:val="0"/>
        <w:spacing w:lineRule="auto" w:line="278" w:before="0" w:after="240"/>
        <w:ind w:left="0" w:right="0" w:hanging="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Taxes</w:t>
      </w:r>
      <w:r>
        <w:rPr>
          <w:rFonts w:ascii="Times New Roman;serif" w:hAnsi="Times New Roman;serif"/>
          <w:b w:val="false"/>
          <w:color w:val="000000"/>
          <w:sz w:val="24"/>
        </w:rPr>
        <w:t>. Regardless of any action the Company may take that is related to any or all income tax, payroll tax, or other tax-related withholding under the Plan (“</w:t>
      </w:r>
      <w:r>
        <w:rPr>
          <w:rFonts w:ascii="Times New Roman;serif" w:hAnsi="Times New Roman;serif"/>
          <w:b w:val="false"/>
          <w:color w:val="000000"/>
          <w:sz w:val="24"/>
          <w:u w:val="single"/>
        </w:rPr>
        <w:t>Tax-Related Items</w:t>
      </w:r>
      <w:r>
        <w:rPr>
          <w:color w:val="000000"/>
        </w:rPr>
        <w:t>”</w:t>
      </w:r>
      <w:r>
        <w:rPr>
          <w:rFonts w:ascii="Times New Roman;serif" w:hAnsi="Times New Roman;serif"/>
          <w:b w:val="false"/>
          <w:color w:val="000000"/>
          <w:sz w:val="24"/>
        </w:rPr>
        <w:t>), the ultimate liability for all Tax-Related Items owed by you is and will remain your responsibility. The Company (a) makes no representations or undertakings regarding the treatment of any Tax-Related Items and (b) does not commit to structure the terms of the Award to reduce or eliminate your liability for Tax-Related Items. You will be required to meet any applicable tax withholding obligation in accordance with the tax withholding terms of Section 13.5 of the Plan (and any successor terms); provided, that, notwithstanding anything to the contrary set forth therein, you shall be permitted to satisfy any applicable tax withholding obligation by means of a broker-assisted “sell-to-cover” transaction through the Company’s applicable sell-to-cover program. The PSUs are intended to be exempt from Section 409A, and this Agreement will be administered and interpreted consistently with that intent and with the terms of Section 13.16 of the Plan (and any successor terms).</w:t>
      </w:r>
    </w:p>
    <w:p>
      <w:pPr>
        <w:pStyle w:val="TextBody"/>
        <w:bidi w:val="0"/>
        <w:spacing w:lineRule="auto" w:line="278" w:before="0" w:after="240"/>
        <w:ind w:left="0" w:right="0" w:hanging="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Adjustment</w:t>
      </w:r>
      <w:r>
        <w:rPr>
          <w:rFonts w:ascii="Times New Roman;serif" w:hAnsi="Times New Roman;serif"/>
          <w:b w:val="false"/>
          <w:color w:val="000000"/>
          <w:sz w:val="24"/>
        </w:rPr>
        <w:t xml:space="preserve">. Upon any event described in Section 4.2 of the Plan (and any successor sections) occurring after the Grant Date, the adjustment terms of that section will apply to the Award. </w:t>
      </w:r>
    </w:p>
    <w:p>
      <w:pPr>
        <w:pStyle w:val="TextBody"/>
        <w:bidi w:val="0"/>
        <w:spacing w:lineRule="auto" w:line="278" w:before="0" w:after="240"/>
        <w:ind w:left="0" w:right="0" w:hanging="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Bound by Plan and Committee Decisions</w:t>
      </w:r>
      <w:r>
        <w:rPr>
          <w:rFonts w:ascii="Times New Roman;serif" w:hAnsi="Times New Roman;serif"/>
          <w:b w:val="false"/>
          <w:color w:val="000000"/>
          <w:sz w:val="24"/>
        </w:rPr>
        <w:t>. By accepting the Award, you acknowledge that you have received a copy of the Plan and have had an opportunity to review the Plan, and you agree to be bound by all of the terms of the Plan. If there is any conflict between this Agreement and the Plan, this Agreement will control. The authority to manage and control the operation and administration of this Agreement and the Plan is vested in the Committee. The Committee has all powers under this Agreement that it has under the Plan. Any interpretation of this Agreement or the Plan by the Committee and any decision made by the Committee related to the Agreement or the Plan in good faith (including, the number of PSUs earned, if any, and whether performance has been achieved) will be final and binding on all Persons; provided, that, for the avoidance of doubt, determinations of terms defined in your Amended &amp; Restated Employment Agreement, effective March 21, 2021, as amended on April 28, 2025 (your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xml:space="preserve">), shall be made in accordance with and </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67665"/>
                <wp:effectExtent l="0" t="0" r="0" b="0"/>
                <wp:wrapNone/>
                <wp:docPr id="132" name="Frame1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78" w:before="0" w:after="240"/>
        <w:jc w:val="left"/>
        <w:rPr/>
      </w:pPr>
      <w:r>
        <w:rPr>
          <w:rFonts w:ascii="Times New Roman;serif" w:hAnsi="Times New Roman;serif"/>
          <w:b w:val="false"/>
          <w:color w:val="000000"/>
          <w:sz w:val="24"/>
        </w:rPr>
        <w:t xml:space="preserve">subject to the provisions thereof and subject to </w:t>
      </w:r>
      <w:r>
        <w:rPr>
          <w:rFonts w:ascii="Times New Roman;serif" w:hAnsi="Times New Roman;serif"/>
          <w:b w:val="false"/>
          <w:i/>
          <w:color w:val="000000"/>
          <w:sz w:val="24"/>
        </w:rPr>
        <w:t>de novo</w:t>
      </w:r>
      <w:r>
        <w:rPr>
          <w:color w:val="000000"/>
        </w:rPr>
        <w:t xml:space="preserve"> </w:t>
      </w:r>
      <w:r>
        <w:rPr>
          <w:rFonts w:ascii="Times New Roman;serif" w:hAnsi="Times New Roman;serif"/>
          <w:b w:val="false"/>
          <w:color w:val="000000"/>
          <w:sz w:val="24"/>
        </w:rPr>
        <w:t xml:space="preserve">or similar review by a court or arbitrator, as applicable. </w:t>
      </w:r>
    </w:p>
    <w:p>
      <w:pPr>
        <w:pStyle w:val="TextBody"/>
        <w:bidi w:val="0"/>
        <w:spacing w:lineRule="auto" w:line="278" w:before="0" w:after="240"/>
        <w:ind w:left="0" w:right="0" w:hanging="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Regulatory and Other Limitations</w:t>
      </w:r>
      <w:r>
        <w:rPr>
          <w:rFonts w:ascii="Times New Roman;serif" w:hAnsi="Times New Roman;serif"/>
          <w:b w:val="false"/>
          <w:color w:val="000000"/>
          <w:sz w:val="24"/>
        </w:rPr>
        <w:t>. Notwithstanding anything else in this Agreement, the Committee may impose conditions, restrictions, and limitations on the issuance of Shares under the Award unless and until the Committee determines that the issuance complies with (a) all registration requirements under the Securities Act, (b) all listing requirements of any securities exchange or similar entity on which the Shares are listed, (c) all Company policies and administrative rules, and (d) all Applicable Laws.</w:t>
      </w:r>
    </w:p>
    <w:p>
      <w:pPr>
        <w:pStyle w:val="TextBody"/>
        <w:bidi w:val="0"/>
        <w:spacing w:lineRule="auto" w:line="278" w:before="0" w:after="240"/>
        <w:ind w:left="0" w:right="0" w:hanging="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78" w:before="0" w:after="24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that may be required or permitted under this Agreement must be in writing and may be delivered personally, by intraoffice mail, or by electronic mail or via a postal service (postage prepaid) to the electronic mail or postal address and directed to the person as the receiving party may designate in writing from time to time.</w:t>
      </w:r>
    </w:p>
    <w:p>
      <w:pPr>
        <w:pStyle w:val="TextBody"/>
        <w:bidi w:val="0"/>
        <w:spacing w:lineRule="auto" w:line="278" w:before="0" w:after="24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Waiver</w:t>
      </w:r>
      <w:r>
        <w:rPr>
          <w:rFonts w:ascii="Times New Roman;serif" w:hAnsi="Times New Roman;serif"/>
          <w:b w:val="false"/>
          <w:color w:val="000000"/>
          <w:sz w:val="24"/>
        </w:rPr>
        <w:t>. The waiver by any party to this Agreement of a breach of any term of the Agreement will not operate or be construed as a waiver of any other or subsequent breach.</w:t>
      </w:r>
    </w:p>
    <w:p>
      <w:pPr>
        <w:pStyle w:val="TextBody"/>
        <w:bidi w:val="0"/>
        <w:spacing w:lineRule="auto" w:line="278" w:before="0" w:after="24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and the Plan constitute the entire agreement between you and the Company related to the Award. Any prior agreements, commitments, or negotiations related to the Award are superseded.</w:t>
      </w:r>
    </w:p>
    <w:p>
      <w:pPr>
        <w:pStyle w:val="TextBody"/>
        <w:bidi w:val="0"/>
        <w:spacing w:lineRule="auto" w:line="278" w:before="0" w:after="240"/>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Binding Effect; Successors</w:t>
      </w:r>
      <w:r>
        <w:rPr>
          <w:rFonts w:ascii="Times New Roman;serif" w:hAnsi="Times New Roman;serif"/>
          <w:b w:val="false"/>
          <w:color w:val="000000"/>
          <w:sz w:val="24"/>
        </w:rPr>
        <w:t>. The obligations and rights of the Company under this Agreement will be binding upon and inure to the benefit of the Company and any successor corporation or organization resulting from the merger, consolidation, sale, or other reorganization of the Company, or upon any successor corporation or organization succeeding to substantially all of the assets and business of the Company. Your obligations and rights under this Agreement will be binding upon and inure to your benefit and the benefit of your beneficiaries, executors, administrators, heirs, and successors.</w:t>
      </w:r>
    </w:p>
    <w:p>
      <w:pPr>
        <w:pStyle w:val="TextBody"/>
        <w:bidi w:val="0"/>
        <w:spacing w:lineRule="auto" w:line="278" w:before="0" w:after="240"/>
        <w:ind w:left="0" w:right="0" w:hanging="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Governing Law; Jurisdiction; Waiver of Jury Trial</w:t>
      </w:r>
      <w:r>
        <w:rPr>
          <w:rFonts w:ascii="Times New Roman;serif" w:hAnsi="Times New Roman;serif"/>
          <w:b w:val="false"/>
          <w:color w:val="000000"/>
          <w:sz w:val="24"/>
        </w:rPr>
        <w:t>. You acknowledge and expressly agree to the governing law terms of Section 13.9 of the Plan (and any successor terms) and the jurisdiction and waiver of jury trial terms of Section 13.10 of the Plan (and any successor terms).</w:t>
      </w:r>
    </w:p>
    <w:p>
      <w:pPr>
        <w:pStyle w:val="TextBody"/>
        <w:bidi w:val="0"/>
        <w:spacing w:lineRule="auto" w:line="278" w:before="0" w:after="240"/>
        <w:ind w:left="0" w:right="0" w:hanging="3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Amendment</w:t>
      </w:r>
      <w:r>
        <w:rPr>
          <w:rFonts w:ascii="Times New Roman;serif" w:hAnsi="Times New Roman;serif"/>
          <w:b w:val="false"/>
          <w:color w:val="000000"/>
          <w:sz w:val="24"/>
        </w:rPr>
        <w:t>. This Agreement may be amended at any time by the Committee, except that no amendment may, without your consent, materially impair your rights under the Award.</w:t>
      </w:r>
    </w:p>
    <w:p>
      <w:pPr>
        <w:pStyle w:val="TextBody"/>
        <w:bidi w:val="0"/>
        <w:spacing w:lineRule="auto" w:line="278" w:before="0" w:after="240"/>
        <w:ind w:left="0" w:right="0" w:hanging="3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The invalidity or unenforceability of any term of the Plan or this Agreement will not affect the validity or enforceability of any other term of </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67665"/>
                <wp:effectExtent l="0" t="0" r="0" b="0"/>
                <wp:wrapNone/>
                <wp:docPr id="133" name="Frame1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78" w:before="0" w:after="240"/>
        <w:jc w:val="both"/>
        <w:rPr>
          <w:rFonts w:ascii="Times New Roman;serif" w:hAnsi="Times New Roman;serif"/>
          <w:b w:val="false"/>
          <w:color w:val="000000"/>
          <w:sz w:val="24"/>
        </w:rPr>
      </w:pPr>
      <w:r>
        <w:rPr>
          <w:rFonts w:ascii="Times New Roman;serif" w:hAnsi="Times New Roman;serif"/>
          <w:b w:val="false"/>
          <w:color w:val="000000"/>
          <w:sz w:val="24"/>
        </w:rPr>
        <w:t>the Plan or this Agreement, and each other term of the Plan and this Agreement will be severable and enforceable to the extent permitted by Applicable Law.</w:t>
      </w:r>
    </w:p>
    <w:p>
      <w:pPr>
        <w:pStyle w:val="TextBody"/>
        <w:bidi w:val="0"/>
        <w:spacing w:lineRule="auto" w:line="278" w:before="0" w:after="240"/>
        <w:ind w:left="0" w:right="0" w:hanging="36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No Rights to Service; No Impact on Other Benefits</w:t>
      </w:r>
      <w:r>
        <w:rPr>
          <w:rFonts w:ascii="Times New Roman;serif" w:hAnsi="Times New Roman;serif"/>
          <w:b w:val="false"/>
          <w:color w:val="000000"/>
          <w:sz w:val="24"/>
        </w:rPr>
        <w:t>. Nothing in this Agreement will be construed as giving you any right to be retained in any position with the Company or its Affiliates. Nothing in this Agreement will interfere with or restrict the rights of the Company or its Affiliates—which are expressly reserved—to remove, terminate, or discharge you at any time for any reason whatsoever or for no reason, subject to the Company’s certificate of incorporation, bylaws, and other similar governing documents and Applicable Law. The value of the PSUs is not part of your normal or expected compensation for purposes of calculating any severance, retirement, welfare, insurance, or similar employee benefit. The grant of the PSUs does not create any right to receive any future awards.</w:t>
      </w:r>
    </w:p>
    <w:p>
      <w:pPr>
        <w:pStyle w:val="TextBody"/>
        <w:bidi w:val="0"/>
        <w:spacing w:lineRule="auto" w:line="278" w:before="0" w:after="240"/>
        <w:ind w:left="0" w:right="0" w:hanging="3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You must, upon request of the Company, do all acts and execute, deliver, and perform all additional documents, instruments, and agreements that may be reasonably required by the Company to implement this Agreement.</w:t>
      </w:r>
    </w:p>
    <w:p>
      <w:pPr>
        <w:pStyle w:val="TextBody"/>
        <w:bidi w:val="0"/>
        <w:spacing w:lineRule="auto" w:line="278" w:before="0" w:after="240"/>
        <w:ind w:left="0" w:right="0" w:hanging="36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Clawback</w:t>
      </w:r>
      <w:r>
        <w:rPr>
          <w:rFonts w:ascii="Times New Roman;serif" w:hAnsi="Times New Roman;serif"/>
          <w:b w:val="false"/>
          <w:color w:val="000000"/>
          <w:sz w:val="24"/>
        </w:rPr>
        <w:t>. All awards, amounts, and benefits received or outstanding under the Plan will be subject to clawback, cancellation, recoupment, rescission, payback, reduction, or other similar action in accordance with the terms of any Company clawback or similar policy generally applicable to senior executives of the Company or any Applicable Law related to such actions, as may be in effect from time to time. You acknowledge and consent to the Company’s application, implementation, and enforcement of any applicable Company clawback or similar policy that may apply to you, whether adopted before or after the Grant Date (including the clawback terms contained in Section 13.21 of the Plan as of the Grant Date (and any successor terms)), and any term of Applicable Law relating to clawback, cancellation, recoupment, rescission, payback, or reduction of compensation, and the Company may take such actions as may be necessary to effectuate any such policy or Applicable Law, without further consideration or action.</w:t>
      </w:r>
    </w:p>
    <w:p>
      <w:pPr>
        <w:pStyle w:val="TextBody"/>
        <w:bidi w:val="0"/>
        <w:spacing w:lineRule="auto" w:line="278" w:before="0" w:after="240"/>
        <w:ind w:left="0" w:right="0" w:hanging="36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Electronic Delivery and Acceptance</w:t>
      </w:r>
      <w:r>
        <w:rPr>
          <w:rFonts w:ascii="Times New Roman;serif" w:hAnsi="Times New Roman;serif"/>
          <w:b w:val="false"/>
          <w:color w:val="000000"/>
          <w:sz w:val="24"/>
        </w:rPr>
        <w:t>. The Company may deliver any documents related to current or future participation in the Plan by electronic means. You consent to receive those documents by electronic delivery and to participate in the Plan through any on-line or electronic system established and maintained by the Company or a third party designated by the Company.</w:t>
      </w:r>
    </w:p>
    <w:p>
      <w:pPr>
        <w:pStyle w:val="TextBody"/>
        <w:bidi w:val="0"/>
        <w:spacing w:lineRule="auto" w:line="278" w:before="0" w:after="240"/>
        <w:ind w:left="0" w:right="0" w:hanging="72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Your Representations</w:t>
      </w:r>
      <w:r>
        <w:rPr>
          <w:rFonts w:ascii="Times New Roman;serif" w:hAnsi="Times New Roman;serif"/>
          <w:b w:val="false"/>
          <w:color w:val="000000"/>
          <w:sz w:val="24"/>
        </w:rPr>
        <w:t>. You represent to the Company that you have read and fully understand this Agreement and the Plan and that your decision to participate in the Plan is completely voluntary. You also acknowledge that you are relying solely on your own advisors regarding the tax consequences of the Award.</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67665"/>
                <wp:effectExtent l="0" t="0" r="0" b="0"/>
                <wp:wrapNone/>
                <wp:docPr id="134" name="Frame1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signing below, you are agreeing that your electronic signature is the legal equivalent of a manual signature on this Agreement and you are agreeing to all of the terms of this Agreement, as of the Grant Date.</w:t>
      </w:r>
    </w:p>
    <w:p>
      <w:pPr>
        <w:pStyle w:val="TextBody"/>
        <w:bidi w:val="0"/>
        <w:spacing w:lineRule="auto" w:line="288" w:before="480" w:after="240"/>
        <w:jc w:val="both"/>
        <w:rPr/>
      </w:pPr>
      <w:r>
        <w:rPr>
          <w:rFonts w:ascii="Times New Roman;serif" w:hAnsi="Times New Roman;serif"/>
          <w:b w:val="false"/>
          <w:color w:val="000000"/>
          <w:sz w:val="24"/>
        </w:rPr>
        <w:t>Participant Signature:</w:t>
      </w:r>
      <w:r>
        <w:rPr>
          <w:color w:val="000000"/>
          <w:u w:val="single"/>
        </w:rPr>
        <w:t xml:space="preserve"> </w:t>
      </w:r>
      <w:r>
        <w:rPr>
          <w:rFonts w:ascii="Times New Roman;serif" w:hAnsi="Times New Roman;serif"/>
          <w:b w:val="false"/>
          <w:color w:val="000000"/>
          <w:sz w:val="24"/>
          <w:u w:val="single"/>
        </w:rPr>
        <w:t>/s/ John Kao                </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67665"/>
                <wp:effectExtent l="0" t="0" r="0" b="0"/>
                <wp:wrapNone/>
                <wp:docPr id="135" name="Frame1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 to PSU Award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 Unless otherwise specifically set forth in this Exhibit A, no PSUs shall become Earned PSUs if you incur a Separation from Service prior to the third anniversary of the Grant Date.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 The Earned PSUs will be determined based on the Company’s achievement of the performance metrics outlined below for each tranche of PSUs during the Measurement Period: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Tranche 1: Achievement of First Stock Price Hurdle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Tranche 2: Achievement of Second Stock Price Hurdle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Tranche 3: Achievement of Third Stock Price Hurdle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 In the event that, during the Measurement Period, you incur a Separation from Service as a result of a Qualifying Termination, or due to your death or Disability, then any requirement that you not incur a Separation from Service prior to the expiration of the Measurement Period shall be waived, and you shall retain (and not forfeit):</w:t>
      </w:r>
    </w:p>
    <w:p>
      <w:pPr>
        <w:pStyle w:val="TextBody"/>
        <w:bidi w:val="0"/>
        <w:spacing w:before="0" w:after="0"/>
        <w:jc w:val="left"/>
        <w:rPr/>
      </w:pPr>
      <w:r>
        <w:rPr/>
      </w:r>
    </w:p>
    <w:p>
      <w:pPr>
        <w:pStyle w:val="TextBody"/>
        <w:bidi w:val="0"/>
        <w:spacing w:lineRule="auto" w:line="27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(i)Tranche 1, to the extent that the Company has achieved the First Stock Price Hurdle prior to your Qualifying Termination (and Tranche 1 shall be Earned PSUs); and</w:t>
      </w:r>
    </w:p>
    <w:p>
      <w:pPr>
        <w:pStyle w:val="TextBody"/>
        <w:bidi w:val="0"/>
        <w:spacing w:lineRule="auto" w:line="27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(ii)Tranche 2, to the extent that the Company has achieved the Second Stock Price Hurdle prior to your Qualifying Termination (and Tranche 2 shall be Earned PSUs); and</w:t>
      </w:r>
    </w:p>
    <w:p>
      <w:pPr>
        <w:pStyle w:val="TextBody"/>
        <w:bidi w:val="0"/>
        <w:spacing w:lineRule="auto" w:line="27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(iii)Tranche 3, to the extent that the Company has achieved the Third Stock Price Hurdle prior to your Qualifying Termination (and Tranche 3 shall be Earned PSUs).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if (x) your Separation from Service was due to your death or Disability, and (y) the First Stock Price Hurdle was achieved as of the date of your Separation from Service, then the Committee shall determine (not later than the second business day following your Separation from Service due to your death or Disability) the Termination Stock Price Achievement, and an additional number of Earned PSUs shall be earned based on the Termination Stock Price Achievement, calculated using straight-line interpolation between the Applicable Stock Price Hurdle that was achieved as of the date of your Separation from Service and the next higher Applicable Stock Price Hurdle (rounded up to the nearest whole Share), and any remaining PSUs that are not Earned PSUs (after taking into account this paragraph) shall be forfeited.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example, if the First Stock Price Hurdle (but not the Second Stock Price Hurdle) had been achieved as of the date of your Separation from Service due to death or Disability, and the Termination Stock Price Achievement was $40.00, then an additional 203,252 PSUs from Tranche 2 shall be deemed Earned PSUs, and the remaining PSUs that are not Earned PSUs shall be forfeited.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Any Earned PSUs held by you as of your Separation from Service (taking into account the foregoing provisions of this Section C) shall be settled as soon as administratively practicable following your Separation from Service (but not later than 60 days thereafter).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67665"/>
                <wp:effectExtent l="0" t="0" r="0" b="0"/>
                <wp:wrapNone/>
                <wp:docPr id="136" name="Frame1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the avoidance of doubt, if any Applicable Stock Price Hurdle is achieved, it will continue to be treated as achieved notwithstanding whether the volume-weighted price per Share subsequently declines below such Applicable Stock Price Hurdle.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In the event that, during the Measurement Period, you incur a Separation from Service as a result of a Qualifying Termination, then any requirement that you not incur a Separation from Service prior to the expiration of the Measurement Period shall be waived, and any of the PSUs that are not Earned PSUs after reflecting the foregoing provisions of Section C shall become Earned PSUs if the Applicable Stock Price Hurdle is achieved during the Tail Period. During the Tail Period, the Committee shall certify the achievement of any Applicable Stock Price Hurdle (not later than the second business day following the achievement of any Applicable Stock Price Hurdle). Any such Earned PSUs shall be settled as soon as administratively practicable following the achievement of the Applicable Stock Price Hurdle (but not later than 60 days thereafter). For the avoidance of doubt, there shall be no interpolation for purposes of determining if any PSUs become Earned PSUs based upon Termination Stock Price Achievement between Applicable Stock Price Hurdles. Upon the expiration of the Tail Period, any PSUs that have not become Earned PSUs shall be forfeited.</w:t>
      </w:r>
    </w:p>
    <w:p>
      <w:pPr>
        <w:pStyle w:val="TextBody"/>
        <w:bidi w:val="0"/>
        <w:spacing w:lineRule="auto" w:line="288" w:before="0" w:after="0"/>
        <w:jc w:val="left"/>
        <w:rPr/>
      </w:pPr>
      <w:r>
        <w:rPr>
          <w:rFonts w:ascii="Times New Roman;serif" w:hAnsi="Times New Roman;serif"/>
          <w:b w:val="false"/>
          <w:color w:val="000000"/>
          <w:sz w:val="22"/>
        </w:rPr>
        <w:t>E. If a Change in Control</w:t>
      </w:r>
      <w:r>
        <w:rPr>
          <w:color w:val="000000"/>
        </w:rPr>
        <w:t xml:space="preserve"> </w:t>
      </w:r>
      <w:r>
        <w:rPr>
          <w:rFonts w:ascii="Times New Roman;serif" w:hAnsi="Times New Roman;serif"/>
          <w:b w:val="false"/>
          <w:color w:val="000000"/>
          <w:sz w:val="22"/>
        </w:rPr>
        <w:t>occurs prior to the end of the Measurement Period, then, to the extent that any PSUs remain outstanding and have not been forfeited prior to the Change in Control (including if the Change in Control occurs during the Tail Period):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(a) If the First Stock Price Hurdle was not achieved as of the Change in Control, but the price per Share that is payable or otherwise implied by the Change in Control transaction (taking into account the value of any contingent consideration (e.g., “contingent value rights” or similar instruments) to the extent actually received by you) (or if neither is applicable, the closing price per Share on the first trading day immediately preceding the Change in Control) (as applicable, the “</w:t>
      </w:r>
      <w:r>
        <w:rPr>
          <w:rFonts w:ascii="Times New Roman;serif" w:hAnsi="Times New Roman;serif"/>
          <w:b/>
          <w:i/>
          <w:color w:val="000000"/>
          <w:sz w:val="22"/>
        </w:rPr>
        <w:t>CIC Stock Price Achievement</w:t>
      </w:r>
      <w:r>
        <w:rPr>
          <w:color w:val="000000"/>
        </w:rPr>
        <w:t>”</w:t>
      </w:r>
      <w:r>
        <w:rPr>
          <w:rFonts w:ascii="Times New Roman;serif" w:hAnsi="Times New Roman;serif"/>
          <w:b w:val="false"/>
          <w:color w:val="000000"/>
          <w:sz w:val="22"/>
        </w:rPr>
        <w:t xml:space="preserve">) is greater than $19.60 (the closing price per Share on the Grant Date), then (notwithstanding Section D) Tranche 1 shall be deemed Earned PSUs and settled as of immediately prior to the Change in Control, and Tranche 2 and Tranche 3 shall be forfeited.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 If the First Stock Price Hurdle has been achieved as of the Change in Control, then the Committee shall determine the CIC Stock Price Achievement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and a number of PSUs shall become Earned PSUs based on the CIC Stock Price Achievement, calculated using straight-line interpolation between the Applicable Stock Price Hurdle that was achieved as of immediately prior to the Change in Control and the next higher Applicable Stock Price Hurdle (rounded up to the nearest whole Share); the remainder of the PSUs shall be forfeited. Any such Earned PSUs shall be settled as of immediately prior to the Change in Control.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example, if the First Stock Price Hurdle (but not the Second Stock Price Hurdle) had been achieved as of the Change in Control, and the CIC Stock Price Achievement was $40.00, then an additional 203,252 PSUs from Tranche 2 shall be Earned PSUs, and the remaining PSUs that are not Earned PSUs shall be forfeited.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 For purposes of this Agreement:</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2"/>
        </w:rPr>
        <w:t>Applicable Stock Price Hurdle</w:t>
      </w:r>
      <w:r>
        <w:rPr>
          <w:color w:val="000000"/>
        </w:rPr>
        <w:t xml:space="preserve">” </w:t>
      </w:r>
      <w:r>
        <w:rPr>
          <w:rFonts w:ascii="Times New Roman;serif" w:hAnsi="Times New Roman;serif"/>
          <w:b w:val="false"/>
          <w:color w:val="000000"/>
          <w:sz w:val="22"/>
        </w:rPr>
        <w:t>means (i) the First Stock Price Hurdle, in the case of Tranche 1; (ii) the Second Stock Price Hurdle, in the case of Tranche 2; and (iii) the Third Stock Price Hurdle, in the case of Tranche 3.</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67665"/>
                <wp:effectExtent l="0" t="0" r="0" b="0"/>
                <wp:wrapNone/>
                <wp:docPr id="137" name="Frame1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000000"/>
        </w:rPr>
        <w:t>“</w:t>
      </w:r>
      <w:r>
        <w:rPr>
          <w:rFonts w:ascii="Times New Roman;serif" w:hAnsi="Times New Roman;serif"/>
          <w:b/>
          <w:i/>
          <w:color w:val="000000"/>
          <w:sz w:val="22"/>
        </w:rPr>
        <w:t>Exchange</w:t>
      </w:r>
      <w:r>
        <w:rPr>
          <w:color w:val="000000"/>
        </w:rPr>
        <w:t xml:space="preserve">” </w:t>
      </w:r>
      <w:r>
        <w:rPr>
          <w:rFonts w:ascii="Times New Roman;serif" w:hAnsi="Times New Roman;serif"/>
          <w:b w:val="false"/>
          <w:color w:val="000000"/>
          <w:sz w:val="22"/>
        </w:rPr>
        <w:t>means the NASDAQ, or such other principal stock exchange or quotation system on which the Shares are listed or quoted.</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2"/>
        </w:rPr>
        <w:t>First Stock Price Hurdle</w:t>
      </w:r>
      <w:r>
        <w:rPr>
          <w:color w:val="000000"/>
        </w:rPr>
        <w:t xml:space="preserve">” </w:t>
      </w:r>
      <w:r>
        <w:rPr>
          <w:rFonts w:ascii="Times New Roman;serif" w:hAnsi="Times New Roman;serif"/>
          <w:b w:val="false"/>
          <w:color w:val="000000"/>
          <w:sz w:val="22"/>
        </w:rPr>
        <w:t xml:space="preserve">means, as of the closing of any trading day on the Exchange during the Measurement Period, the achievement by the Company of a volume weighted average price per Share of $33.75 on the Exchange, as reported by Bloomberg, L.P. or another reputable source, calculated on the basis of a thirty (30) consecutive trading day trailing period ending on the applicable determination date.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2"/>
        </w:rPr>
        <w:t>Qualifying Termination</w:t>
      </w:r>
      <w:r>
        <w:rPr>
          <w:color w:val="000000"/>
        </w:rPr>
        <w:t xml:space="preserve">” </w:t>
      </w:r>
      <w:r>
        <w:rPr>
          <w:rFonts w:ascii="Times New Roman;serif" w:hAnsi="Times New Roman;serif"/>
          <w:b w:val="false"/>
          <w:color w:val="000000"/>
          <w:sz w:val="22"/>
        </w:rPr>
        <w:t>means your Separation from Service due to a termination by the Company without Cause (other than as a result of death or Disability) or a resignation by you for “Good Reason” (as defined in your Employment Agreement).</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2"/>
        </w:rPr>
        <w:t>Second Stock Price Hurdle</w:t>
      </w:r>
      <w:r>
        <w:rPr>
          <w:rFonts w:ascii="Times New Roman;serif" w:hAnsi="Times New Roman;serif"/>
          <w:b w:val="false"/>
          <w:color w:val="000000"/>
          <w:sz w:val="22"/>
        </w:rPr>
        <w:t>" means, as of the closing of any trading day on the Exchange during the Measurement Period, the achievement by the Company of a volume weighted average price per Share of $44.00 on the Exchange, as reported by Bloomberg, L.P. or another reputable source, calculated on the basis of a thirty (30) consecutive trading day trailing period ending on the applicable determination date.</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2"/>
        </w:rPr>
        <w:t>Tail Period</w:t>
      </w:r>
      <w:r>
        <w:rPr>
          <w:color w:val="000000"/>
        </w:rPr>
        <w:t xml:space="preserve">” </w:t>
      </w:r>
      <w:r>
        <w:rPr>
          <w:rFonts w:ascii="Times New Roman;serif" w:hAnsi="Times New Roman;serif"/>
          <w:b w:val="false"/>
          <w:color w:val="000000"/>
          <w:sz w:val="22"/>
        </w:rPr>
        <w:t>means the period commencing on the Qualifying Termination and ending on the earliest to occur of (i) the expiration of the six (6)-month period immediately following your Qualifying Termination or, if later, either (x) in the event of your resignation with Good Reason, the first July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that occurs on or following the date of your Qualifying Termination, or (y) in the event of a termination by the Company without Cause (other than as a result of death or Disability), the second July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that occurs on or following the date of your Qualifying Termination, (ii) the expiration of the Measurement Period and (iii) a Change in Control.</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2"/>
        </w:rPr>
        <w:t>Termination Stock Price Achievement</w:t>
      </w:r>
      <w:r>
        <w:rPr>
          <w:color w:val="000000"/>
        </w:rPr>
        <w:t xml:space="preserve">” </w:t>
      </w:r>
      <w:r>
        <w:rPr>
          <w:rFonts w:ascii="Times New Roman;serif" w:hAnsi="Times New Roman;serif"/>
          <w:b w:val="false"/>
          <w:color w:val="000000"/>
          <w:sz w:val="22"/>
        </w:rPr>
        <w:t>means the volume weighted average price per Share on the Exchange, calculated on the basis of a thirty (30) consecutive trading day trailing period ending on the date of your Qualifying Termination (or, if applicable under Section C above, the date of your Separation from Service due to death or Disability), as reported by Bloomberg, L.P. or another reputable source.</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2"/>
        </w:rPr>
        <w:t>Third Stock Price Hurdle</w:t>
      </w:r>
      <w:r>
        <w:rPr>
          <w:rFonts w:ascii="Times New Roman;serif" w:hAnsi="Times New Roman;serif"/>
          <w:b w:val="false"/>
          <w:color w:val="000000"/>
          <w:sz w:val="22"/>
        </w:rPr>
        <w:t>" means, as of the closing of any trading day on the Exchange during the Measurement Period, the achievement by the Company of a volume weighted average price per Share of $55.25 on the Exchange, as reported by Bloomberg, L.P. or another reputable source, calculated on the basis of a thirty (30) consecutive trading day trailing period ending on the applicable determination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67665"/>
                <wp:effectExtent l="0" t="0" r="0" b="0"/>
                <wp:wrapNone/>
                <wp:docPr id="138" name="Frame1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10.21</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67665"/>
                <wp:effectExtent l="0" t="0" r="0" b="0"/>
                <wp:wrapNone/>
                <wp:docPr id="139" name="Frame1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CREDIT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Dated as of February 26, 2026</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among</w:t>
      </w:r>
    </w:p>
    <w:p>
      <w:pPr>
        <w:pStyle w:val="TextBody"/>
        <w:bidi w:val="0"/>
        <w:spacing w:lineRule="auto" w:line="288" w:before="0" w:after="0"/>
        <w:jc w:val="center"/>
        <w:rPr/>
      </w:pPr>
      <w:r>
        <w:rPr>
          <w:rFonts w:ascii="Times New Roman;serif" w:hAnsi="Times New Roman;serif"/>
          <w:b/>
          <w:color w:val="000000"/>
          <w:sz w:val="22"/>
        </w:rPr>
        <w:t>ALIGNMENT HEALTHCARE USA, LLC</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as the Borrower,</w:t>
      </w:r>
    </w:p>
    <w:p>
      <w:pPr>
        <w:pStyle w:val="TextBody"/>
        <w:bidi w:val="0"/>
        <w:spacing w:lineRule="auto" w:line="288" w:before="0" w:after="240"/>
        <w:jc w:val="center"/>
        <w:rPr/>
      </w:pPr>
      <w:r>
        <w:rPr>
          <w:rFonts w:ascii="Times New Roman;serif" w:hAnsi="Times New Roman;serif"/>
          <w:b/>
          <w:color w:val="000000"/>
          <w:sz w:val="22"/>
        </w:rPr>
        <w:t>ALIGNMENT HEALTHCARE, INC.</w:t>
      </w:r>
      <w:r>
        <w:rPr>
          <w:rFonts w:ascii="Times New Roman;serif" w:hAnsi="Times New Roman;serif"/>
          <w:b w:val="false"/>
          <w:color w:val="000000"/>
          <w:sz w:val="22"/>
        </w:rPr>
        <w:t>,</w:t>
        <w:br/>
        <w:t>as Parent,</w:t>
      </w:r>
    </w:p>
    <w:p>
      <w:pPr>
        <w:pStyle w:val="TextBody"/>
        <w:bidi w:val="0"/>
        <w:spacing w:lineRule="auto" w:line="288" w:before="0" w:after="240"/>
        <w:jc w:val="center"/>
        <w:rPr/>
      </w:pPr>
      <w:r>
        <w:rPr>
          <w:rFonts w:ascii="Times New Roman;serif" w:hAnsi="Times New Roman;serif"/>
          <w:b/>
          <w:color w:val="000000"/>
          <w:sz w:val="22"/>
        </w:rPr>
        <w:t>ALIGNMENT HEALTHCARE HOLDCO 1, LLC</w:t>
      </w:r>
      <w:r>
        <w:rPr>
          <w:rFonts w:ascii="Times New Roman;serif" w:hAnsi="Times New Roman;serif"/>
          <w:b w:val="false"/>
          <w:color w:val="000000"/>
          <w:sz w:val="22"/>
        </w:rPr>
        <w:t>,</w:t>
        <w:br/>
        <w:t>as Intermediate Holdings,</w:t>
      </w:r>
    </w:p>
    <w:p>
      <w:pPr>
        <w:pStyle w:val="TextBody"/>
        <w:bidi w:val="0"/>
        <w:spacing w:lineRule="auto" w:line="288" w:before="0" w:after="240"/>
        <w:jc w:val="center"/>
        <w:rPr/>
      </w:pPr>
      <w:r>
        <w:rPr>
          <w:rFonts w:ascii="Times New Roman;serif" w:hAnsi="Times New Roman;serif"/>
          <w:b/>
          <w:color w:val="000000"/>
          <w:sz w:val="22"/>
        </w:rPr>
        <w:t>ALIGNMENT HEALTHCARE HOLDCO 2, LLC</w:t>
      </w:r>
      <w:r>
        <w:rPr>
          <w:rFonts w:ascii="Times New Roman;serif" w:hAnsi="Times New Roman;serif"/>
          <w:b w:val="false"/>
          <w:color w:val="000000"/>
          <w:sz w:val="22"/>
        </w:rPr>
        <w:t>,</w:t>
        <w:br/>
        <w:t>as Holdings,</w:t>
      </w:r>
    </w:p>
    <w:p>
      <w:pPr>
        <w:pStyle w:val="TextBody"/>
        <w:bidi w:val="0"/>
        <w:spacing w:lineRule="auto" w:line="288" w:before="0" w:after="0"/>
        <w:jc w:val="center"/>
        <w:rPr/>
      </w:pP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OTHER SUBSIDIARIES OF PARENT PARTY HERETO,</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as the Guarantors,</w:t>
      </w:r>
    </w:p>
    <w:p>
      <w:pPr>
        <w:pStyle w:val="TextBody"/>
        <w:bidi w:val="0"/>
        <w:spacing w:lineRule="auto" w:line="288" w:before="0" w:after="0"/>
        <w:jc w:val="center"/>
        <w:rPr/>
      </w:pPr>
      <w:r>
        <w:rPr>
          <w:rFonts w:ascii="Times New Roman;serif" w:hAnsi="Times New Roman;serif"/>
          <w:b/>
          <w:color w:val="000000"/>
          <w:sz w:val="22"/>
        </w:rPr>
        <w:t>CITIBANK, N.A.</w:t>
      </w:r>
      <w:r>
        <w:rPr>
          <w:rFonts w:ascii="Times New Roman;serif" w:hAnsi="Times New Roman;serif"/>
          <w:b w:val="false"/>
          <w:color w:val="000000"/>
          <w:sz w:val="22"/>
        </w:rPr>
        <w:t>,</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as Administrative Agent, </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THE LENDERS PARTY HERETO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CITIBANK, N.A.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WELLS FARGO SECURITIES, LLC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U.S. BANK NATIONAL ASSOCIATION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Joint Lead Arrangers and Joint Bookrunners</w:t>
      </w: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1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Page</w:t>
      </w:r>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Defined Terms.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Other Interpretive Provisions.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49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Accounting Terms.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49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1.04</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Rounding.</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51</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1.05</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Times of Day.</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51</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1.06</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Letter of Credit Amounts.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51</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1.07</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Interest Rates.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51</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1.08</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UCC Terms.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52</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1.09</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Limited Condition Transactions.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52</w:t>
        </w:r>
      </w:hyperlink>
    </w:p>
    <w:p>
      <w:pPr>
        <w:pStyle w:val="TextBody"/>
        <w:bidi w:val="0"/>
        <w:spacing w:lineRule="auto" w:line="288" w:before="120" w:after="283"/>
        <w:ind w:left="0" w:right="0" w:hanging="720"/>
        <w:jc w:val="left"/>
        <w:rPr/>
      </w:pPr>
      <w:hyperlink w:anchor="id6b05e8929cb448ba969fbd71d07f4fa_7">
        <w:r>
          <w:rPr>
            <w:rStyle w:val="InternetLink"/>
            <w:rFonts w:ascii="Times New Roman;serif" w:hAnsi="Times New Roman;serif"/>
            <w:b w:val="false"/>
            <w:color w:val="0000FF"/>
            <w:sz w:val="22"/>
            <w:u w:val="single"/>
          </w:rPr>
          <w:t>ARTICLE II COMMITMENTS AND CREDIT EXTENSIONS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val="false"/>
            <w:strike w:val="false"/>
            <w:dstrike w:val="false"/>
            <w:color w:val="000000"/>
            <w:sz w:val="22"/>
            <w:u w:val="none"/>
            <w:effect w:val="none"/>
          </w:rPr>
          <w:t>53</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2.01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Loans.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53</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2.02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Borrowings, Conversions and Continuations of Loans.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53</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2.03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Letters of Credit.</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55</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2.04</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Swingline Loans.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63</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2.05</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Prepayments.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66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2.06</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Termination or Reduction of Commitments.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67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2.07</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Repayment of Loans.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68</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2.08</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Interest and Default Rate.</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68</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2.09</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Fees.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69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2.10</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Computation of Interest and Fees; Retroactive Adjustments of Applicable Rate.</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69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2.11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Evidence of Debt.</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70</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2.12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Payments Generally; Administrative Agent’s Clawback.</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70</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2.13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Sharing of Payments by Lenders.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72</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2.14</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Cash Collateral.</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73</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2.15</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Defaulting Lenders.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74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2.16</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Incremental Facilities.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77</w:t>
        </w:r>
      </w:hyperlink>
    </w:p>
    <w:p>
      <w:pPr>
        <w:pStyle w:val="TextBody"/>
        <w:bidi w:val="0"/>
        <w:spacing w:lineRule="auto" w:line="288" w:before="120" w:after="283"/>
        <w:ind w:left="0" w:right="0" w:hanging="720"/>
        <w:jc w:val="left"/>
        <w:rPr/>
      </w:pPr>
      <w:hyperlink w:anchor="id6b05e8929cb448ba969fbd71d07f4fa_7">
        <w:r>
          <w:rPr>
            <w:rStyle w:val="InternetLink"/>
            <w:rFonts w:ascii="Times New Roman;serif" w:hAnsi="Times New Roman;serif"/>
            <w:b w:val="false"/>
            <w:color w:val="0000FF"/>
            <w:sz w:val="22"/>
            <w:u w:val="single"/>
          </w:rPr>
          <w:t>ARTICLE III TAXES, YIELD PROTECTION AND ILLEGALITY</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val="false"/>
            <w:strike w:val="false"/>
            <w:dstrike w:val="false"/>
            <w:color w:val="000000"/>
            <w:sz w:val="22"/>
            <w:u w:val="none"/>
            <w:effect w:val="none"/>
          </w:rPr>
          <w:t>80</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3.01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Taxes.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80</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3.02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Illegality.</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84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3.03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Inability to Determine Rates.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84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3.04</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Increased Costs.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86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3.05</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Compensation for Losses.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87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3.06</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Mitigation Obligations; Replacement of Lenders.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88</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3.07</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Survival.</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88</w:t>
        </w:r>
      </w:hyperlink>
    </w:p>
    <w:p>
      <w:pPr>
        <w:pStyle w:val="TextBody"/>
        <w:bidi w:val="0"/>
        <w:spacing w:lineRule="auto" w:line="288" w:before="120" w:after="283"/>
        <w:ind w:left="0" w:right="0" w:hanging="720"/>
        <w:jc w:val="left"/>
        <w:rPr/>
      </w:pPr>
      <w:hyperlink w:anchor="id6b05e8929cb448ba969fbd71d07f4fa_7">
        <w:r>
          <w:rPr>
            <w:rStyle w:val="InternetLink"/>
            <w:rFonts w:ascii="Times New Roman;serif" w:hAnsi="Times New Roman;serif"/>
            <w:b w:val="false"/>
            <w:color w:val="0000FF"/>
            <w:sz w:val="22"/>
            <w:u w:val="single"/>
          </w:rPr>
          <w:t>ARTICLE IV CONDITIONS PRECEDENT TO CREDIT EXTENSIONS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4.01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Conditions of Initial Credit Extension.</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89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4.02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Conditions to all Credit Extensions.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91</w:t>
        </w:r>
      </w:hyperlink>
    </w:p>
    <w:p>
      <w:pPr>
        <w:pStyle w:val="TextBody"/>
        <w:bidi w:val="0"/>
        <w:spacing w:lineRule="auto" w:line="288" w:before="120" w:after="283"/>
        <w:ind w:left="0" w:right="0" w:hanging="720"/>
        <w:jc w:val="left"/>
        <w:rPr/>
      </w:pPr>
      <w:hyperlink w:anchor="id6b05e8929cb448ba969fbd71d07f4fa_7">
        <w:r>
          <w:rPr>
            <w:rStyle w:val="InternetLink"/>
            <w:rFonts w:ascii="Times New Roman;serif" w:hAnsi="Times New Roman;serif"/>
            <w:b w:val="false"/>
            <w:color w:val="0000FF"/>
            <w:sz w:val="22"/>
            <w:u w:val="single"/>
          </w:rPr>
          <w:t>ARTICLE V REPRESENTATIONS AND WARRANTIES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ind w:left="0" w:right="0" w:hanging="720"/>
        <w:jc w:val="left"/>
        <w:rPr/>
      </w:pPr>
      <w:hyperlink w:anchor="id6b05e8929cb448ba969fbd71d07f4fa_7">
        <w:r>
          <w:rPr>
            <w:rStyle w:val="InternetLink"/>
            <w:rFonts w:ascii="Times New Roman;serif" w:hAnsi="Times New Roman;serif"/>
            <w:b/>
            <w:color w:val="0000FF"/>
            <w:sz w:val="22"/>
            <w:u w:val="single"/>
          </w:rPr>
          <w:t>5.01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Existence, Qualification and Power.</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92</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1155"/>
                <wp:effectExtent l="0" t="0" r="0" b="0"/>
                <wp:wrapNone/>
                <wp:docPr id="141" name="Frame1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5.02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Authorization; No Contravention.</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92</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5.03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Governmental Authorization; Other Consents.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92</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5.04</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Binding Effect.</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93</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5.05</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Financial Statements; No Material Adverse Effect.</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93</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5.06</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Litigation.</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93</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5.07</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[Reserved].</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5.08</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Ownership of Property.</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5.09</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Environmental Matters.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5.10</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Insurance.</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5.11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Taxes.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5.12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ERISA Compliance.</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5.13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Margin Regulations; Investment Company Act.</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95</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5.14</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Disclosure.</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5.15</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Compliance with Laws.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5.16</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Solvency.</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5.17</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Sanctions Concerns; Anti-Corruption Laws; Outbound Investment Rules.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5.18</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[Reserved].</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5.19</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Subsidiaries; Equity Interests; Loan Parties; Managed Companies.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5.20</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Collateral Representations.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5.21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EEA Financial Institutions.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5.22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Covered Entities.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5.23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Beneficial Ownership Certification.</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5.24</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Intellectual Property; Licenses; Etc.</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5.25</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Labor Matters.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5.26</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Health Care Matters.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99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5.27</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Insurance Licenses.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103</w:t>
        </w:r>
      </w:hyperlink>
    </w:p>
    <w:p>
      <w:pPr>
        <w:pStyle w:val="TextBody"/>
        <w:bidi w:val="0"/>
        <w:spacing w:lineRule="auto" w:line="288" w:before="120" w:after="283"/>
        <w:ind w:left="0" w:right="0" w:hanging="720"/>
        <w:jc w:val="left"/>
        <w:rPr/>
      </w:pPr>
      <w:hyperlink w:anchor="id6b05e8929cb448ba969fbd71d07f4fa_7">
        <w:r>
          <w:rPr>
            <w:rStyle w:val="InternetLink"/>
            <w:rFonts w:ascii="Times New Roman;serif" w:hAnsi="Times New Roman;serif"/>
            <w:b w:val="false"/>
            <w:color w:val="0000FF"/>
            <w:sz w:val="22"/>
            <w:u w:val="single"/>
          </w:rPr>
          <w:t>ARTICLE VI AFFIRMATIVE COVENANTS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val="false"/>
            <w:strike w:val="false"/>
            <w:dstrike w:val="false"/>
            <w:color w:val="000000"/>
            <w:sz w:val="22"/>
            <w:u w:val="none"/>
            <w:effect w:val="none"/>
          </w:rPr>
          <w:t>104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6.01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Financial Statements.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104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6.02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Certificates; Other Information.</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105</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6.03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Notices.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108</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6.04</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Payment of Obligations.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109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6.05</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Preservation of Existence, Etc.</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109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6.06</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Maintenance of Properties.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109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6.07</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Maintenance of Insurance.</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109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6.08</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Compliance with Laws.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110</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6.09</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Books and Records.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110</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6.10</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Inspection Rights.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110</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6.11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Use of Proceeds.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111</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6.12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[Reserved].</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111</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6.13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Covenant to Guarantee Obligations.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111</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6.14</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Covenant to Give Security.</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111</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6.15</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Compliance with Environmental Laws.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113</w:t>
        </w:r>
      </w:hyperlink>
    </w:p>
    <w:p>
      <w:pPr>
        <w:pStyle w:val="TextBody"/>
        <w:bidi w:val="0"/>
        <w:spacing w:lineRule="auto" w:line="288"/>
        <w:ind w:left="0" w:right="0" w:hanging="720"/>
        <w:jc w:val="left"/>
        <w:rPr/>
      </w:pPr>
      <w:hyperlink w:anchor="id6b05e8929cb448ba969fbd71d07f4fa_7">
        <w:r>
          <w:rPr>
            <w:rStyle w:val="InternetLink"/>
            <w:rFonts w:ascii="Times New Roman;serif" w:hAnsi="Times New Roman;serif"/>
            <w:b/>
            <w:color w:val="0000FF"/>
            <w:sz w:val="22"/>
            <w:u w:val="single"/>
          </w:rPr>
          <w:t>6.16</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Anti-Corruption Laws; Sanctions.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113</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701675"/>
                <wp:effectExtent l="0" t="0" r="0" b="0"/>
                <wp:wrapNone/>
                <wp:docPr id="142" name="Frame14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6.17</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Further Assurances.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114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6.18</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Flood Insurance Matters.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114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6.19</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Reserved.</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114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6.20</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Health Care Matters.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114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6.21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Management Services Documents.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117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6.22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Post-Closing Matters.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117</w:t>
        </w:r>
      </w:hyperlink>
    </w:p>
    <w:p>
      <w:pPr>
        <w:pStyle w:val="TextBody"/>
        <w:bidi w:val="0"/>
        <w:spacing w:lineRule="auto" w:line="288" w:before="120" w:after="283"/>
        <w:ind w:left="0" w:right="0" w:hanging="720"/>
        <w:jc w:val="left"/>
        <w:rPr/>
      </w:pPr>
      <w:hyperlink w:anchor="id6b05e8929cb448ba969fbd71d07f4fa_7">
        <w:r>
          <w:rPr>
            <w:rStyle w:val="InternetLink"/>
            <w:rFonts w:ascii="Times New Roman;serif" w:hAnsi="Times New Roman;serif"/>
            <w:b w:val="false"/>
            <w:color w:val="0000FF"/>
            <w:sz w:val="22"/>
            <w:u w:val="single"/>
          </w:rPr>
          <w:t>ARTICLE VII NEGATIVE COVENANTS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val="false"/>
            <w:strike w:val="false"/>
            <w:dstrike w:val="false"/>
            <w:color w:val="000000"/>
            <w:sz w:val="22"/>
            <w:u w:val="none"/>
            <w:effect w:val="none"/>
          </w:rPr>
          <w:t>117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7.01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Liens.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118</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7.02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Indebtedness.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120</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7.03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Investments.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123</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7.04</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Fundamental Changes.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126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7.05</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Dispositions.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126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7.06</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Restricted Payments.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128</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7.07</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Change in Nature of Business.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130</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7.08</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Transactions with Affiliates.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131</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7.09</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Burdensome Agreements.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132</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7.10</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[Reserved].</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134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7.11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Financial Covenants.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134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7.12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Amendments of Organization Documents; Fiscal Year; Legal Name, State of Formation; Form of Entity and Accounting Changes.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134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7.13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Sale and Leaseback Transactions.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135</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7.14</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Prepayments, Etc. of Indebtedness.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135</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7.15</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Amendment, Etc. of Junior Indebtedness Documents.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136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7.16</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Sanctions.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136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7.17</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Anti-Corruption Laws.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137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7.18</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Outbound Investment Rules.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137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7.19</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Minimum Statutory Capital..</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137</w:t>
        </w:r>
      </w:hyperlink>
    </w:p>
    <w:p>
      <w:pPr>
        <w:pStyle w:val="TextBody"/>
        <w:bidi w:val="0"/>
        <w:spacing w:lineRule="auto" w:line="288" w:before="120" w:after="283"/>
        <w:ind w:left="0" w:right="0" w:hanging="720"/>
        <w:jc w:val="left"/>
        <w:rPr/>
      </w:pPr>
      <w:hyperlink w:anchor="id6b05e8929cb448ba969fbd71d07f4fa_7">
        <w:r>
          <w:rPr>
            <w:rStyle w:val="InternetLink"/>
            <w:rFonts w:ascii="Times New Roman;serif" w:hAnsi="Times New Roman;serif"/>
            <w:b w:val="false"/>
            <w:color w:val="0000FF"/>
            <w:sz w:val="22"/>
            <w:u w:val="single"/>
          </w:rPr>
          <w:t>ARTICLE VIII EVENTS OF DEFAULT AND REMEDIES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val="false"/>
            <w:strike w:val="false"/>
            <w:dstrike w:val="false"/>
            <w:color w:val="000000"/>
            <w:sz w:val="22"/>
            <w:u w:val="none"/>
            <w:effect w:val="none"/>
          </w:rPr>
          <w:t>137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8.01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Events of Default.</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137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8.02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Remedies upon Event of Default.</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141</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8.03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Application of Funds.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141</w:t>
        </w:r>
      </w:hyperlink>
    </w:p>
    <w:p>
      <w:pPr>
        <w:pStyle w:val="TextBody"/>
        <w:bidi w:val="0"/>
        <w:spacing w:lineRule="auto" w:line="288" w:before="120" w:after="283"/>
        <w:ind w:left="0" w:right="0" w:hanging="720"/>
        <w:jc w:val="left"/>
        <w:rPr/>
      </w:pPr>
      <w:hyperlink w:anchor="id6b05e8929cb448ba969fbd71d07f4fa_7">
        <w:r>
          <w:rPr>
            <w:rStyle w:val="InternetLink"/>
            <w:rFonts w:ascii="Times New Roman;serif" w:hAnsi="Times New Roman;serif"/>
            <w:b w:val="false"/>
            <w:color w:val="0000FF"/>
            <w:sz w:val="22"/>
            <w:u w:val="single"/>
          </w:rPr>
          <w:t>ARTICLE IX ADMINISTRATIVE AGENT</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val="false"/>
            <w:strike w:val="false"/>
            <w:dstrike w:val="false"/>
            <w:color w:val="000000"/>
            <w:sz w:val="22"/>
            <w:u w:val="none"/>
            <w:effect w:val="none"/>
          </w:rPr>
          <w:t>143</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9.01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Appointment and Authority.</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143</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9.02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Rights as a Lender.</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143</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9.03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Exculpatory Provisions.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144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9.04</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Reliance by Administrative Agent.</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145</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9.05</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Delegation of Duties.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145</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9.06</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Resignation of Administrative Agent.</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146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9.07</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Non-Reliance on Administrative Agent, the Arrangers and the Other Lenders.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147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9.08</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No Other Duties, Etc.</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148</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9.09</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Administrative Agent May File Proofs of Claim; Credit Bidding.</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148</w:t>
        </w:r>
      </w:hyperlink>
    </w:p>
    <w:p>
      <w:pPr>
        <w:pStyle w:val="TextBody"/>
        <w:bidi w:val="0"/>
        <w:spacing w:lineRule="auto" w:line="288"/>
        <w:ind w:left="0" w:right="0" w:hanging="720"/>
        <w:jc w:val="left"/>
        <w:rPr/>
      </w:pPr>
      <w:hyperlink w:anchor="id6b05e8929cb448ba969fbd71d07f4fa_7">
        <w:r>
          <w:rPr>
            <w:rStyle w:val="InternetLink"/>
            <w:rFonts w:ascii="Times New Roman;serif" w:hAnsi="Times New Roman;serif"/>
            <w:b/>
            <w:color w:val="0000FF"/>
            <w:sz w:val="22"/>
            <w:u w:val="single"/>
          </w:rPr>
          <w:t>9.10</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Collateral and Guaranty Matters.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149</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701675"/>
                <wp:effectExtent l="0" t="0" r="0" b="0"/>
                <wp:wrapNone/>
                <wp:docPr id="143" name="Frame14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9.11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Secured Cash Management Agreements and Secured Hedge Agreements.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150</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9.12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Certain ERISA Matters.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150</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9.13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Recovery of Erroneous Payments.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151</w:t>
        </w:r>
      </w:hyperlink>
    </w:p>
    <w:p>
      <w:pPr>
        <w:pStyle w:val="TextBody"/>
        <w:bidi w:val="0"/>
        <w:spacing w:lineRule="auto" w:line="288" w:before="120" w:after="283"/>
        <w:ind w:left="0" w:right="0" w:hanging="720"/>
        <w:jc w:val="left"/>
        <w:rPr/>
      </w:pPr>
      <w:hyperlink w:anchor="id6b05e8929cb448ba969fbd71d07f4fa_7">
        <w:r>
          <w:rPr>
            <w:rStyle w:val="InternetLink"/>
            <w:rFonts w:ascii="Times New Roman;serif" w:hAnsi="Times New Roman;serif"/>
            <w:b w:val="false"/>
            <w:color w:val="0000FF"/>
            <w:sz w:val="22"/>
            <w:u w:val="single"/>
          </w:rPr>
          <w:t>ARTICLE X CONTINUING GUARANTY</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val="false"/>
            <w:strike w:val="false"/>
            <w:dstrike w:val="false"/>
            <w:color w:val="000000"/>
            <w:sz w:val="22"/>
            <w:u w:val="none"/>
            <w:effect w:val="none"/>
          </w:rPr>
          <w:t>154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10.01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Guaranty.</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154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10.02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Rights of Lenders.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155</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10.03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Certain Waivers.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155</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10.04</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Obligations Independent.</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156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10.05</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Subrogation.</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156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10.06</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Termination; Reinstatement.</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156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10.07</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Stay of Acceleration.</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156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10.08</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Condition of Borrower.</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156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10.09</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Appointment of Borrower.</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156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10.10</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Right of Contribution.</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157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10.11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Keepwell.</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157</w:t>
        </w:r>
      </w:hyperlink>
    </w:p>
    <w:p>
      <w:pPr>
        <w:pStyle w:val="TextBody"/>
        <w:bidi w:val="0"/>
        <w:spacing w:lineRule="auto" w:line="288" w:before="120" w:after="283"/>
        <w:ind w:left="0" w:right="0" w:hanging="720"/>
        <w:jc w:val="left"/>
        <w:rPr/>
      </w:pPr>
      <w:hyperlink w:anchor="id6b05e8929cb448ba969fbd71d07f4fa_7">
        <w:r>
          <w:rPr>
            <w:rStyle w:val="InternetLink"/>
            <w:rFonts w:ascii="Times New Roman;serif" w:hAnsi="Times New Roman;serif"/>
            <w:b w:val="false"/>
            <w:color w:val="0000FF"/>
            <w:sz w:val="22"/>
            <w:u w:val="single"/>
          </w:rPr>
          <w:t>ARTICLE XI MISCELLANEOUS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val="false"/>
            <w:strike w:val="false"/>
            <w:dstrike w:val="false"/>
            <w:color w:val="000000"/>
            <w:sz w:val="22"/>
            <w:u w:val="none"/>
            <w:effect w:val="none"/>
          </w:rPr>
          <w:t>157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11.01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Amendments, Etc.</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157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11.02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Notices; Effectiveness; Electronic Communications.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159</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11.03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No Waiver; Cumulative Remedies; Enforcement.</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161</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11.04</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Expenses; Indemnity; Damage Waiver.</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162</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11.05</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Payments Set Aside.</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164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11.06</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Successors and Assigns.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165</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11.07</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Treatment of Certain Information; Confidentiality.</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171</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11.08</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Right of Setoff.</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172</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11.09</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Interest Rate Limitation.</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173</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11.10</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Integration; Effectiveness.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173</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11.11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Survival of Representations and Warranties.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173</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11.12</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Severability.</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174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11.13</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Replacement of Lenders.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174</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11.14</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Governing Law; Jurisdiction; Etc.</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175</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11.15</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Waiver of Jury Trial.</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176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11.16</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Subordination.</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176</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11.17</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No Advisory or Fiduciary Responsibility.</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177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11.18</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Electronic Execution; Electronic Records; Counterparts.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177</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11.19</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USA Patriot Act Notice.</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178</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11.20</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Acknowledgement and Consent to Bail-In of Affected Financial Institutions.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178</w:t>
        </w:r>
      </w:hyperlink>
    </w:p>
    <w:p>
      <w:pPr>
        <w:pStyle w:val="TextBody"/>
        <w:bidi w:val="0"/>
        <w:spacing w:lineRule="auto" w:line="288" w:before="0" w:after="0"/>
        <w:ind w:left="0" w:right="0" w:hanging="720"/>
        <w:jc w:val="left"/>
        <w:rPr/>
      </w:pPr>
      <w:hyperlink w:anchor="id6b05e8929cb448ba969fbd71d07f4fa_7">
        <w:r>
          <w:rPr>
            <w:rStyle w:val="InternetLink"/>
            <w:rFonts w:ascii="Times New Roman;serif" w:hAnsi="Times New Roman;serif"/>
            <w:b/>
            <w:color w:val="0000FF"/>
            <w:sz w:val="22"/>
            <w:u w:val="single"/>
          </w:rPr>
          <w:t>11.21</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color w:val="0000FF"/>
            <w:sz w:val="22"/>
            <w:u w:val="single"/>
          </w:rPr>
          <w:t>Acknowledgement Regarding Any Supported QFCs.</w:t>
        </w:r>
      </w:hyperlink>
      <w:hyperlink w:anchor="id6b05e8929cb448ba969fbd71d07f4fa_7">
        <w:r>
          <w:rPr>
            <w:rStyle w:val="InternetLink"/>
            <w:strike w:val="false"/>
            <w:dstrike w:val="false"/>
            <w:color w:val="000000"/>
            <w:u w:val="none"/>
            <w:effect w:val="none"/>
          </w:rPr>
          <w:t>    </w:t>
        </w:r>
      </w:hyperlink>
      <w:hyperlink w:anchor="id6b05e8929cb448ba969fbd71d07f4fa_7">
        <w:r>
          <w:rPr>
            <w:rStyle w:val="InternetLink"/>
            <w:rFonts w:ascii="Times New Roman;serif" w:hAnsi="Times New Roman;serif"/>
            <w:b/>
            <w:strike w:val="false"/>
            <w:dstrike w:val="false"/>
            <w:color w:val="000000"/>
            <w:sz w:val="22"/>
            <w:u w:val="none"/>
            <w:effect w:val="none"/>
          </w:rPr>
          <w:t>179</w:t>
        </w:r>
      </w:hyperlink>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701675"/>
                <wp:effectExtent l="0" t="0" r="0" b="0"/>
                <wp:wrapNone/>
                <wp:docPr id="144" name="Frame14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BORROWER PREPARED SCHEDULES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5.03    Governmental Authorization; Other Consents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5.19(a)    Subsidiaries, Joint Ventures, Partnerships and Other Equity Investments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5.19(b)    Loan Parties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5.19(c)    Managed Companies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5.20(b)    Intellectual Property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5.20(c)    Instruments and Tangible Chattel Paper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5.20(d)(i)    Deposit Accounts &amp; Securities Accounts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5.20(e)    Commercial Tort Claims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5.20(f)    Pledged Equity Interests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5.20(g)    Properties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5.26(l)    Management Services Documents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5.26(m)    Health Plan Subsidiary Management Agreements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7.01    Existing Liens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7.02    Existing Indebtedness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7.03    Existing Investments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7.08    Existing Transactions with Affiliates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7.09    Existing Burdensome Agreements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 PREPARED SCHEDULES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1.01(a)     Certain Addresses for Notices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1.01(b)     Commitments and Applicable Percentages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2.01    Swingline Commitments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2.03    L/C Commitments</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EXHIBITS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A    [Reserved]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B    Form of Assignment and Assumption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C    Form of Compliance Certificate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D    Form of Joinder Agreement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E    Form of Loan Notice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F    [Reserved]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G    Form of Note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H    Form of Secured Party Designation Notice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I    Form of Solvency Certificate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J    Form of Swingline Loan Notice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K    Form of Notice of Loan Prepayment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L    [Reserved]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M    Forms of U.S. Tax Compliance Certificates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N    Form of Funding Indemnity Letter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O    [Reserved]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P    Form of Closing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701675"/>
                <wp:effectExtent l="0" t="0" r="0" b="0"/>
                <wp:wrapNone/>
                <wp:docPr id="145" name="Frame14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This </w:t>
      </w:r>
      <w:r>
        <w:rPr>
          <w:rFonts w:ascii="Times New Roman;serif" w:hAnsi="Times New Roman;serif"/>
          <w:b/>
          <w:color w:val="000000"/>
          <w:sz w:val="22"/>
        </w:rPr>
        <w:t>CREDIT AGREEMENT</w:t>
      </w:r>
      <w:r>
        <w:rPr>
          <w:color w:val="000000"/>
        </w:rPr>
        <w:t xml:space="preserve"> </w:t>
      </w:r>
      <w:r>
        <w:rPr>
          <w:rFonts w:ascii="Times New Roman;serif" w:hAnsi="Times New Roman;serif"/>
          <w:b w:val="false"/>
          <w:color w:val="000000"/>
          <w:sz w:val="22"/>
        </w:rPr>
        <w:t xml:space="preserve">is entered into as of February 26, 2026, among </w:t>
      </w:r>
      <w:r>
        <w:rPr>
          <w:rFonts w:ascii="Times New Roman;serif" w:hAnsi="Times New Roman;serif"/>
          <w:b/>
          <w:color w:val="000000"/>
          <w:sz w:val="22"/>
        </w:rPr>
        <w:t>ALIGNMENT HEALTHCARE USA, LLC</w:t>
      </w:r>
      <w:r>
        <w:rPr>
          <w:rFonts w:ascii="Times New Roman;serif" w:hAnsi="Times New Roman;serif"/>
          <w:b w:val="false"/>
          <w:color w:val="000000"/>
          <w:sz w:val="22"/>
        </w:rPr>
        <w:t>, a Delaware limited liability company (the “</w:t>
      </w:r>
      <w:r>
        <w:rPr>
          <w:rFonts w:ascii="Times New Roman;serif" w:hAnsi="Times New Roman;serif"/>
          <w:b w:val="false"/>
          <w:i/>
          <w:color w:val="000000"/>
          <w:sz w:val="22"/>
          <w:u w:val="single"/>
        </w:rPr>
        <w:t>Borrowe</w:t>
      </w:r>
      <w:r>
        <w:rPr>
          <w:rFonts w:ascii="Times New Roman;serif" w:hAnsi="Times New Roman;serif"/>
          <w:b w:val="false"/>
          <w:color w:val="000000"/>
          <w:sz w:val="22"/>
          <w:u w:val="single"/>
        </w:rPr>
        <w:t>r</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ALIGNMENT HEALTHCARE, INC.</w:t>
      </w:r>
      <w:r>
        <w:rPr>
          <w:rFonts w:ascii="Times New Roman;serif" w:hAnsi="Times New Roman;serif"/>
          <w:b w:val="false"/>
          <w:color w:val="000000"/>
          <w:sz w:val="22"/>
        </w:rPr>
        <w:t>, a Delaware corporation (</w:t>
      </w:r>
      <w:r>
        <w:rPr>
          <w:color w:val="000000"/>
        </w:rPr>
        <w:t>“</w:t>
      </w:r>
      <w:r>
        <w:rPr>
          <w:rFonts w:ascii="Times New Roman;serif" w:hAnsi="Times New Roman;serif"/>
          <w:b w:val="false"/>
          <w:i/>
          <w:color w:val="000000"/>
          <w:sz w:val="22"/>
          <w:u w:val="single"/>
        </w:rPr>
        <w:t>Parent</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ALIGNMENT HEALTHCARE HOLDCO 1, LLC</w:t>
      </w:r>
      <w:r>
        <w:rPr>
          <w:rFonts w:ascii="Times New Roman;serif" w:hAnsi="Times New Roman;serif"/>
          <w:b w:val="false"/>
          <w:color w:val="000000"/>
          <w:sz w:val="22"/>
        </w:rPr>
        <w:t>, a Delaware limited liability company (</w:t>
      </w:r>
      <w:r>
        <w:rPr>
          <w:color w:val="000000"/>
        </w:rPr>
        <w:t>“</w:t>
      </w:r>
      <w:r>
        <w:rPr>
          <w:rFonts w:ascii="Times New Roman;serif" w:hAnsi="Times New Roman;serif"/>
          <w:b w:val="false"/>
          <w:i/>
          <w:color w:val="000000"/>
          <w:sz w:val="22"/>
          <w:u w:val="single"/>
        </w:rPr>
        <w:t>Intermediate Holdings</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ALIGNMENT HEALTHCARE HOLDCO 2, LLC</w:t>
      </w:r>
      <w:r>
        <w:rPr>
          <w:rFonts w:ascii="Times New Roman;serif" w:hAnsi="Times New Roman;serif"/>
          <w:b w:val="false"/>
          <w:color w:val="000000"/>
          <w:sz w:val="22"/>
        </w:rPr>
        <w:t>, a Delaware limited liability company (</w:t>
      </w:r>
      <w:r>
        <w:rPr>
          <w:color w:val="000000"/>
        </w:rPr>
        <w:t>“</w:t>
      </w:r>
      <w:r>
        <w:rPr>
          <w:rFonts w:ascii="Times New Roman;serif" w:hAnsi="Times New Roman;serif"/>
          <w:b w:val="false"/>
          <w:i/>
          <w:color w:val="000000"/>
          <w:sz w:val="22"/>
          <w:u w:val="single"/>
        </w:rPr>
        <w:t>Holdings</w:t>
      </w:r>
      <w:r>
        <w:rPr>
          <w:color w:val="000000"/>
        </w:rPr>
        <w:t>”</w:t>
      </w:r>
      <w:r>
        <w:rPr>
          <w:rFonts w:ascii="Times New Roman;serif" w:hAnsi="Times New Roman;serif"/>
          <w:b w:val="false"/>
          <w:color w:val="000000"/>
          <w:sz w:val="22"/>
        </w:rPr>
        <w:t xml:space="preserve">), the other Guarantors (defined herein) party hereto from time to time, the Lenders (defined herein) party hereto from time to time, and </w:t>
      </w:r>
      <w:r>
        <w:rPr>
          <w:rFonts w:ascii="Times New Roman;serif" w:hAnsi="Times New Roman;serif"/>
          <w:b/>
          <w:color w:val="000000"/>
          <w:sz w:val="22"/>
        </w:rPr>
        <w:t>CITIBANK, N.A.</w:t>
      </w:r>
      <w:r>
        <w:rPr>
          <w:rFonts w:ascii="Times New Roman;serif" w:hAnsi="Times New Roman;serif"/>
          <w:b w:val="false"/>
          <w:color w:val="000000"/>
          <w:sz w:val="22"/>
        </w:rPr>
        <w:t>, as Administrative Agent, Swingline Lender and an L/C Issuer.</w:t>
      </w:r>
    </w:p>
    <w:p>
      <w:pPr>
        <w:pStyle w:val="TextBody"/>
        <w:bidi w:val="0"/>
        <w:spacing w:lineRule="auto" w:line="288" w:before="0" w:after="240"/>
        <w:jc w:val="center"/>
        <w:rPr/>
      </w:pPr>
      <w:r>
        <w:rPr>
          <w:rFonts w:ascii="Times New Roman;serif" w:hAnsi="Times New Roman;serif"/>
          <w:b/>
          <w:color w:val="000000"/>
          <w:sz w:val="22"/>
        </w:rPr>
        <w:t>PRELIMINARY STATEMENTS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Borrower has requested that the Lenders, the Swingline Lender and each L/C Issuer make loans and other financial accommodations to the Borrower in an aggregate amount of $200,000,000.</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Borrower and each other Loan Party desire to secure all of the Secured Obligations by granting to the Administrative Agent, for the benefit of the Secured Parties, a security interest in and Lien upon substantially all of the property and assets of the Borrower and the other Loan Parties, subject to the limitations described herein and in the Collateral Documents.</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Lenders, the Swingline Lender and each L/C Issuer have agreed to make such loans and other financial accommodations to the Borrower on the terms and subject to the conditions set forth herein.</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mutual covenants and agreements herein contained, the parties hereto covenant and agree as follows:</w:t>
      </w:r>
    </w:p>
    <w:p>
      <w:pPr>
        <w:pStyle w:val="TextBody"/>
        <w:bidi w:val="0"/>
        <w:spacing w:lineRule="auto" w:line="240" w:before="0" w:after="240"/>
        <w:jc w:val="center"/>
        <w:rPr/>
      </w:pPr>
      <w:r>
        <w:rPr>
          <w:rFonts w:ascii="Times New Roman;serif" w:hAnsi="Times New Roman;serif"/>
          <w:b/>
          <w:color w:val="000000"/>
          <w:sz w:val="22"/>
        </w:rPr>
        <w:t>Article I</w:t>
      </w:r>
      <w:r>
        <w:rPr>
          <w:rFonts w:ascii="Times New Roman;serif" w:hAnsi="Times New Roman;serif"/>
          <w:b/>
          <w:color w:val="000000"/>
          <w:sz w:val="22"/>
        </w:rPr>
        <w:br/>
        <w:br/>
      </w:r>
      <w:r>
        <w:rPr>
          <w:rFonts w:ascii="Times New Roman;serif" w:hAnsi="Times New Roman;serif"/>
          <w:b/>
          <w:color w:val="000000"/>
          <w:sz w:val="22"/>
          <w:u w:val="single"/>
        </w:rPr>
        <w:t>DEFINITIONS AND ACCOUNTING TERMS</w:t>
      </w:r>
    </w:p>
    <w:p>
      <w:pPr>
        <w:pStyle w:val="TextBody"/>
        <w:bidi w:val="0"/>
        <w:spacing w:lineRule="auto" w:line="240" w:before="0" w:after="240"/>
        <w:ind w:left="0" w:right="0" w:firstLine="720"/>
        <w:jc w:val="both"/>
        <w:rPr/>
      </w:pPr>
      <w:r>
        <w:rPr>
          <w:rFonts w:ascii="Times New Roman;serif" w:hAnsi="Times New Roman;serif"/>
          <w:b/>
          <w:color w:val="000000"/>
          <w:sz w:val="22"/>
        </w:rPr>
        <w:t>1.01</w:t>
      </w:r>
      <w:r>
        <w:rPr>
          <w:rFonts w:ascii="Times New Roman;serif" w:hAnsi="Times New Roman;serif"/>
          <w:b/>
          <w:color w:val="000000"/>
          <w:sz w:val="22"/>
          <w:u w:val="single"/>
        </w:rPr>
        <w:t>Defined Terms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used in this Agreement, the following terms shall have the meanings set forth below: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Acquisition</w:t>
      </w:r>
      <w:r>
        <w:rPr>
          <w:color w:val="000000"/>
        </w:rPr>
        <w:t xml:space="preserve">” </w:t>
      </w:r>
      <w:r>
        <w:rPr>
          <w:rFonts w:ascii="Times New Roman;serif" w:hAnsi="Times New Roman;serif"/>
          <w:b w:val="false"/>
          <w:color w:val="000000"/>
          <w:sz w:val="22"/>
        </w:rPr>
        <w:t>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Additional Permitted Convertible Indebtedness</w:t>
      </w:r>
      <w:r>
        <w:rPr>
          <w:color w:val="000000"/>
        </w:rPr>
        <w:t xml:space="preserve">” </w:t>
      </w:r>
      <w:r>
        <w:rPr>
          <w:rFonts w:ascii="Times New Roman;serif" w:hAnsi="Times New Roman;serif"/>
          <w:b w:val="false"/>
          <w:color w:val="000000"/>
          <w:sz w:val="22"/>
        </w:rPr>
        <w:t>has the meaning set forth in the definition of Permitted Convertible Indebtedness.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Additional Secured Obligations</w:t>
      </w:r>
      <w:r>
        <w:rPr>
          <w:color w:val="000000"/>
        </w:rPr>
        <w:t xml:space="preserve">” </w:t>
      </w:r>
      <w:r>
        <w:rPr>
          <w:rFonts w:ascii="Times New Roman;serif" w:hAnsi="Times New Roman;serif"/>
          <w:b w:val="false"/>
          <w:color w:val="000000"/>
          <w:sz w:val="22"/>
        </w:rPr>
        <w:t xml:space="preserve">means (a) all obligations arising under Secured Cash Management Agreements and Secured Hedge Agreements and (b) all documented costs and expenses incurred in connection with enforcement and collection of the foregoing, including the fees, charges and disbursements of outside counsel, in each case whether direct or indirect (including those acquired by assumption), absolute or contingent, due or to become due, now existing or hereafter arising and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1155"/>
                <wp:effectExtent l="0" t="0" r="0" b="0"/>
                <wp:wrapNone/>
                <wp:docPr id="146" name="Frame1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including interest, expenses and fees that accrue after the commencement by or against Parent or any Subsidiary thereof of any proceeding under any Debtor Relief Laws naming such Person as the debtor in such proceeding, regardless of whether such interest, expenses and fees are allowed claims in such proceeding;</w:t>
      </w:r>
      <w:r>
        <w:rPr>
          <w:color w:val="00B050"/>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Additional Secured Obligations of a Guarantor shall exclude any Excluded Swap Obligations with respect to such Guarantor.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Administrative Agent</w:t>
      </w:r>
      <w:r>
        <w:rPr>
          <w:color w:val="000000"/>
        </w:rPr>
        <w:t xml:space="preserve">” </w:t>
      </w:r>
      <w:r>
        <w:rPr>
          <w:rFonts w:ascii="Times New Roman;serif" w:hAnsi="Times New Roman;serif"/>
          <w:b w:val="false"/>
          <w:color w:val="000000"/>
          <w:sz w:val="22"/>
        </w:rPr>
        <w:t>means Citibank</w:t>
      </w:r>
      <w:r>
        <w:rPr>
          <w:color w:val="7030A0"/>
        </w:rPr>
        <w:t xml:space="preserve"> </w:t>
      </w:r>
      <w:r>
        <w:rPr>
          <w:rFonts w:ascii="Times New Roman;serif" w:hAnsi="Times New Roman;serif"/>
          <w:b w:val="false"/>
          <w:color w:val="000000"/>
          <w:sz w:val="22"/>
        </w:rPr>
        <w:t>in its capacity as administrative agent under any of the Loan Documents, or any successor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Administrative Agent</w:t>
      </w:r>
      <w:r>
        <w:rPr>
          <w:color w:val="000000"/>
          <w:u w:val="single"/>
        </w:rPr>
        <w:t>’</w:t>
      </w:r>
      <w:r>
        <w:rPr>
          <w:rFonts w:ascii="Times New Roman;serif" w:hAnsi="Times New Roman;serif"/>
          <w:b w:val="false"/>
          <w:i/>
          <w:color w:val="000000"/>
          <w:sz w:val="22"/>
          <w:u w:val="single"/>
        </w:rPr>
        <w:t>s</w:t>
      </w:r>
      <w:r>
        <w:rPr>
          <w:color w:val="000000"/>
          <w:u w:val="single"/>
        </w:rPr>
        <w:t xml:space="preserve"> </w:t>
      </w:r>
      <w:r>
        <w:rPr>
          <w:rFonts w:ascii="Times New Roman;serif" w:hAnsi="Times New Roman;serif"/>
          <w:b w:val="false"/>
          <w:i/>
          <w:color w:val="000000"/>
          <w:sz w:val="22"/>
          <w:u w:val="single"/>
        </w:rPr>
        <w:t>Office</w:t>
      </w:r>
      <w:r>
        <w:rPr>
          <w:color w:val="000000"/>
        </w:rPr>
        <w:t xml:space="preserve">” </w:t>
      </w:r>
      <w:r>
        <w:rPr>
          <w:rFonts w:ascii="Times New Roman;serif" w:hAnsi="Times New Roman;serif"/>
          <w:b w:val="false"/>
          <w:color w:val="000000"/>
          <w:sz w:val="22"/>
        </w:rPr>
        <w:t xml:space="preserve">means the Administrative Agent’s address, or such other address as the Administrative Agent may from time to time designate in writing to the Borrower and the Lenders (including, without limitation, </w:t>
      </w:r>
      <w:r>
        <w:rPr>
          <w:rFonts w:ascii="Times New Roman;serif" w:hAnsi="Times New Roman;serif"/>
          <w:b w:val="false"/>
          <w:color w:val="000000"/>
          <w:sz w:val="22"/>
          <w:u w:val="single"/>
        </w:rPr>
        <w:t>Schedule 1.01(a)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Administrative Questionnaire</w:t>
      </w:r>
      <w:r>
        <w:rPr>
          <w:color w:val="000000"/>
        </w:rPr>
        <w:t xml:space="preserve">” </w:t>
      </w:r>
      <w:r>
        <w:rPr>
          <w:rFonts w:ascii="Times New Roman;serif" w:hAnsi="Times New Roman;serif"/>
          <w:b w:val="false"/>
          <w:color w:val="000000"/>
          <w:sz w:val="22"/>
        </w:rPr>
        <w:t>means an administrative questionnaire in a form supplied by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Affected Financial Institution</w:t>
      </w:r>
      <w:r>
        <w:rPr>
          <w:color w:val="000000"/>
        </w:rPr>
        <w:t xml:space="preserve">” </w:t>
      </w:r>
      <w:r>
        <w:rPr>
          <w:rFonts w:ascii="Times New Roman;serif" w:hAnsi="Times New Roman;serif"/>
          <w:b w:val="false"/>
          <w:color w:val="000000"/>
          <w:sz w:val="22"/>
        </w:rPr>
        <w:t>means (a) any EEA Financial Institution or (b) any UK Financial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Affiliate</w:t>
      </w:r>
      <w:r>
        <w:rPr>
          <w:color w:val="000000"/>
        </w:rPr>
        <w:t xml:space="preserve">” </w:t>
      </w:r>
      <w:r>
        <w:rPr>
          <w:rFonts w:ascii="Times New Roman;serif" w:hAnsi="Times New Roman;serif"/>
          <w:b w:val="false"/>
          <w:color w:val="000000"/>
          <w:sz w:val="22"/>
        </w:rPr>
        <w:t>means, with respect to a specified Person, another Person that directly, or indirectly through one or more intermediaries, Controls or is Controlled by or is under common Control with the Person specified.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Aggregate Commitments</w:t>
      </w:r>
      <w:r>
        <w:rPr>
          <w:color w:val="000000"/>
        </w:rPr>
        <w:t xml:space="preserve">” </w:t>
      </w:r>
      <w:r>
        <w:rPr>
          <w:rFonts w:ascii="Times New Roman;serif" w:hAnsi="Times New Roman;serif"/>
          <w:b w:val="false"/>
          <w:color w:val="000000"/>
          <w:sz w:val="22"/>
        </w:rPr>
        <w:t>means the Commitments of all the Lenders.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Agreement</w:t>
      </w:r>
      <w:r>
        <w:rPr>
          <w:color w:val="000000"/>
        </w:rPr>
        <w:t xml:space="preserve">” </w:t>
      </w:r>
      <w:r>
        <w:rPr>
          <w:rFonts w:ascii="Times New Roman;serif" w:hAnsi="Times New Roman;serif"/>
          <w:b w:val="false"/>
          <w:color w:val="000000"/>
          <w:sz w:val="22"/>
        </w:rPr>
        <w:t>means this Credit Agreement, including all schedules, exhibits and annexes 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Applicable Insurance Code</w:t>
      </w:r>
      <w:r>
        <w:rPr>
          <w:color w:val="000000"/>
        </w:rPr>
        <w:t xml:space="preserve">” </w:t>
      </w:r>
      <w:r>
        <w:rPr>
          <w:rFonts w:ascii="Times New Roman;serif" w:hAnsi="Times New Roman;serif"/>
          <w:b w:val="false"/>
          <w:color w:val="000000"/>
          <w:sz w:val="22"/>
        </w:rPr>
        <w:t>means, as to any Regulated Insurance Subsidiary, the insurance code or other statute of any state where such Regulated Insurance Subsidiary or other Person is domiciled or doing insurance business and any successor statute of similar import, together with the regulations thereunder, as amended or otherwise modified and in effect from time to time, and any directives issued by an Applicable Insurance Regulatory Authority having the force and effect of Law.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Applicable Insurance Regulatory Authority</w:t>
      </w:r>
      <w:r>
        <w:rPr>
          <w:color w:val="000000"/>
        </w:rPr>
        <w:t xml:space="preserve">” </w:t>
      </w:r>
      <w:r>
        <w:rPr>
          <w:rFonts w:ascii="Times New Roman;serif" w:hAnsi="Times New Roman;serif"/>
          <w:b w:val="false"/>
          <w:color w:val="000000"/>
          <w:sz w:val="22"/>
        </w:rPr>
        <w:t>means, when used with respect to any Regulated Insurance Subsidiary, the insurance department or similar administrative authority or agency located in (a) each state or other jurisdiction in which such Regulated Insurance Subsidiary is domiciled or (b) to the extent asserting regulatory jurisdiction over such Regulated Insurance Subsidiary, the insurance department, authority or agency in each state or other jurisdiction in which such Regulated Insurance Subsidiary is licensed.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Applicable Law</w:t>
      </w:r>
      <w:r>
        <w:rPr>
          <w:color w:val="000000"/>
        </w:rPr>
        <w:t xml:space="preserve">” </w:t>
      </w:r>
      <w:r>
        <w:rPr>
          <w:rFonts w:ascii="Times New Roman;serif" w:hAnsi="Times New Roman;serif"/>
          <w:b w:val="false"/>
          <w:color w:val="000000"/>
          <w:sz w:val="22"/>
        </w:rPr>
        <w:t>means, as to any Person, all applicable Laws binding upon such Person or to which such a Person is subject, including, for the avoidance of doubt, Health Care Laws and Applicable Insurance Code.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Applicable Percentage</w:t>
      </w:r>
      <w:r>
        <w:rPr>
          <w:color w:val="000000"/>
        </w:rPr>
        <w:t xml:space="preserve">” </w:t>
      </w:r>
      <w:r>
        <w:rPr>
          <w:rFonts w:ascii="Times New Roman;serif" w:hAnsi="Times New Roman;serif"/>
          <w:b w:val="false"/>
          <w:color w:val="000000"/>
          <w:sz w:val="22"/>
        </w:rPr>
        <w:t xml:space="preserve">means, with respect to any Revolving Lender at any time, the percentage (carried out to the ninth decimal place) of the Revolving Facility represented by such Revolving Lender’s Revolving Commitment at such time, subject to adjustment as provided in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If the Commitment of all of the Revolving Lenders to make Revolving Loans and the obligation of the L/C Issuers to make L/C Credit Extensions have been terminated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or if the Revolving Commitments have expired, then the Applicable Percentage of each Revolving Lender in respect of the Revolving Facility shall be determined based on the Applicable Percentage of such Revolving Lender in respect of the Revolving Facility most recently in effect, giving effect to any subsequent assignments and to any Lender’s status as a Defaulting Lender at the time of determination. The Applicable Percentage of each Lender is set forth opposite the name of such Lender on </w:t>
      </w:r>
      <w:r>
        <w:rPr>
          <w:rFonts w:ascii="Times New Roman;serif" w:hAnsi="Times New Roman;serif"/>
          <w:b w:val="false"/>
          <w:color w:val="000000"/>
          <w:sz w:val="22"/>
          <w:u w:val="single"/>
        </w:rPr>
        <w:t>Schedule 1.01(b</w:t>
      </w:r>
      <w:r>
        <w:rPr>
          <w:rFonts w:ascii="Times New Roman;serif" w:hAnsi="Times New Roman;serif"/>
          <w:b w:val="false"/>
          <w:color w:val="000000"/>
          <w:sz w:val="22"/>
        </w:rPr>
        <w:t xml:space="preserve">) or in the Assignment and Assumption pursuant to which such Lender becomes a party hereto or in any documentation executed by such Lender pursuant to </w:t>
      </w:r>
      <w:r>
        <w:rPr>
          <w:rFonts w:ascii="Times New Roman;serif" w:hAnsi="Times New Roman;serif"/>
          <w:b w:val="false"/>
          <w:color w:val="000000"/>
          <w:sz w:val="22"/>
          <w:u w:val="single"/>
        </w:rPr>
        <w:t>Section 2.16</w:t>
      </w:r>
      <w:r>
        <w:rPr>
          <w:rFonts w:ascii="Times New Roman;serif" w:hAnsi="Times New Roman;serif"/>
          <w:b w:val="false"/>
          <w:color w:val="000000"/>
          <w:sz w:val="22"/>
        </w:rPr>
        <w:t>,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701675"/>
                <wp:effectExtent l="0" t="0" r="0" b="0"/>
                <wp:wrapNone/>
                <wp:docPr id="147" name="Frame14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Applicable Rate</w:t>
      </w:r>
      <w:r>
        <w:rPr>
          <w:color w:val="000000"/>
        </w:rPr>
        <w:t xml:space="preserve">” </w:t>
      </w:r>
      <w:r>
        <w:rPr>
          <w:rFonts w:ascii="Times New Roman;serif" w:hAnsi="Times New Roman;serif"/>
          <w:b w:val="false"/>
          <w:color w:val="000000"/>
          <w:sz w:val="22"/>
        </w:rPr>
        <w:t>means, for any day, the rate per annum set forth below opposite the applicable Level then in effect (based on the Consolidated Senior Secured Leverage Ratio), it being understood that the Applicable Rate for (a) Revolving Loans that are Base Rate Loans shall be the percentage set forth under the column “Base Rate”, (b) Revolving Loans that are Term SOFR Loans shall be the percentage set forth under the column “Term SOFR &amp; Letter of Credit Fee”, (c) the Letter of Credit Fee shall be the percentage set forth under the column “Term SOFR &amp; Letter of Credit Fee”, and (d) the Commitment Fee shall be the percentage set forth under the column “Commitment Fee”:</w:t>
      </w:r>
    </w:p>
    <w:tbl>
      <w:tblPr>
        <w:tblW w:w="10205" w:type="dxa"/>
        <w:jc w:val="left"/>
        <w:tblInd w:w="0" w:type="dxa"/>
        <w:tblLayout w:type="fixed"/>
        <w:tblCellMar>
          <w:top w:w="28" w:type="dxa"/>
          <w:left w:w="28" w:type="dxa"/>
          <w:bottom w:w="28" w:type="dxa"/>
          <w:right w:w="28" w:type="dxa"/>
        </w:tblCellMar>
      </w:tblPr>
      <w:tblGrid>
        <w:gridCol w:w="147"/>
        <w:gridCol w:w="129"/>
        <w:gridCol w:w="129"/>
        <w:gridCol w:w="129"/>
        <w:gridCol w:w="129"/>
        <w:gridCol w:w="129"/>
        <w:gridCol w:w="414"/>
        <w:gridCol w:w="414"/>
        <w:gridCol w:w="414"/>
        <w:gridCol w:w="414"/>
        <w:gridCol w:w="414"/>
        <w:gridCol w:w="414"/>
        <w:gridCol w:w="414"/>
        <w:gridCol w:w="414"/>
        <w:gridCol w:w="425"/>
        <w:gridCol w:w="272"/>
        <w:gridCol w:w="272"/>
        <w:gridCol w:w="272"/>
        <w:gridCol w:w="272"/>
        <w:gridCol w:w="272"/>
        <w:gridCol w:w="273"/>
        <w:gridCol w:w="336"/>
        <w:gridCol w:w="336"/>
        <w:gridCol w:w="336"/>
        <w:gridCol w:w="336"/>
        <w:gridCol w:w="336"/>
        <w:gridCol w:w="336"/>
        <w:gridCol w:w="336"/>
        <w:gridCol w:w="336"/>
        <w:gridCol w:w="336"/>
        <w:gridCol w:w="157"/>
        <w:gridCol w:w="157"/>
        <w:gridCol w:w="157"/>
        <w:gridCol w:w="157"/>
        <w:gridCol w:w="157"/>
        <w:gridCol w:w="234"/>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792" w:type="dxa"/>
            <w:gridSpan w:val="6"/>
            <w:tcBorders>
              <w:top w:val="single" w:sz="4" w:space="0" w:color="000000"/>
              <w:left w:val="single" w:sz="4" w:space="0" w:color="000000"/>
              <w:bottom w:val="single" w:sz="4" w:space="0" w:color="000000"/>
            </w:tcBorders>
            <w:shd w:fill="B8CCE4"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Level</w:t>
            </w:r>
          </w:p>
        </w:tc>
        <w:tc>
          <w:tcPr>
            <w:tcW w:w="3737" w:type="dxa"/>
            <w:gridSpan w:val="9"/>
            <w:tcBorders>
              <w:top w:val="single" w:sz="4" w:space="0" w:color="000000"/>
              <w:left w:val="single" w:sz="4" w:space="0" w:color="000000"/>
              <w:bottom w:val="single" w:sz="4" w:space="0" w:color="000000"/>
            </w:tcBorders>
            <w:shd w:fill="B8CCE4"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Consolidated Senior Secured Leverage Ratio</w:t>
            </w:r>
          </w:p>
        </w:tc>
        <w:tc>
          <w:tcPr>
            <w:tcW w:w="1633" w:type="dxa"/>
            <w:gridSpan w:val="6"/>
            <w:tcBorders>
              <w:top w:val="single" w:sz="4" w:space="0" w:color="000000"/>
              <w:left w:val="single" w:sz="4" w:space="0" w:color="000000"/>
              <w:bottom w:val="single" w:sz="4" w:space="0" w:color="000000"/>
            </w:tcBorders>
            <w:shd w:fill="B8CCE4"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Commitment Fee</w:t>
            </w:r>
          </w:p>
        </w:tc>
        <w:tc>
          <w:tcPr>
            <w:tcW w:w="3024" w:type="dxa"/>
            <w:gridSpan w:val="9"/>
            <w:tcBorders>
              <w:top w:val="single" w:sz="4" w:space="0" w:color="000000"/>
              <w:left w:val="single" w:sz="4" w:space="0" w:color="000000"/>
              <w:bottom w:val="single" w:sz="4" w:space="0" w:color="000000"/>
            </w:tcBorders>
            <w:shd w:fill="B8CCE4"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Term SOFR and Letter of Credit Fee</w:t>
            </w:r>
          </w:p>
        </w:tc>
        <w:tc>
          <w:tcPr>
            <w:tcW w:w="1019" w:type="dxa"/>
            <w:gridSpan w:val="6"/>
            <w:tcBorders>
              <w:top w:val="single" w:sz="4" w:space="0" w:color="000000"/>
              <w:left w:val="single" w:sz="4" w:space="0" w:color="000000"/>
              <w:bottom w:val="single" w:sz="4" w:space="0" w:color="000000"/>
              <w:right w:val="single" w:sz="4" w:space="0" w:color="000000"/>
            </w:tcBorders>
            <w:shd w:fill="B8CCE4"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Base Rate</w:t>
            </w:r>
          </w:p>
        </w:tc>
      </w:tr>
      <w:tr>
        <w:trPr/>
        <w:tc>
          <w:tcPr>
            <w:tcW w:w="792"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Level 1</w:t>
            </w:r>
          </w:p>
        </w:tc>
        <w:tc>
          <w:tcPr>
            <w:tcW w:w="3737"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erif" w:hAnsi="Times New Roman;serif"/>
                <w:b w:val="false"/>
                <w:color w:val="000000"/>
                <w:sz w:val="22"/>
              </w:rPr>
              <w:t>1.00 to 1.00</w:t>
            </w:r>
          </w:p>
        </w:tc>
        <w:tc>
          <w:tcPr>
            <w:tcW w:w="1633"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0.250%</w:t>
            </w:r>
          </w:p>
        </w:tc>
        <w:tc>
          <w:tcPr>
            <w:tcW w:w="3024"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c>
          <w:tcPr>
            <w:tcW w:w="101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792"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Level 2</w:t>
            </w:r>
          </w:p>
        </w:tc>
        <w:tc>
          <w:tcPr>
            <w:tcW w:w="3737"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&gt; 1.00 to 1.00 but</w:t>
              <w:br/>
              <w:t>≤ 2.00 to 1.00</w:t>
            </w:r>
          </w:p>
        </w:tc>
        <w:tc>
          <w:tcPr>
            <w:tcW w:w="1633"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0.250%</w:t>
            </w:r>
          </w:p>
        </w:tc>
        <w:tc>
          <w:tcPr>
            <w:tcW w:w="3024"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101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1.25%</w:t>
            </w:r>
          </w:p>
        </w:tc>
      </w:tr>
      <w:tr>
        <w:trPr/>
        <w:tc>
          <w:tcPr>
            <w:tcW w:w="792"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Level 3</w:t>
            </w:r>
          </w:p>
        </w:tc>
        <w:tc>
          <w:tcPr>
            <w:tcW w:w="3737" w:type="dxa"/>
            <w:gridSpan w:val="9"/>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xml:space="preserve">&gt;2.00 to 1.00 </w:t>
            </w:r>
          </w:p>
        </w:tc>
        <w:tc>
          <w:tcPr>
            <w:tcW w:w="1633"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0.250%</w:t>
            </w:r>
          </w:p>
        </w:tc>
        <w:tc>
          <w:tcPr>
            <w:tcW w:w="3024" w:type="dxa"/>
            <w:gridSpan w:val="9"/>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2.50%</w:t>
            </w:r>
          </w:p>
        </w:tc>
        <w:tc>
          <w:tcPr>
            <w:tcW w:w="1019"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r>
      <w:tr>
        <w:trPr/>
        <w:tc>
          <w:tcPr>
            <w:tcW w:w="4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pPr>
      <w:r>
        <w:rPr>
          <w:rFonts w:ascii="Times New Roman;serif" w:hAnsi="Times New Roman;serif"/>
          <w:b w:val="false"/>
          <w:color w:val="000000"/>
          <w:sz w:val="22"/>
        </w:rPr>
        <w:t>Any increase or decrease in the Applicable Rate resulting from a change in the Consolidated Senior Secured Leverage Ratio shall become effective as of the third (3</w:t>
      </w:r>
      <w:r>
        <w:rPr>
          <w:rFonts w:ascii="Times New Roman;serif" w:hAnsi="Times New Roman;serif"/>
          <w:b w:val="false"/>
          <w:color w:val="000000"/>
          <w:sz w:val="14"/>
        </w:rPr>
        <w:t>rd</w:t>
      </w:r>
      <w:r>
        <w:rPr>
          <w:rFonts w:ascii="Times New Roman;serif" w:hAnsi="Times New Roman;serif"/>
          <w:b w:val="false"/>
          <w:color w:val="000000"/>
          <w:sz w:val="22"/>
        </w:rPr>
        <w:t xml:space="preserve">) Business Day immediately following the date a Compliance Certificate is delivered pursuant to </w:t>
      </w:r>
      <w:r>
        <w:rPr>
          <w:rFonts w:ascii="Times New Roman;serif" w:hAnsi="Times New Roman;serif"/>
          <w:b w:val="false"/>
          <w:color w:val="000000"/>
          <w:sz w:val="22"/>
          <w:u w:val="single"/>
        </w:rPr>
        <w:t>Section 6.02(b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 Compliance Certificate is not delivered when due in accordance with </w:t>
      </w:r>
      <w:r>
        <w:rPr>
          <w:rFonts w:ascii="Times New Roman;serif" w:hAnsi="Times New Roman;serif"/>
          <w:b w:val="false"/>
          <w:color w:val="000000"/>
          <w:sz w:val="22"/>
          <w:u w:val="single"/>
        </w:rPr>
        <w:t>Section 6.02(b</w:t>
      </w:r>
      <w:r>
        <w:rPr>
          <w:rFonts w:ascii="Times New Roman;serif" w:hAnsi="Times New Roman;serif"/>
          <w:b w:val="false"/>
          <w:color w:val="000000"/>
          <w:sz w:val="22"/>
        </w:rPr>
        <w:t>), then Pricing Level 3 shall apply as of the third (3</w:t>
      </w:r>
      <w:r>
        <w:rPr>
          <w:rFonts w:ascii="Times New Roman;serif" w:hAnsi="Times New Roman;serif"/>
          <w:b w:val="false"/>
          <w:color w:val="000000"/>
          <w:sz w:val="14"/>
        </w:rPr>
        <w:t>rd</w:t>
      </w:r>
      <w:r>
        <w:rPr>
          <w:rFonts w:ascii="Times New Roman;serif" w:hAnsi="Times New Roman;serif"/>
          <w:b w:val="false"/>
          <w:color w:val="000000"/>
          <w:sz w:val="22"/>
        </w:rPr>
        <w:t>) Business Day after the date on which such Compliance Certificate was required to have been delivered and shall remain in effect until the third (3</w:t>
      </w:r>
      <w:r>
        <w:rPr>
          <w:rFonts w:ascii="Times New Roman;serif" w:hAnsi="Times New Roman;serif"/>
          <w:b w:val="false"/>
          <w:color w:val="000000"/>
          <w:sz w:val="14"/>
        </w:rPr>
        <w:t>rd</w:t>
      </w:r>
      <w:r>
        <w:rPr>
          <w:rFonts w:ascii="Times New Roman;serif" w:hAnsi="Times New Roman;serif"/>
          <w:b w:val="false"/>
          <w:color w:val="000000"/>
          <w:sz w:val="22"/>
        </w:rPr>
        <w:t>) Business Day following the date on which such Compliance Certificate is delivered. In addition, at all times while the Default Rate is in effect, the highest rate set forth in each column of the Applicable Rate shall apply.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Notwithstanding anything to the contrary contained in this definition, (i) the determination of the Applicable Rate for any period shall be subject to the provisions of </w:t>
      </w:r>
      <w:r>
        <w:rPr>
          <w:rFonts w:ascii="Times New Roman;serif" w:hAnsi="Times New Roman;serif"/>
          <w:b w:val="false"/>
          <w:color w:val="000000"/>
          <w:sz w:val="22"/>
          <w:u w:val="single"/>
        </w:rPr>
        <w:t>Section 2.10(b</w:t>
      </w:r>
      <w:r>
        <w:rPr>
          <w:rFonts w:ascii="Times New Roman;serif" w:hAnsi="Times New Roman;serif"/>
          <w:b w:val="false"/>
          <w:color w:val="000000"/>
          <w:sz w:val="22"/>
        </w:rPr>
        <w:t>) and (ii) the initial Applicable Rate shall be set at Pricing Level 1 until the third (3</w:t>
      </w:r>
      <w:r>
        <w:rPr>
          <w:rFonts w:ascii="Times New Roman;serif" w:hAnsi="Times New Roman;serif"/>
          <w:b w:val="false"/>
          <w:color w:val="000000"/>
          <w:sz w:val="14"/>
        </w:rPr>
        <w:t>rd</w:t>
      </w:r>
      <w:r>
        <w:rPr>
          <w:rFonts w:ascii="Times New Roman;serif" w:hAnsi="Times New Roman;serif"/>
          <w:b w:val="false"/>
          <w:color w:val="000000"/>
          <w:sz w:val="22"/>
        </w:rPr>
        <w:t xml:space="preserve">) Business Day immediately following the date a Compliance Certificate is delivered to the Administrative Agent pursuant to </w:t>
      </w:r>
      <w:r>
        <w:rPr>
          <w:rFonts w:ascii="Times New Roman;serif" w:hAnsi="Times New Roman;serif"/>
          <w:b w:val="false"/>
          <w:color w:val="000000"/>
          <w:sz w:val="22"/>
          <w:u w:val="single"/>
        </w:rPr>
        <w:t>Section 6.02(b</w:t>
      </w:r>
      <w:r>
        <w:rPr>
          <w:rFonts w:ascii="Times New Roman;serif" w:hAnsi="Times New Roman;serif"/>
          <w:b w:val="false"/>
          <w:color w:val="000000"/>
          <w:sz w:val="22"/>
        </w:rPr>
        <w:t xml:space="preserve">) for the first full fiscal quarter to occur following the Closing Date. Any adjustment in the Applicable Rate shall be applicable to all Credit Extensions then existing or subsequently made or issued.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Applicable Rate set forth above shall be increased as, and to the extent, required by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Appropriate</w:t>
      </w:r>
      <w:r>
        <w:rPr>
          <w:color w:val="000000"/>
          <w:u w:val="single"/>
        </w:rPr>
        <w:t xml:space="preserve"> </w:t>
      </w:r>
      <w:r>
        <w:rPr>
          <w:rFonts w:ascii="Times New Roman;serif" w:hAnsi="Times New Roman;serif"/>
          <w:b w:val="false"/>
          <w:i/>
          <w:color w:val="000000"/>
          <w:sz w:val="22"/>
          <w:u w:val="single"/>
        </w:rPr>
        <w:t>Lender</w:t>
      </w:r>
      <w:r>
        <w:rPr>
          <w:color w:val="000000"/>
        </w:rPr>
        <w:t xml:space="preserve">” </w:t>
      </w:r>
      <w:r>
        <w:rPr>
          <w:rFonts w:ascii="Times New Roman;serif" w:hAnsi="Times New Roman;serif"/>
          <w:b w:val="false"/>
          <w:color w:val="000000"/>
          <w:sz w:val="22"/>
        </w:rPr>
        <w:t xml:space="preserve">means, at any time, (a)  a Revolving Lender, (b) with respect to the Letter of Credit Sublimit, (i) the L/C Issuers and (ii) if any Letters of Credit have been issued pursuant to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the Revolving Lenders and (c) with respect to the Swingline Sublimit, (i) the Swingline Lender and (ii) if any Swingline Loans are outstanding pursuant to </w:t>
      </w:r>
      <w:r>
        <w:rPr>
          <w:rFonts w:ascii="Times New Roman;serif" w:hAnsi="Times New Roman;serif"/>
          <w:b w:val="false"/>
          <w:color w:val="000000"/>
          <w:sz w:val="22"/>
          <w:u w:val="single"/>
        </w:rPr>
        <w:t>Section 2.04(a</w:t>
      </w:r>
      <w:r>
        <w:rPr>
          <w:rFonts w:ascii="Times New Roman;serif" w:hAnsi="Times New Roman;serif"/>
          <w:b w:val="false"/>
          <w:color w:val="000000"/>
          <w:sz w:val="22"/>
        </w:rPr>
        <w:t>), the Revolving Lenders.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Approved Fund</w:t>
      </w:r>
      <w:r>
        <w:rPr>
          <w:color w:val="000000"/>
        </w:rPr>
        <w:t xml:space="preserve">” </w:t>
      </w:r>
      <w:r>
        <w:rPr>
          <w:rFonts w:ascii="Times New Roman;serif" w:hAnsi="Times New Roman;serif"/>
          <w:b w:val="false"/>
          <w:color w:val="000000"/>
          <w:sz w:val="22"/>
        </w:rPr>
        <w:t>means any Fund that is administered or managed by (a) a Lender, (b) an Affiliate of a Lender or (c) an entity or an Affiliate of an entity that administers or manages a Lender.</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701675"/>
                <wp:effectExtent l="0" t="0" r="0" b="0"/>
                <wp:wrapNone/>
                <wp:docPr id="148" name="Frame14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Arrangers</w:t>
      </w:r>
      <w:r>
        <w:rPr>
          <w:color w:val="000000"/>
        </w:rPr>
        <w:t xml:space="preserve">” </w:t>
      </w:r>
      <w:r>
        <w:rPr>
          <w:rFonts w:ascii="Times New Roman;serif" w:hAnsi="Times New Roman;serif"/>
          <w:b w:val="false"/>
          <w:color w:val="000000"/>
          <w:sz w:val="22"/>
        </w:rPr>
        <w:t>means, collectively (a) the Lead Arranger and (b) Wells Fargo Securities, LLC and U.S. Bank National Association, each in its capacities as joint lead arranger and joint bookrunner.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Assignment and Assumption</w:t>
      </w:r>
      <w:r>
        <w:rPr>
          <w:color w:val="000000"/>
        </w:rPr>
        <w:t xml:space="preserve">” </w:t>
      </w:r>
      <w:r>
        <w:rPr>
          <w:rFonts w:ascii="Times New Roman;serif" w:hAnsi="Times New Roman;serif"/>
          <w:b w:val="false"/>
          <w:color w:val="000000"/>
          <w:sz w:val="22"/>
        </w:rPr>
        <w:t xml:space="preserve">means an assignment and assumption entered into by a Lender and an Eligible Assignee (with the consent of any party whose consent is required by </w:t>
      </w:r>
      <w:r>
        <w:rPr>
          <w:rFonts w:ascii="Times New Roman;serif" w:hAnsi="Times New Roman;serif"/>
          <w:b w:val="false"/>
          <w:color w:val="000000"/>
          <w:sz w:val="22"/>
          <w:u w:val="single"/>
        </w:rPr>
        <w:t>Section 11.06(b)</w:t>
      </w:r>
      <w:r>
        <w:rPr>
          <w:rFonts w:ascii="Times New Roman;serif" w:hAnsi="Times New Roman;serif"/>
          <w:b w:val="false"/>
          <w:color w:val="000000"/>
          <w:sz w:val="22"/>
        </w:rPr>
        <w:t xml:space="preserve">), and accepted by the Administrative Agent, in substantially the form of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or any other form (including an electronic documentation form generated by use of an electronic platform) approved by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Attributable Indebtedness</w:t>
      </w:r>
      <w:r>
        <w:rPr>
          <w:color w:val="000000"/>
        </w:rPr>
        <w:t xml:space="preserve">” </w:t>
      </w:r>
      <w:r>
        <w:rPr>
          <w:rFonts w:ascii="Times New Roman;serif" w:hAnsi="Times New Roman;serif"/>
          <w:b w:val="false"/>
          <w:color w:val="000000"/>
          <w:sz w:val="22"/>
        </w:rPr>
        <w:t>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(c) all Synthetic Debt of such Person, and (d) in respect of any Sale and Leaseback Transaction, the present value (discounted in accordance with GAAP at the debt rate implied in the applicable lease) of the obligations of the lessee for rental payments during the term of such lease.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Audited Financial Statements</w:t>
      </w:r>
      <w:r>
        <w:rPr>
          <w:color w:val="000000"/>
        </w:rPr>
        <w:t xml:space="preserve">” </w:t>
      </w:r>
      <w:r>
        <w:rPr>
          <w:rFonts w:ascii="Times New Roman;serif" w:hAnsi="Times New Roman;serif"/>
          <w:b w:val="false"/>
          <w:color w:val="000000"/>
          <w:sz w:val="22"/>
        </w:rPr>
        <w:t>means the audited consolidated balance sheet of the Combined Group for the fiscal years ended December 31, 2024, December 31, 2023, and December 31, 2022, and the related consolidated statements of income, Shareholders’ Equity and cash flows of the Combined Group for such fiscal year.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Availability Period</w:t>
      </w:r>
      <w:r>
        <w:rPr>
          <w:color w:val="000000"/>
        </w:rPr>
        <w:t xml:space="preserve">” </w:t>
      </w:r>
      <w:r>
        <w:rPr>
          <w:rFonts w:ascii="Times New Roman;serif" w:hAnsi="Times New Roman;serif"/>
          <w:b w:val="false"/>
          <w:color w:val="000000"/>
          <w:sz w:val="22"/>
        </w:rPr>
        <w:t xml:space="preserve">means the period from and including the Closing Date to the earliest of (a) the Revolving Credit Termination Date for the Revolving Facility, (b) the date of termination of the Revolving Commitments pursuant to </w:t>
      </w:r>
      <w:r>
        <w:rPr>
          <w:rFonts w:ascii="Times New Roman;serif" w:hAnsi="Times New Roman;serif"/>
          <w:b w:val="false"/>
          <w:color w:val="000000"/>
          <w:sz w:val="22"/>
          <w:u w:val="single"/>
        </w:rPr>
        <w:t>Section 2.06</w:t>
      </w:r>
      <w:r>
        <w:rPr>
          <w:rFonts w:ascii="Times New Roman;serif" w:hAnsi="Times New Roman;serif"/>
          <w:b w:val="false"/>
          <w:color w:val="000000"/>
          <w:sz w:val="22"/>
        </w:rPr>
        <w:t xml:space="preserve">, and (c) the date of termination of the Commitment of each Revolving Lender to make Revolving Loans and of the obligation of the L/C Issuers to make L/C Credit Extensions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Bail</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In 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Bail</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Base Rate</w:t>
      </w:r>
      <w:r>
        <w:rPr>
          <w:color w:val="000000"/>
        </w:rPr>
        <w:t xml:space="preserve">” </w:t>
      </w:r>
      <w:r>
        <w:rPr>
          <w:rFonts w:ascii="Times New Roman;serif" w:hAnsi="Times New Roman;serif"/>
          <w:b w:val="false"/>
          <w:color w:val="000000"/>
          <w:sz w:val="22"/>
        </w:rPr>
        <w:t xml:space="preserve">means for any day a fluctuating rate of interest per annum equal to the highest of (a) the Federal Funds Rate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0.50%, (b) the rate of interest in effect for such day as publicly announced from time to time by Citibank as its “prime rate,” and (c) Term SOFR with an Interest Period of one month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1.00%;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Base Rate shall be less than zero, such rate shall be deemed zero for purposes of this Agreement.</w:t>
      </w:r>
      <w:r>
        <w:rPr>
          <w:color w:val="000000"/>
        </w:rPr>
        <w:t xml:space="preserve"> </w:t>
      </w:r>
      <w:r>
        <w:rPr>
          <w:rFonts w:ascii="Times New Roman;serif" w:hAnsi="Times New Roman;serif"/>
          <w:b w:val="false"/>
          <w:color w:val="000000"/>
          <w:sz w:val="22"/>
        </w:rPr>
        <w:t xml:space="preserve">The “prime rate” is a rate set by Citibank based upon various factors including Citibank’s costs and desired return, general economic conditions and other factors, and is used as a reference point for pricing some loans, which may be priced at, above, or below such announced rate. Any change in such prime rate announced by Citibank shall take effect at the opening of business on the day specified in the public announcement of such change. If the Base Rate is being used as an alternate rate of interest pursuant to </w:t>
      </w:r>
      <w:r>
        <w:rPr>
          <w:rFonts w:ascii="Times New Roman;serif" w:hAnsi="Times New Roman;serif"/>
          <w:b w:val="false"/>
          <w:color w:val="000000"/>
          <w:sz w:val="22"/>
          <w:u w:val="single"/>
        </w:rPr>
        <w:t>Section 3.03</w:t>
      </w:r>
      <w:r>
        <w:rPr>
          <w:color w:val="000000"/>
        </w:rPr>
        <w:t xml:space="preserve"> </w:t>
      </w:r>
      <w:r>
        <w:rPr>
          <w:rFonts w:ascii="Times New Roman;serif" w:hAnsi="Times New Roman;serif"/>
          <w:b w:val="false"/>
          <w:color w:val="000000"/>
          <w:sz w:val="22"/>
        </w:rPr>
        <w:t xml:space="preserve">hereof, then the Base Rate shall be the greater of </w:t>
      </w:r>
      <w:r>
        <w:rPr>
          <w:rFonts w:ascii="Times New Roman;serif" w:hAnsi="Times New Roman;serif"/>
          <w:b w:val="false"/>
          <w:color w:val="000000"/>
          <w:sz w:val="22"/>
          <w:u w:val="single"/>
        </w:rPr>
        <w:t>clauses (a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above and shall be determined without reference to </w:t>
      </w:r>
      <w:r>
        <w:rPr>
          <w:rFonts w:ascii="Times New Roman;serif" w:hAnsi="Times New Roman;serif"/>
          <w:b w:val="false"/>
          <w:color w:val="000000"/>
          <w:sz w:val="22"/>
          <w:u w:val="single"/>
        </w:rPr>
        <w:t>clause (c</w:t>
      </w:r>
      <w:r>
        <w:rPr>
          <w:rFonts w:ascii="Times New Roman;serif" w:hAnsi="Times New Roman;serif"/>
          <w:b w:val="false"/>
          <w:color w:val="000000"/>
          <w:sz w:val="22"/>
        </w:rPr>
        <w:t>) above.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Base Rate Loan</w:t>
      </w:r>
      <w:r>
        <w:rPr>
          <w:color w:val="000000"/>
        </w:rPr>
        <w:t xml:space="preserve">” </w:t>
      </w:r>
      <w:r>
        <w:rPr>
          <w:rFonts w:ascii="Times New Roman;serif" w:hAnsi="Times New Roman;serif"/>
          <w:b w:val="false"/>
          <w:color w:val="000000"/>
          <w:sz w:val="22"/>
        </w:rPr>
        <w:t>means a Revolving Loan that bears interest based on the Base Rate.</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701675"/>
                <wp:effectExtent l="0" t="0" r="0" b="0"/>
                <wp:wrapNone/>
                <wp:docPr id="149" name="Frame14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Beneficial Ownership Certification</w:t>
      </w:r>
      <w:r>
        <w:rPr>
          <w:color w:val="000000"/>
        </w:rPr>
        <w:t xml:space="preserve">” </w:t>
      </w:r>
      <w:r>
        <w:rPr>
          <w:rFonts w:ascii="Times New Roman;serif" w:hAnsi="Times New Roman;serif"/>
          <w:b w:val="false"/>
          <w:color w:val="000000"/>
          <w:sz w:val="22"/>
        </w:rPr>
        <w:t>means for a “legal entity customer” (as such term is defined in the Beneficial Ownership Regulation), a certification regarding beneficial ownership as required by the Beneficial Ownership Regulation.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Beneficial Ownership Regulation</w:t>
      </w:r>
      <w:r>
        <w:rPr>
          <w:color w:val="000000"/>
        </w:rPr>
        <w:t xml:space="preserve">” </w:t>
      </w:r>
      <w:r>
        <w:rPr>
          <w:rFonts w:ascii="Times New Roman;serif" w:hAnsi="Times New Roman;serif"/>
          <w:b w:val="false"/>
          <w:color w:val="000000"/>
          <w:sz w:val="22"/>
        </w:rPr>
        <w:t>means 31 C.F.R. § 1010.230.</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Benefit Plan</w:t>
      </w:r>
      <w:r>
        <w:rPr>
          <w:color w:val="000000"/>
        </w:rPr>
        <w:t xml:space="preserve">” </w:t>
      </w:r>
      <w:r>
        <w:rPr>
          <w:rFonts w:ascii="Times New Roman;serif" w:hAnsi="Times New Roman;serif"/>
          <w:b w:val="false"/>
          <w:color w:val="000000"/>
          <w:sz w:val="22"/>
        </w:rPr>
        <w:t>means any of (a) an “employee benefit plan” (as defined in ERISA) that is subject to Title I of ERISA, (b) a “plan” as defined in and subject to Section 4975 of the Code or (c) any Person whose assets include (for purposes of ERISA Section 3(42) or Section 4975 of the Code) the assets of any such “employee benefit plan” or “plan”.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BHC Act Affiliate</w:t>
      </w:r>
      <w:r>
        <w:rPr>
          <w:color w:val="000000"/>
        </w:rPr>
        <w:t xml:space="preserve">” </w:t>
      </w:r>
      <w:r>
        <w:rPr>
          <w:rFonts w:ascii="Times New Roman;serif" w:hAnsi="Times New Roman;serif"/>
          <w:b w:val="false"/>
          <w:color w:val="000000"/>
          <w:sz w:val="22"/>
        </w:rPr>
        <w:t>of a party means an “affiliate” (as such term is defined under, and interpreted in accordance with, 12 U.S.C. 1841(k)) of such party.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Borrower</w:t>
      </w:r>
      <w:r>
        <w:rPr>
          <w:color w:val="000000"/>
        </w:rPr>
        <w:t xml:space="preserve">” </w:t>
      </w:r>
      <w:r>
        <w:rPr>
          <w:rFonts w:ascii="Times New Roman;serif" w:hAnsi="Times New Roman;serif"/>
          <w:b w:val="false"/>
          <w:color w:val="000000"/>
          <w:sz w:val="22"/>
        </w:rPr>
        <w:t>has the meaning specified in the introductory paragraph 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Borrower Materials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6.02(p</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Borrowing</w:t>
      </w:r>
      <w:r>
        <w:rPr>
          <w:color w:val="000000"/>
        </w:rPr>
        <w:t xml:space="preserve">” </w:t>
      </w:r>
      <w:r>
        <w:rPr>
          <w:rFonts w:ascii="Times New Roman;serif" w:hAnsi="Times New Roman;serif"/>
          <w:b w:val="false"/>
          <w:color w:val="000000"/>
          <w:sz w:val="22"/>
        </w:rPr>
        <w:t>means a Revolving Borrowing or a Swingline Borrowing, as the context may require.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Business Day</w:t>
      </w:r>
      <w:r>
        <w:rPr>
          <w:color w:val="000000"/>
        </w:rPr>
        <w:t xml:space="preserve">” </w:t>
      </w:r>
      <w:r>
        <w:rPr>
          <w:rFonts w:ascii="Times New Roman;serif" w:hAnsi="Times New Roman;serif"/>
          <w:b w:val="false"/>
          <w:color w:val="000000"/>
          <w:sz w:val="22"/>
        </w:rPr>
        <w:t>means any day other than a Saturday, Sunday or other day which is a legal holiday under the laws of the State of New York or is a day on which banking institutions located in such state are authorized or required by law or other governmental action to close.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CAAS Program</w:t>
      </w:r>
      <w:r>
        <w:rPr>
          <w:color w:val="000000"/>
        </w:rPr>
        <w:t xml:space="preserve">” </w:t>
      </w:r>
      <w:r>
        <w:rPr>
          <w:rFonts w:ascii="Times New Roman;serif" w:hAnsi="Times New Roman;serif"/>
          <w:b w:val="false"/>
          <w:color w:val="000000"/>
          <w:sz w:val="22"/>
        </w:rPr>
        <w:t>means any population health management, care coordination, care management, or similar "care as a service" program or arrangement pursuant to which any Loan Party or Subsidiary provides technology-enabled care management, care coordination, risk stratification, member engagement, or similar services to healthcare providers, health systems, accountable care organizations, or other third parties, including any services provided utilizing any software or technology platforms.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Capitalized Lease</w:t>
      </w:r>
      <w:r>
        <w:rPr>
          <w:color w:val="000000"/>
        </w:rPr>
        <w:t xml:space="preserve">” </w:t>
      </w:r>
      <w:r>
        <w:rPr>
          <w:rFonts w:ascii="Times New Roman;serif" w:hAnsi="Times New Roman;serif"/>
          <w:b w:val="false"/>
          <w:color w:val="000000"/>
          <w:sz w:val="22"/>
        </w:rPr>
        <w:t>means any lease that has been or is required to be, in accordance with GAAP, recorded, classified and accounted for as a capitalized lease or financing lease.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Cash Collateral</w:t>
      </w:r>
      <w:r>
        <w:rPr>
          <w:color w:val="000000"/>
        </w:rPr>
        <w:t xml:space="preserve">” </w:t>
      </w:r>
      <w:r>
        <w:rPr>
          <w:rFonts w:ascii="Times New Roman;serif" w:hAnsi="Times New Roman;serif"/>
          <w:b w:val="false"/>
          <w:color w:val="000000"/>
          <w:sz w:val="22"/>
        </w:rPr>
        <w:t>shall have a meaning correlative to the defined term “Cash Collateralize” and shall include the proceeds of such Cash Collateral and other credit support.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Cash Collateralize</w:t>
      </w:r>
      <w:r>
        <w:rPr>
          <w:color w:val="000000"/>
        </w:rPr>
        <w:t xml:space="preserve">” </w:t>
      </w:r>
      <w:r>
        <w:rPr>
          <w:rFonts w:ascii="Times New Roman;serif" w:hAnsi="Times New Roman;serif"/>
          <w:b w:val="false"/>
          <w:color w:val="000000"/>
          <w:sz w:val="22"/>
        </w:rPr>
        <w:t>means to</w:t>
      </w:r>
      <w:r>
        <w:rPr>
          <w:color w:val="000000"/>
        </w:rPr>
        <w:t xml:space="preserve"> </w:t>
      </w:r>
      <w:r>
        <w:rPr>
          <w:rFonts w:ascii="Times New Roman;serif" w:hAnsi="Times New Roman;serif"/>
          <w:b w:val="false"/>
          <w:color w:val="000000"/>
          <w:sz w:val="22"/>
        </w:rPr>
        <w:t>deposit in a Controlled Account or</w:t>
      </w:r>
      <w:r>
        <w:rPr>
          <w:color w:val="000000"/>
        </w:rPr>
        <w:t xml:space="preserve"> </w:t>
      </w:r>
      <w:r>
        <w:rPr>
          <w:rFonts w:ascii="Times New Roman;serif" w:hAnsi="Times New Roman;serif"/>
          <w:b w:val="false"/>
          <w:color w:val="000000"/>
          <w:sz w:val="22"/>
        </w:rPr>
        <w:t xml:space="preserve">pledge and deposit with or deliver to the Administrative Agent, for the benefit of one or more of the L/C Issuers, Swingline Lender or the Lenders, as collateral for L/C Obligations or obligations of the Revolving Lenders to fund participations in respect of L/C Obligations or Swingline Loans (as the context may require), (a) cash or deposit account balances, (b) backstop letters of credit entered into on terms, from issuers and in amounts reasonably satisfactory to the Administrative Agent and the applicable L/C Issuer, or (c) if the Administrative Agent and the applicable L/C Issuer or Swingline Lender shall agree, in their sole discretion, other credit support, in each case, in Dollars and pursuant to documentation in form and substance reasonably satisfactory to the Administrative Agent and such L/C Issuer or the Swingline Lender (as applicable).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Cash</w:t>
      </w:r>
      <w:r>
        <w:rPr>
          <w:color w:val="000000"/>
          <w:u w:val="single"/>
        </w:rPr>
        <w:t xml:space="preserve"> </w:t>
      </w:r>
      <w:r>
        <w:rPr>
          <w:rFonts w:ascii="Times New Roman;serif" w:hAnsi="Times New Roman;serif"/>
          <w:b w:val="false"/>
          <w:i/>
          <w:color w:val="000000"/>
          <w:sz w:val="22"/>
          <w:u w:val="single"/>
        </w:rPr>
        <w:t>Equivalents</w:t>
      </w:r>
      <w:r>
        <w:rPr>
          <w:color w:val="000000"/>
        </w:rPr>
        <w:t xml:space="preserve">” </w:t>
      </w:r>
      <w:r>
        <w:rPr>
          <w:rFonts w:ascii="Times New Roman;serif" w:hAnsi="Times New Roman;serif"/>
          <w:b w:val="false"/>
          <w:color w:val="000000"/>
          <w:sz w:val="22"/>
        </w:rPr>
        <w:t>means any of the following types of Investments, to the extent owned by the Parent, any of its Subsidiaries or any Managed Company free and clear of all Liens (other than Permitted Liens):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(a)readily marketable obligations issued or directly and fully guaranteed or insured by the United States or any agency or instrumentality thereof having maturities of not more than three hundred sixty days (360) days from the date of acquisition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full faith and credit of the United States is pledged in support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701675"/>
                <wp:effectExtent l="0" t="0" r="0" b="0"/>
                <wp:wrapNone/>
                <wp:docPr id="150" name="Frame14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Times New Roman;serif" w:hAnsi="Times New Roman;serif"/>
          <w:b w:val="false"/>
          <w:color w:val="000000"/>
          <w:sz w:val="22"/>
          <w:u w:val="single"/>
        </w:rPr>
        <w:t>clause (c</w:t>
      </w:r>
      <w:r>
        <w:rPr>
          <w:rFonts w:ascii="Times New Roman;serif" w:hAnsi="Times New Roman;serif"/>
          <w:b w:val="false"/>
          <w:color w:val="000000"/>
          <w:sz w:val="22"/>
        </w:rPr>
        <w:t>) of this definition and (iii) has combined capital and surplus of at least $1,000,000,000, in each case with maturities of not more than ninety (90) days from the date of acquisition thereof;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(c)commercial paper issued by any Person organized under the laws of any state of the United States and rated at least “Prime-1” (or the then equivalent grade) by Moody’s or at least “A-1” (or the then equivalent grade) by S&amp;P, in each case with maturities of not more than one hundred eighty (180) days from the date of acquisition thereof;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(d)Investments, classified in accordance with GAAP as current assets of the Parent, any of its Subsidiaries or any Managed Company,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Times New Roman;serif" w:hAnsi="Times New Roman;serif"/>
          <w:b w:val="false"/>
          <w:color w:val="000000"/>
          <w:sz w:val="22"/>
          <w:u w:val="single"/>
        </w:rPr>
        <w:t>clauses (a</w:t>
      </w:r>
      <w:r>
        <w:rPr>
          <w:rFonts w:ascii="Times New Roman;serif" w:hAnsi="Times New Roman;serif"/>
          <w:b w:val="false"/>
          <w:color w:val="000000"/>
          <w:sz w:val="22"/>
        </w:rPr>
        <w:t>), (</w:t>
      </w:r>
      <w:r>
        <w:rPr>
          <w:rFonts w:ascii="Times New Roman;serif" w:hAnsi="Times New Roman;serif"/>
          <w:b w:val="false"/>
          <w:color w:val="000000"/>
          <w:sz w:val="22"/>
          <w:u w:val="single"/>
        </w:rPr>
        <w:t>b</w:t>
      </w:r>
      <w:r>
        <w:rPr>
          <w:rFonts w:ascii="Times New Roman;serif" w:hAnsi="Times New Roman;serif"/>
          <w:b w:val="false"/>
          <w:color w:val="000000"/>
          <w:sz w:val="22"/>
        </w:rPr>
        <w:t>) and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of this definition; and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(e)any Investments permitted by the Parent’s investment policy as of the Closing Date, and as amended from time to time, provided that any amendment to the Parent’s investment policy as of the Closing Date shall be reasonably acceptable to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Cash Management Agreement</w:t>
      </w:r>
      <w:r>
        <w:rPr>
          <w:color w:val="000000"/>
        </w:rPr>
        <w:t xml:space="preserve">” </w:t>
      </w:r>
      <w:r>
        <w:rPr>
          <w:rFonts w:ascii="Times New Roman;serif" w:hAnsi="Times New Roman;serif"/>
          <w:b w:val="false"/>
          <w:color w:val="000000"/>
          <w:sz w:val="22"/>
        </w:rPr>
        <w:t>means any agreement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Cash Management Bank</w:t>
      </w:r>
      <w:r>
        <w:rPr>
          <w:color w:val="000000"/>
        </w:rPr>
        <w:t xml:space="preserve">” </w:t>
      </w:r>
      <w:r>
        <w:rPr>
          <w:rFonts w:ascii="Times New Roman;serif" w:hAnsi="Times New Roman;serif"/>
          <w:b w:val="false"/>
          <w:color w:val="000000"/>
          <w:sz w:val="22"/>
        </w:rPr>
        <w:t xml:space="preserve">means any Person in its capacity as a party to a Cash Management Agreement that, (a) at the time it enters into a Cash Management Agreement with a Loan Party or any Subsidiary, is a Lender or an Affiliate of a Lender, or (b) at the time it (or its Affiliate) becomes a Lender, is a party to a Cash Management Agreement with a Loan Party or any Subsidiary, in each case in its capacity as a party to such Cash Management Agreement (even if such Person ceases to be a Lender or such Person’s Affiliate ceased to be a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(with a copy of such written notice sent by email to secured.designationnotice@citi.com) prior to such date of determination.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CFC</w:t>
      </w:r>
      <w:r>
        <w:rPr>
          <w:color w:val="000000"/>
        </w:rPr>
        <w:t xml:space="preserve">” </w:t>
      </w:r>
      <w:r>
        <w:rPr>
          <w:rFonts w:ascii="Times New Roman;serif" w:hAnsi="Times New Roman;serif"/>
          <w:b w:val="false"/>
          <w:color w:val="000000"/>
          <w:sz w:val="22"/>
        </w:rPr>
        <w:t>means a Person that is a controlled foreign corporation under Section 957 of the Code in which the Borrower or any Loan Party is a United States shareholder within the meaning of Section 951(b) of the Code.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CFC Holdco</w:t>
      </w:r>
      <w:r>
        <w:rPr>
          <w:color w:val="000000"/>
        </w:rPr>
        <w:t xml:space="preserve">” </w:t>
      </w:r>
      <w:r>
        <w:rPr>
          <w:rFonts w:ascii="Times New Roman;serif" w:hAnsi="Times New Roman;serif"/>
          <w:b w:val="false"/>
          <w:color w:val="000000"/>
          <w:sz w:val="22"/>
        </w:rPr>
        <w:t xml:space="preserve">means any Subsidiary that (directly or indirectly) holds no material assets other than Equity Interests and/or Indebtedness of one or more CFCs or other CFC Holdcos.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CHAMPVA</w:t>
      </w:r>
      <w:r>
        <w:rPr>
          <w:color w:val="000000"/>
        </w:rPr>
        <w:t xml:space="preserve">” </w:t>
      </w:r>
      <w:r>
        <w:rPr>
          <w:rFonts w:ascii="Times New Roman;serif" w:hAnsi="Times New Roman;serif"/>
          <w:b w:val="false"/>
          <w:color w:val="000000"/>
          <w:sz w:val="22"/>
        </w:rPr>
        <w:t>means, collectively, the Civilian Health and Medical Program of the Department of Veterans Affairs, a program of medical benefits covering retirees and dependents of former members of the armed services administered by the United States Department of Veterans Affairs, and all laws, rules, regulations, manuals, orders, or requirements pertaining to such program.</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Change in Law</w:t>
      </w:r>
      <w:r>
        <w:rPr>
          <w:color w:val="000000"/>
        </w:rPr>
        <w:t xml:space="preserve">” </w:t>
      </w:r>
      <w:r>
        <w:rPr>
          <w:rFonts w:ascii="Times New Roman;serif" w:hAnsi="Times New Roman;serif"/>
          <w:b w:val="false"/>
          <w:color w:val="000000"/>
          <w:sz w:val="22"/>
        </w:rPr>
        <w:t xml:space="preserve">means the occurrence, after the Closing Date, of any of the following: (a) the adoption or taking effect of any law, rule, regulation or treaty, (b) any change in any law, rule, regulation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701675"/>
                <wp:effectExtent l="0" t="0" r="0" b="0"/>
                <wp:wrapNone/>
                <wp:docPr id="151" name="Frame15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Change of Control</w:t>
      </w:r>
      <w:r>
        <w:rPr>
          <w:color w:val="000000"/>
        </w:rPr>
        <w:t xml:space="preserve">” </w:t>
      </w:r>
      <w:r>
        <w:rPr>
          <w:rFonts w:ascii="Times New Roman;serif" w:hAnsi="Times New Roman;serif"/>
          <w:b w:val="false"/>
          <w:color w:val="000000"/>
          <w:sz w:val="22"/>
        </w:rPr>
        <w:t>means an event or series of events by which:</w:t>
      </w:r>
    </w:p>
    <w:p>
      <w:pPr>
        <w:pStyle w:val="TextBody"/>
        <w:bidi w:val="0"/>
        <w:spacing w:lineRule="auto" w:line="240" w:before="28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directly or indirectly, of 35% or more of the equity securities of Parent entitled to vote for members of the board of directors or equivalent governing body of Parent on a fully-diluted basis; or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(g)the failure of Parent, directly or indirectly through wholly-owned Subsidiaries that are Guarantors, to own all of the Equity Interests of Borrower; or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(h)the failure of Borrower, directly or indirectly through wholly-owned Subsidiaries that are Guarantors, to own all of the Equity Interests of each of its Subsidiaries, except as a result of a transaction permitted hereunder; or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 “Change of Control” (or equivalent term) as defined in any Junior Indebtedness greater than the Threshold Amount has occurred.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Citibank</w:t>
      </w:r>
      <w:r>
        <w:rPr>
          <w:color w:val="000000"/>
        </w:rPr>
        <w:t xml:space="preserve">” </w:t>
      </w:r>
      <w:r>
        <w:rPr>
          <w:rFonts w:ascii="Times New Roman;serif" w:hAnsi="Times New Roman;serif"/>
          <w:b w:val="false"/>
          <w:color w:val="000000"/>
          <w:sz w:val="22"/>
        </w:rPr>
        <w:t>means Citibank, N.A. and its successors.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Closing Date</w:t>
      </w:r>
      <w:r>
        <w:rPr>
          <w:color w:val="000000"/>
        </w:rPr>
        <w:t xml:space="preserve">” </w:t>
      </w:r>
      <w:r>
        <w:rPr>
          <w:rFonts w:ascii="Times New Roman;serif" w:hAnsi="Times New Roman;serif"/>
          <w:b w:val="false"/>
          <w:color w:val="000000"/>
          <w:sz w:val="22"/>
        </w:rPr>
        <w:t>means the date 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CME</w:t>
      </w:r>
      <w:r>
        <w:rPr>
          <w:color w:val="000000"/>
        </w:rPr>
        <w:t xml:space="preserve">” </w:t>
      </w:r>
      <w:r>
        <w:rPr>
          <w:rFonts w:ascii="Times New Roman;serif" w:hAnsi="Times New Roman;serif"/>
          <w:b w:val="false"/>
          <w:color w:val="000000"/>
          <w:sz w:val="22"/>
        </w:rPr>
        <w:t>means CME Group Benchmark Administration Limited.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CMS</w:t>
      </w:r>
      <w:r>
        <w:rPr>
          <w:color w:val="000000"/>
        </w:rPr>
        <w:t xml:space="preserve">” </w:t>
      </w:r>
      <w:r>
        <w:rPr>
          <w:rFonts w:ascii="Times New Roman;serif" w:hAnsi="Times New Roman;serif"/>
          <w:b w:val="false"/>
          <w:color w:val="000000"/>
          <w:sz w:val="22"/>
        </w:rPr>
        <w:t>means the Centers for Medicare and Medicaid Services of the United States Department of Health and Human Services.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Code</w:t>
      </w:r>
      <w:r>
        <w:rPr>
          <w:color w:val="000000"/>
        </w:rPr>
        <w:t xml:space="preserve">” </w:t>
      </w:r>
      <w:r>
        <w:rPr>
          <w:rFonts w:ascii="Times New Roman;serif" w:hAnsi="Times New Roman;serif"/>
          <w:b w:val="false"/>
          <w:color w:val="000000"/>
          <w:sz w:val="22"/>
        </w:rPr>
        <w:t>means the Internal Revenue Code of 1986,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Collateral</w:t>
      </w:r>
      <w:r>
        <w:rPr>
          <w:color w:val="000000"/>
        </w:rPr>
        <w:t xml:space="preserve">” </w:t>
      </w:r>
      <w:r>
        <w:rPr>
          <w:rFonts w:ascii="Times New Roman;serif" w:hAnsi="Times New Roman;serif"/>
          <w:b w:val="false"/>
          <w:color w:val="000000"/>
          <w:sz w:val="22"/>
        </w:rPr>
        <w:t>means all of the “Collateral” referred to in the Collateral Documents upon which a Lien is purported to be created by any Collateral Document in favor of the Administrative Agent for the benefit of the Secured Parties, but in any event excluding Excluded Property.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Collateral Account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2.03(q)(i)</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Collateral Assignment of Management Services Documents</w:t>
      </w:r>
      <w:r>
        <w:rPr>
          <w:color w:val="000000"/>
        </w:rPr>
        <w:t xml:space="preserve">” </w:t>
      </w:r>
      <w:r>
        <w:rPr>
          <w:rFonts w:ascii="Times New Roman;serif" w:hAnsi="Times New Roman;serif"/>
          <w:b w:val="false"/>
          <w:color w:val="000000"/>
          <w:sz w:val="22"/>
        </w:rPr>
        <w:t>means a collateral assignment of the Management Services Documents of one or more given Managed Companies, in form and substance reasonably satisfactory to Administrative Agent (and otherwise substantially in the form of the Collateral Assignment(s) of Management Services Documents delivered to Administrative Agent on the Closing Date), which each Collateral Assignment of Management Services Documents shall be made by the applicable Loan Party in favor of the Administrative Agent, and shall be acknowledged by the applicable Managed Company and owner(s) thereof,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701675"/>
                <wp:effectExtent l="0" t="0" r="0" b="0"/>
                <wp:wrapNone/>
                <wp:docPr id="152" name="Frame15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Collateral Documents</w:t>
      </w:r>
      <w:r>
        <w:rPr>
          <w:color w:val="000000"/>
        </w:rPr>
        <w:t xml:space="preserve">” </w:t>
      </w:r>
      <w:r>
        <w:rPr>
          <w:rFonts w:ascii="Times New Roman;serif" w:hAnsi="Times New Roman;serif"/>
          <w:b w:val="false"/>
          <w:color w:val="000000"/>
          <w:sz w:val="22"/>
        </w:rPr>
        <w:t xml:space="preserve">means, collectively, the Security Agreement, each Collateral Assignment of Management Services Document, the Qualifying Control Agreements, each Joinder Agreement, each of the collateral assignments, security agreements, pledge agreements, account control agreements or other similar agreements delivered to the Administrative Agent pursuant to </w:t>
      </w:r>
      <w:r>
        <w:rPr>
          <w:rFonts w:ascii="Times New Roman;serif" w:hAnsi="Times New Roman;serif"/>
          <w:b w:val="false"/>
          <w:color w:val="000000"/>
          <w:sz w:val="22"/>
          <w:u w:val="single"/>
        </w:rPr>
        <w:t>Section 6.14</w:t>
      </w:r>
      <w:r>
        <w:rPr>
          <w:rFonts w:ascii="Times New Roman;serif" w:hAnsi="Times New Roman;serif"/>
          <w:b w:val="false"/>
          <w:color w:val="000000"/>
          <w:sz w:val="22"/>
        </w:rPr>
        <w:t>, and each of the other agreements, instruments or documents hereafter delivered to the Administrative Agent that creates or purports to create a Lien in favor of the Administrative Agent for the benefit of the Secured Parties.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Combined Group</w:t>
      </w:r>
      <w:r>
        <w:rPr>
          <w:color w:val="000000"/>
        </w:rPr>
        <w:t xml:space="preserve">” </w:t>
      </w:r>
      <w:r>
        <w:rPr>
          <w:rFonts w:ascii="Times New Roman;serif" w:hAnsi="Times New Roman;serif"/>
          <w:b w:val="false"/>
          <w:color w:val="000000"/>
          <w:sz w:val="22"/>
        </w:rPr>
        <w:t>means, collectively at any date, Parent and its Subsidiaries and any Managed Company consolidated with Parent in its consolidated financial statements if such statements were prepared as of such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Commitment</w:t>
      </w:r>
      <w:r>
        <w:rPr>
          <w:color w:val="000000"/>
        </w:rPr>
        <w:t xml:space="preserve">” </w:t>
      </w:r>
      <w:r>
        <w:rPr>
          <w:rFonts w:ascii="Times New Roman;serif" w:hAnsi="Times New Roman;serif"/>
          <w:b w:val="false"/>
          <w:color w:val="000000"/>
          <w:sz w:val="22"/>
        </w:rPr>
        <w:t>means a Revolving Commitment.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Commodity Exchange Act</w:t>
      </w:r>
      <w:r>
        <w:rPr>
          <w:color w:val="000000"/>
        </w:rPr>
        <w:t xml:space="preserve">” </w:t>
      </w:r>
      <w:r>
        <w:rPr>
          <w:rFonts w:ascii="Times New Roman;serif" w:hAnsi="Times New Roman;serif"/>
          <w:b w:val="false"/>
          <w:color w:val="000000"/>
          <w:sz w:val="22"/>
        </w:rPr>
        <w:t xml:space="preserve">means the Commodity Exchange Act (7 U.S.C. § 1 </w:t>
      </w:r>
      <w:r>
        <w:rPr>
          <w:rFonts w:ascii="Times New Roman;serif" w:hAnsi="Times New Roman;serif"/>
          <w:b w:val="false"/>
          <w:i/>
          <w:color w:val="000000"/>
          <w:sz w:val="22"/>
        </w:rPr>
        <w:t>et seq</w:t>
      </w:r>
      <w:r>
        <w:rPr>
          <w:rFonts w:ascii="Times New Roman;serif" w:hAnsi="Times New Roman;serif"/>
          <w:b w:val="false"/>
          <w:color w:val="000000"/>
          <w:sz w:val="22"/>
        </w:rPr>
        <w:t>.), as amended from time to time, and any successor statute.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Communication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11.18</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Competitor</w:t>
      </w:r>
      <w:r>
        <w:rPr>
          <w:color w:val="000000"/>
        </w:rPr>
        <w:t xml:space="preserve">” </w:t>
      </w:r>
      <w:r>
        <w:rPr>
          <w:rFonts w:ascii="Times New Roman;serif" w:hAnsi="Times New Roman;serif"/>
          <w:b w:val="false"/>
          <w:color w:val="000000"/>
          <w:sz w:val="22"/>
        </w:rPr>
        <w:t>means any Person that is a bona fide direct competitor of the Borrower, any other Loan Party or their Subsidiaries in the same industry or a substantially similar industry which offers a substantially similar product or service as the Borrower, any other Loan Party or any of their Subsidiaries.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Compliance Certificate</w:t>
      </w:r>
      <w:r>
        <w:rPr>
          <w:color w:val="000000"/>
        </w:rPr>
        <w:t xml:space="preserve">” </w:t>
      </w:r>
      <w:r>
        <w:rPr>
          <w:rFonts w:ascii="Times New Roman;serif" w:hAnsi="Times New Roman;serif"/>
          <w:b w:val="false"/>
          <w:color w:val="000000"/>
          <w:sz w:val="22"/>
        </w:rPr>
        <w:t xml:space="preserve">means a certificate substantially in the form of </w:t>
      </w:r>
      <w:r>
        <w:rPr>
          <w:rFonts w:ascii="Times New Roman;serif" w:hAnsi="Times New Roman;serif"/>
          <w:b w:val="false"/>
          <w:color w:val="000000"/>
          <w:sz w:val="22"/>
          <w:u w:val="single"/>
        </w:rPr>
        <w:t>Exhibit 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Conforming Changes</w:t>
      </w:r>
      <w:r>
        <w:rPr>
          <w:color w:val="000000"/>
        </w:rPr>
        <w:t xml:space="preserve">” </w:t>
      </w:r>
      <w:r>
        <w:rPr>
          <w:rFonts w:ascii="Times New Roman;serif" w:hAnsi="Times New Roman;serif"/>
          <w:b w:val="false"/>
          <w:color w:val="000000"/>
          <w:sz w:val="22"/>
        </w:rPr>
        <w:t>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Connection Income Taxes</w:t>
      </w:r>
      <w:r>
        <w:rPr>
          <w:color w:val="000000"/>
        </w:rPr>
        <w:t xml:space="preserve">” </w:t>
      </w:r>
      <w:r>
        <w:rPr>
          <w:rFonts w:ascii="Times New Roman;serif" w:hAnsi="Times New Roman;serif"/>
          <w:b w:val="false"/>
          <w:color w:val="000000"/>
          <w:sz w:val="22"/>
        </w:rPr>
        <w:t>means Other Connection Taxes that are imposed on or measured by net income (however denominated) or that are franchise Taxes or branch profits Taxes.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Consolidated EBITDA</w:t>
      </w:r>
      <w:r>
        <w:rPr>
          <w:color w:val="000000"/>
        </w:rPr>
        <w:t xml:space="preserve">” </w:t>
      </w:r>
      <w:r>
        <w:rPr>
          <w:rFonts w:ascii="Times New Roman;serif" w:hAnsi="Times New Roman;serif"/>
          <w:b w:val="false"/>
          <w:color w:val="000000"/>
          <w:sz w:val="22"/>
        </w:rPr>
        <w:t xml:space="preserve">means, for any period, the sum of the following for the Combined Group (a) Consolidated Net Income for such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the following to the extent deducted (other than clauses (iii) and (xi) below) in calculating such Consolidated Net Income (and, in each case of clauses (a) and (b), without duplication):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Consolidated Interest Charges;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provision for taxes based on income, profits or capital gains, including, without limitation, federal, state, local, foreign, franchise and similar taxes and foreign withholding, franchise and like income taxes, including tax settlements, penalties and interest related to such taxes or arising from any tax examinations;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    the amount of “run rate” cost savings, operating expense reductions, other operating improvements and cost synergies (but not revenue related synergies) (collectively, </w:t>
      </w:r>
      <w:r>
        <w:rPr>
          <w:color w:val="000000"/>
        </w:rPr>
        <w:t>“</w:t>
      </w:r>
      <w:r>
        <w:rPr>
          <w:rFonts w:ascii="Times New Roman;serif" w:hAnsi="Times New Roman;serif"/>
          <w:b w:val="false"/>
          <w:i/>
          <w:color w:val="000000"/>
          <w:sz w:val="22"/>
          <w:u w:val="single"/>
        </w:rPr>
        <w:t>Cost Saving Synergies</w:t>
      </w:r>
      <w:r>
        <w:rPr>
          <w:color w:val="000000"/>
        </w:rPr>
        <w:t>”</w:t>
      </w:r>
      <w:r>
        <w:rPr>
          <w:rFonts w:ascii="Times New Roman;serif" w:hAnsi="Times New Roman;serif"/>
          <w:b w:val="false"/>
          <w:color w:val="000000"/>
          <w:sz w:val="22"/>
        </w:rPr>
        <w:t xml:space="preserve">) related to any Specified Transaction or the implementation of an operational initiative, operational change or cost reduction program after the Closing Date that are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701675"/>
                <wp:effectExtent l="0" t="0" r="0" b="0"/>
                <wp:wrapNone/>
                <wp:docPr id="153" name="Frame15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projected by the Borrower in good faith to reasonably be expected to be realized from actions that have been taken within twelve (12) months after the consummation of such Specified Transaction, operational initiative, operational change or cost reduction program (calculated on a pro forma basis as though such Cost Saving Synergies had been realized on the first day of such period and as if such Cost Saving Synergies were realized during the entirety of such period), net of the amount of actual benefits realized during such period from such actions; </w:t>
      </w:r>
      <w:r>
        <w:rPr>
          <w:rFonts w:ascii="Times New Roman;serif" w:hAnsi="Times New Roman;serif"/>
          <w:b w:val="false"/>
          <w:color w:val="000000"/>
          <w:sz w:val="22"/>
          <w:u w:val="single"/>
        </w:rPr>
        <w:t>provided that</w:t>
      </w:r>
      <w:r>
        <w:rPr>
          <w:color w:val="000000"/>
        </w:rPr>
        <w:t xml:space="preserve"> </w:t>
      </w:r>
      <w:r>
        <w:rPr>
          <w:rFonts w:ascii="Times New Roman;serif" w:hAnsi="Times New Roman;serif"/>
          <w:b w:val="false"/>
          <w:color w:val="000000"/>
          <w:sz w:val="22"/>
        </w:rPr>
        <w:t xml:space="preserve">each Compliance Certificate delivered to the Administrative Agent pursuant to </w:t>
      </w:r>
      <w:r>
        <w:rPr>
          <w:rFonts w:ascii="Times New Roman;serif" w:hAnsi="Times New Roman;serif"/>
          <w:b w:val="false"/>
          <w:color w:val="000000"/>
          <w:sz w:val="22"/>
          <w:u w:val="single"/>
        </w:rPr>
        <w:t>Section 6.02(b)</w:t>
      </w:r>
      <w:r>
        <w:rPr>
          <w:color w:val="000000"/>
        </w:rPr>
        <w:t xml:space="preserve"> </w:t>
      </w:r>
      <w:r>
        <w:rPr>
          <w:rFonts w:ascii="Times New Roman;serif" w:hAnsi="Times New Roman;serif"/>
          <w:b w:val="false"/>
          <w:color w:val="000000"/>
          <w:sz w:val="22"/>
        </w:rPr>
        <w:t>shall provide reasonable detail with respect to such Cost Saving Synergies (which shall be factually supportable) and certify that such Cost Savings Synergies have been determined by Borrower in good faith to be reasonably expected to be realized from actions that have been taken within twelve (12) months after the consummation of such Specified Transaction, operational initiative, operational change or cost reduction program;</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    one-time non-recurring severance, retention, completion, recruiting, relocation and signing bonuses, stay bonuses in connection with any Specified Transaction or the implementation of an operational initiative, operational change or cost reduction program after the Closing Date, any one-time expense relating to enhanced accounting and tax function (including state taxes) and other similar transaction costs; </w:t>
      </w:r>
      <w:r>
        <w:rPr>
          <w:rFonts w:ascii="Times New Roman;serif" w:hAnsi="Times New Roman;serif"/>
          <w:b w:val="false"/>
          <w:color w:val="000000"/>
          <w:sz w:val="22"/>
          <w:u w:val="single"/>
        </w:rPr>
        <w:t>provided that</w:t>
      </w:r>
      <w:r>
        <w:rPr>
          <w:color w:val="000000"/>
        </w:rPr>
        <w:t xml:space="preserve"> </w:t>
      </w:r>
      <w:r>
        <w:rPr>
          <w:rFonts w:ascii="Times New Roman;serif" w:hAnsi="Times New Roman;serif"/>
          <w:b w:val="false"/>
          <w:color w:val="000000"/>
          <w:sz w:val="22"/>
        </w:rPr>
        <w:t>such amounts shall only be added back to the extent paid within 12 months of the event giving rise to such obligation for payment;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depreciation and amortization expense;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    extraordinary, unusual and non-recurring losses, expenses or charges (excluding losses from discontinued operations);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(vii)    non-cash charges, losses or adjustments, including, but not limited to, losses on right-of-use assets, equity-based compensation, warrant reevaluations, and non-cash charges, losses or adjustments in connection with finance leases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any such non-cash charges represent an accrual or reserve for potential cash items in any future period, (A) the Borrower may elect not to add back such non-cash charge in the current period and (B) to the extent the Borrower elects to add back such non-cash charge, the cash payment in respect thereof in such future period shall be subtracted from Consolidated EBITDA to such extent), but excluding (A) amortization of a prepaid cash item that was paid in a prior period and (B) write-downs and write-offs of account receivables ;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(viii)     any non-cash losses (net of gains) associated with changes in foreign currency exchange rates;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     adjustments pursuant to GAAP resulting from purchase accounting in relation to Investments not prohibited by this Agreement, or the amortization or write-off of any amounts thereof, net of Taxes, in each case, which does not represent a cash item in such period or any future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     any non-cash losses (net of gains) related to non-operational hedging, including, without limitation, resulting from hedging transactions for (x) interest rate risks associated with this Agreement, or (y) Permitted Convertible Indebtedness;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(xi)     to the extent actually received and not already included in Consolidated Net Income, proceeds of business interruption insurance;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     costs and expenses incurred pursuant to any management equity plan, stock option plan, or other management employee benefit plan, to the extent such costs or expenses are either non-cash or are funded with net cash proceeds of the issuance of Equity Interests by Parent or such Subsidiary or is funded with net cash proceeds contributed by the relevant Person as a capital contribution;</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701675"/>
                <wp:effectExtent l="0" t="0" r="0" b="0"/>
                <wp:wrapNone/>
                <wp:docPr id="154" name="Frame15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(xiii)     losses and expenses associated with the reevaluation of earnouts, milestones, contingent or deferred payments or other similar contingent obligations incurred in connection with Permitted Acquisitions or any other Investment not prohibited by this Agreement (including upfront, earnout or milestone payments);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(xiv)    payments and expenses (including rationalization, legal, tax, structuring and other fees, costs and expenses and professional fees, costs and expenses related thereto), related to Acquisitions, Investments, Dispositions, issuances of Equity Interests and issuances, amendments, modifications, refinancings or repayments of Indebtedness (including, any such transaction undertaken but not completed and to the extent paid within 12 months of the effectiveness of such transaction (or the date such transaction fails to be completed, as the case may be));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     litigation and settlement costs and expenses;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    any non-recurring charges, costs, losses, fees and expenses directly incurred or paid directly as a result of discontinued, disposed, abandoned operations, product lines, divested joint ventures, divested investments or any sale or disposition of any asset of the Parent or any of its Subsidiaries;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(xvii)     all transaction fees, charges and other amounts related to the Loan Documents and any amendment or other modification to the Loan Documents in each case to the extent paid within twelve (12) months of the Closing Date or the effectiveness of such amendment or other modification;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(xviii)    the amount of any restructuring charges or reserves, equity-based or non-cash compensation charges or expenses, including any such charges or expenses arising from grants of stock appreciation or similar rights, stock options, restricted stock or other rights, retention charges (including charges or expenses in respect of incentive plans), start-up or initial costs for any project or new production line, division or new line of business or other business optimization expenses or reserves including, without limitation, costs or reserves associated with improvements to information technology and accounting functions, integration and facilities opening costs or any one time costs;</w:t>
      </w:r>
    </w:p>
    <w:p>
      <w:pPr>
        <w:pStyle w:val="TextBody"/>
        <w:bidi w:val="0"/>
        <w:spacing w:lineRule="auto" w:line="240" w:before="0" w:after="240"/>
        <w:ind w:left="0" w:right="0" w:firstLine="720"/>
        <w:jc w:val="both"/>
        <w:rPr/>
      </w:pPr>
      <w:r>
        <w:rPr>
          <w:rFonts w:ascii="Times New Roman;serif" w:hAnsi="Times New Roman;serif"/>
          <w:b w:val="false"/>
          <w:i/>
          <w:color w:val="000000"/>
          <w:sz w:val="22"/>
          <w:u w:val="single"/>
        </w:rPr>
        <w:t>less</w:t>
      </w:r>
      <w:r>
        <w:rPr>
          <w:color w:val="000000"/>
          <w:u w:val="single"/>
        </w:rPr>
        <w:t xml:space="preserve"> </w:t>
      </w:r>
      <w:r>
        <w:rPr>
          <w:rFonts w:ascii="Times New Roman;serif" w:hAnsi="Times New Roman;serif"/>
          <w:b w:val="false"/>
          <w:color w:val="000000"/>
          <w:sz w:val="22"/>
        </w:rPr>
        <w:t>(c) without duplication and to the extent reflected as a gain or otherwise included in the calculation of Consolidated Net Income for such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any extraordinary, unusual and non-recurring gains;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non-cash gains (excluding any non-cash gain to the extent it represents the reversal of an accrual or reserve for a potential cash item that reduced Consolidated EBITDA in any prior period);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any cash payment made during such period on account of accruals, reserves and other non-cash charges added to Consolidated Net Income in a previous period pursuant to clause (b)(vii) above.</w:t>
      </w:r>
    </w:p>
    <w:p>
      <w:pPr>
        <w:pStyle w:val="TextBody"/>
        <w:bidi w:val="0"/>
        <w:spacing w:lineRule="auto" w:line="288" w:before="0" w:after="240"/>
        <w:jc w:val="both"/>
        <w:rPr/>
      </w:pPr>
      <w:r>
        <w:rPr>
          <w:rFonts w:ascii="Times New Roman;serif" w:hAnsi="Times New Roman;serif"/>
          <w:b w:val="false"/>
          <w:color w:val="000000"/>
          <w:sz w:val="22"/>
          <w:u w:val="single"/>
        </w:rPr>
        <w:t>provided that</w:t>
      </w:r>
      <w:r>
        <w:rPr>
          <w:color w:val="000000"/>
        </w:rPr>
        <w:t xml:space="preserve"> </w:t>
      </w:r>
      <w:r>
        <w:rPr>
          <w:rFonts w:ascii="Times New Roman;serif" w:hAnsi="Times New Roman;serif"/>
          <w:b w:val="false"/>
          <w:color w:val="000000"/>
          <w:sz w:val="22"/>
        </w:rPr>
        <w:t>the aggregate amount added back pursuant to clauses (b)(iii), (b)(iv), (b)(xiv), (b)(xv) and (b)(xviii) above shall not exceed 20% of Consolidated EBITDA for any Measurement Period (prior to giving effect to such addbacks).</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color w:val="000000"/>
        </w:rPr>
        <w:t>“</w:t>
      </w:r>
      <w:r>
        <w:rPr>
          <w:rFonts w:ascii="Times New Roman;serif" w:hAnsi="Times New Roman;serif"/>
          <w:b w:val="false"/>
          <w:i/>
          <w:color w:val="000000"/>
          <w:sz w:val="22"/>
          <w:u w:val="single"/>
        </w:rPr>
        <w:t>Consolidated Funded Indebtedness</w:t>
      </w:r>
      <w:r>
        <w:rPr>
          <w:color w:val="000000"/>
        </w:rPr>
        <w:t xml:space="preserve">” </w:t>
      </w:r>
      <w:r>
        <w:rPr>
          <w:rFonts w:ascii="Times New Roman;serif" w:hAnsi="Times New Roman;serif"/>
          <w:b w:val="false"/>
          <w:color w:val="000000"/>
          <w:sz w:val="22"/>
        </w:rPr>
        <w:t xml:space="preserve">means, as of any date of determination, for the Combined Group on a consolidated basis, and without duplication, the </w:t>
      </w:r>
      <w:r>
        <w:rPr>
          <w:rFonts w:ascii="Times New Roman;serif" w:hAnsi="Times New Roman;serif"/>
          <w:b w:val="false"/>
          <w:i/>
          <w:color w:val="000000"/>
          <w:sz w:val="22"/>
        </w:rPr>
        <w:t>sum of</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701675"/>
                <wp:effectExtent l="0" t="0" r="0" b="0"/>
                <wp:wrapNone/>
                <wp:docPr id="155" name="Frame15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(a)    all Indebtedness of the Combined Group of the types described in clauses (a), (d), (e), (f), (g) or (h) (but only to the extent relating to the types of Indebtedness described in this definition and other than for any member of the Combined Group) of the definition of “Indebtedness”;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(b)    all purchase money Indebtedness;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(c)    solely with respect to letters of credit, bankers’ acceptances, bank guaranties and similar instruments that have been drawn but not yet reimbursed, clause (b) of the definition of “Indebtedness”.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(n)</w:t>
      </w:r>
      <w:r>
        <w:rPr>
          <w:color w:val="000000"/>
        </w:rPr>
        <w:t>“</w:t>
      </w:r>
      <w:r>
        <w:rPr>
          <w:rFonts w:ascii="Times New Roman;serif" w:hAnsi="Times New Roman;serif"/>
          <w:b w:val="false"/>
          <w:i/>
          <w:color w:val="000000"/>
          <w:sz w:val="22"/>
          <w:u w:val="single"/>
        </w:rPr>
        <w:t>Consolidated Interest Charges</w:t>
      </w:r>
      <w:r>
        <w:rPr>
          <w:color w:val="000000"/>
        </w:rPr>
        <w:t xml:space="preserve">” </w:t>
      </w:r>
      <w:r>
        <w:rPr>
          <w:rFonts w:ascii="Times New Roman;serif" w:hAnsi="Times New Roman;serif"/>
          <w:b w:val="false"/>
          <w:color w:val="000000"/>
          <w:sz w:val="22"/>
        </w:rPr>
        <w:t xml:space="preserve">means, for any Measurement Period, without duplication,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(c) the portion of rent expense under Capitalized Leases that is treated as interest in accordance with GAAP, (d) any losses on hedging obligations or other derivative instruments entered into for the purpose of hedging interest rate risk, net of interest income and gains on such hedging obligations, and costs of surety bonds in connection with financing activities (whether amortized or immediately expensed), (e) amortization of deferred financing fees, debt issuance costs, commissions, (f) amortization of original issue discount resulting from the issuance of Indebtedness at less than par and (g) all commissions, discounts and other fees and charges owed with respect to letters of credit or bankers acceptances and costs of surety bonds in connection with financing activities.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Consolidated Net Income</w:t>
      </w:r>
      <w:r>
        <w:rPr>
          <w:color w:val="000000"/>
        </w:rPr>
        <w:t xml:space="preserve">” </w:t>
      </w:r>
      <w:r>
        <w:rPr>
          <w:rFonts w:ascii="Times New Roman;serif" w:hAnsi="Times New Roman;serif"/>
          <w:b w:val="false"/>
          <w:color w:val="000000"/>
          <w:sz w:val="22"/>
        </w:rPr>
        <w:t xml:space="preserve">means, for any Measurement Period, the net income (or loss) of the Combined Group on a consolidated basis;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Consolidated Net Income shall exclude, without duplication: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the undistributed earnings of any Subsidiary during such Measurement Period to the extent that the declaration or payment of dividends or similar distributions by such Subsidiary, except with respect to Regulated Insurance Subsidiaries, is not permitted by operation of the terms of its Organization Documents or any agreement, instrument or Law applicable to such Subsidiary during such Measurement Period (other than any Loan Document);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income (or loss) for such Measurement Period of any Person if such Person is not a Subsidiary, provided that Consolidated Net Income shall be increased by the amount of dividends or distributions or other payments that are actually paid in cash or Cash Equivalents (or to the extent subsequently converted into cash or Cash Equivalent) to the Parent or any of its Subsidiaries by such Person in such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income (or loss) of any Person accrued prior to the date it becomes a Subsidiary of the Parent or any of its Subsidiaries or is merged into or consolidated with Parent or any of its Subsidiaries or that Person’s assets are acquired by Parent or any of its Subsidiaries;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the income (or loss) of any Person accrued prior to the date it becomes a Managed Company or is merged into or consolidated with another Managed Company or that Person’s assets are acquired by a Managed Company;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    the income (or loss) of any Subsidiary that is not a wholly-owned Subsidiary of the Borrower to the extent such net income (or loss) is attributable to the minority interest in such Subsidiary; and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701675"/>
                <wp:effectExtent l="0" t="0" r="0" b="0"/>
                <wp:wrapNone/>
                <wp:docPr id="156" name="Frame15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any gains or losses (less all fees and expenses chargeable thereto) attributable to any sales or dispositions of assets (including asset retirement costs) or of returned surplus assets, in each case, not in the ordinary course of business.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Consolidated Secured Funded Indebtedness</w:t>
      </w:r>
      <w:r>
        <w:rPr>
          <w:color w:val="000000"/>
        </w:rPr>
        <w:t xml:space="preserve">” </w:t>
      </w:r>
      <w:r>
        <w:rPr>
          <w:rFonts w:ascii="Times New Roman;serif" w:hAnsi="Times New Roman;serif"/>
          <w:b w:val="false"/>
          <w:color w:val="000000"/>
          <w:sz w:val="22"/>
        </w:rPr>
        <w:t>means, as of any date of determination, all Consolidated Funded Indebtedness (including, for the avoidance of doubt, Indebtedness outstanding under this Agreement) outstanding as of such date and which is secured by a Lien on any assets of Parent, any of its Subsidiaries or any of the Managed Companies.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Consolidated Secured Leverage Ratio</w:t>
      </w:r>
      <w:r>
        <w:rPr>
          <w:color w:val="000000"/>
        </w:rPr>
        <w:t xml:space="preserve">” </w:t>
      </w:r>
      <w:r>
        <w:rPr>
          <w:rFonts w:ascii="Times New Roman;serif" w:hAnsi="Times New Roman;serif"/>
          <w:b w:val="false"/>
          <w:color w:val="000000"/>
          <w:sz w:val="22"/>
        </w:rPr>
        <w:t>means, as of any date of determination, the ratio of (a) Consolidated Secured Funded Indebtedness as of such date</w:t>
      </w:r>
      <w:r>
        <w:rPr>
          <w:color w:val="000000"/>
        </w:rPr>
        <w:t xml:space="preserve"> </w:t>
      </w:r>
      <w:r>
        <w:rPr>
          <w:rFonts w:ascii="Times New Roman;serif" w:hAnsi="Times New Roman;serif"/>
          <w:b w:val="false"/>
          <w:color w:val="000000"/>
          <w:sz w:val="22"/>
        </w:rPr>
        <w:t>to (b) Consolidated EBITDA of the Combined Group on a consolidated basis for the most recently completed Measurement Period.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Consolidated Senior Secured Funded Indebtedness</w:t>
      </w:r>
      <w:r>
        <w:rPr>
          <w:color w:val="000000"/>
        </w:rPr>
        <w:t xml:space="preserve">” </w:t>
      </w:r>
      <w:r>
        <w:rPr>
          <w:rFonts w:ascii="Times New Roman;serif" w:hAnsi="Times New Roman;serif"/>
          <w:b w:val="false"/>
          <w:color w:val="000000"/>
          <w:sz w:val="22"/>
        </w:rPr>
        <w:t>means, as of any date of determination, all Consolidated Funded Indebtedness that is not subordinated in right of payment to the Secured Obligations (including, for the avoidance of doubt, Indebtedness outstanding under this Agreement) outstanding as of such date and which is secured by a Lien on any assets of Parent, any of its Subsidiaries or any of the Managed Companies.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Consolidated Senior Secured Leverage Ratio</w:t>
      </w:r>
      <w:r>
        <w:rPr>
          <w:color w:val="000000"/>
        </w:rPr>
        <w:t xml:space="preserve">” </w:t>
      </w:r>
      <w:r>
        <w:rPr>
          <w:rFonts w:ascii="Times New Roman;serif" w:hAnsi="Times New Roman;serif"/>
          <w:b w:val="false"/>
          <w:color w:val="000000"/>
          <w:sz w:val="22"/>
        </w:rPr>
        <w:t>means, as of any date of determination, the ratio of (a) Consolidated Senior Secured Funded Indebtedness as of such date</w:t>
      </w:r>
      <w:r>
        <w:rPr>
          <w:color w:val="000000"/>
        </w:rPr>
        <w:t xml:space="preserve"> </w:t>
      </w:r>
      <w:r>
        <w:rPr>
          <w:rFonts w:ascii="Times New Roman;serif" w:hAnsi="Times New Roman;serif"/>
          <w:b w:val="false"/>
          <w:color w:val="000000"/>
          <w:sz w:val="22"/>
        </w:rPr>
        <w:t>to (b) Consolidated EBITDA of the Combined Group on a consolidated basis for the most recently completed Measurement Period.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Consolidated Total Leverage Ratio</w:t>
      </w:r>
      <w:r>
        <w:rPr>
          <w:color w:val="000000"/>
        </w:rPr>
        <w:t xml:space="preserve">” </w:t>
      </w:r>
      <w:r>
        <w:rPr>
          <w:rFonts w:ascii="Times New Roman;serif" w:hAnsi="Times New Roman;serif"/>
          <w:b w:val="false"/>
          <w:color w:val="000000"/>
          <w:sz w:val="22"/>
        </w:rPr>
        <w:t>means, as of any date of determination, the ratio of (a) Consolidated Funded Indebtedness as of such date</w:t>
      </w:r>
      <w:r>
        <w:rPr>
          <w:color w:val="000000"/>
        </w:rPr>
        <w:t xml:space="preserve"> </w:t>
      </w:r>
      <w:r>
        <w:rPr>
          <w:rFonts w:ascii="Times New Roman;serif" w:hAnsi="Times New Roman;serif"/>
          <w:b w:val="false"/>
          <w:color w:val="000000"/>
          <w:sz w:val="22"/>
        </w:rPr>
        <w:t>to (b) Consolidated EBITDA of the Combined Group on a consolidated basis for the most recently completed Measurement Period.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Contractual Obligation</w:t>
      </w:r>
      <w:r>
        <w:rPr>
          <w:color w:val="000000"/>
        </w:rPr>
        <w:t xml:space="preserve">” </w:t>
      </w:r>
      <w:r>
        <w:rPr>
          <w:rFonts w:ascii="Times New Roman;serif" w:hAnsi="Times New Roman;serif"/>
          <w:b w:val="false"/>
          <w:color w:val="000000"/>
          <w:sz w:val="22"/>
        </w:rPr>
        <w:t>means, as to any Person, any provision of any security issued by such Person or of any agreement, instrument or other undertaking to which such Person is a party or by which it or any of its property is bound.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Control</w:t>
      </w:r>
      <w:r>
        <w:rPr>
          <w:color w:val="000000"/>
        </w:rPr>
        <w:t xml:space="preserve">” </w:t>
      </w:r>
      <w:r>
        <w:rPr>
          <w:rFonts w:ascii="Times New Roman;serif" w:hAnsi="Times New Roman;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i/>
          <w:color w:val="000000"/>
          <w:sz w:val="22"/>
          <w:u w:val="single"/>
        </w:rPr>
        <w:t>Controlling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u w:val="single"/>
        </w:rPr>
        <w:t>Controlled</w:t>
      </w:r>
      <w:r>
        <w:rPr>
          <w:color w:val="000000"/>
        </w:rPr>
        <w:t xml:space="preserve">” </w:t>
      </w:r>
      <w:r>
        <w:rPr>
          <w:rFonts w:ascii="Times New Roman;serif" w:hAnsi="Times New Roman;serif"/>
          <w:b w:val="false"/>
          <w:color w:val="000000"/>
          <w:sz w:val="22"/>
        </w:rPr>
        <w:t>have meanings correlative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Controlled Account</w:t>
      </w:r>
      <w:r>
        <w:rPr>
          <w:color w:val="000000"/>
        </w:rPr>
        <w:t xml:space="preserve">” </w:t>
      </w:r>
      <w:r>
        <w:rPr>
          <w:rFonts w:ascii="Times New Roman;serif" w:hAnsi="Times New Roman;serif"/>
          <w:b w:val="false"/>
          <w:color w:val="000000"/>
          <w:sz w:val="22"/>
        </w:rPr>
        <w:t>means each deposit account and securities account that is subject to a Qualifying Control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Convertible Indebtedness Documents</w:t>
      </w:r>
      <w:r>
        <w:rPr>
          <w:color w:val="000000"/>
        </w:rPr>
        <w:t xml:space="preserve">” </w:t>
      </w:r>
      <w:r>
        <w:rPr>
          <w:rFonts w:ascii="Times New Roman;serif" w:hAnsi="Times New Roman;serif"/>
          <w:b w:val="false"/>
          <w:color w:val="000000"/>
          <w:sz w:val="22"/>
        </w:rPr>
        <w:t>means, collectively, any Convertible Note Indenture and the convertible notes issued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Convertible Note Indenture</w:t>
      </w:r>
      <w:r>
        <w:rPr>
          <w:color w:val="000000"/>
        </w:rPr>
        <w:t xml:space="preserve">” </w:t>
      </w:r>
      <w:r>
        <w:rPr>
          <w:rFonts w:ascii="Times New Roman;serif" w:hAnsi="Times New Roman;serif"/>
          <w:b w:val="false"/>
          <w:color w:val="000000"/>
          <w:sz w:val="22"/>
        </w:rPr>
        <w:t>means any indenture or purchase agreement entered into by the Parent in connection with Permitted Convertible Indebtedness.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Covered Entity</w:t>
      </w:r>
      <w:r>
        <w:rPr>
          <w:color w:val="000000"/>
        </w:rPr>
        <w:t xml:space="preserve">” </w:t>
      </w:r>
      <w:r>
        <w:rPr>
          <w:rFonts w:ascii="Times New Roman;serif" w:hAnsi="Times New Roman;serif"/>
          <w:b w:val="false"/>
          <w:color w:val="000000"/>
          <w:sz w:val="22"/>
        </w:rPr>
        <w:t>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Credit Extension</w:t>
      </w:r>
      <w:r>
        <w:rPr>
          <w:color w:val="000000"/>
        </w:rPr>
        <w:t xml:space="preserve">” </w:t>
      </w:r>
      <w:r>
        <w:rPr>
          <w:rFonts w:ascii="Times New Roman;serif" w:hAnsi="Times New Roman;serif"/>
          <w:b w:val="false"/>
          <w:color w:val="000000"/>
          <w:sz w:val="22"/>
        </w:rPr>
        <w:t>means each of the following: (a) a Borrowing and (b) an L/C Credit Extension.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Debtor Relief Laws</w:t>
      </w:r>
      <w:r>
        <w:rPr>
          <w:color w:val="000000"/>
        </w:rPr>
        <w:t xml:space="preserve">” </w:t>
      </w:r>
      <w:r>
        <w:rPr>
          <w:rFonts w:ascii="Times New Roman;serif" w:hAnsi="Times New Roman;serif"/>
          <w:b w:val="false"/>
          <w:color w:val="000000"/>
          <w:sz w:val="22"/>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701675"/>
                <wp:effectExtent l="0" t="0" r="0" b="0"/>
                <wp:wrapNone/>
                <wp:docPr id="157" name="Frame15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Default</w:t>
      </w:r>
      <w:r>
        <w:rPr>
          <w:color w:val="000000"/>
        </w:rPr>
        <w:t xml:space="preserve">” </w:t>
      </w:r>
      <w:r>
        <w:rPr>
          <w:rFonts w:ascii="Times New Roman;serif" w:hAnsi="Times New Roman;serif"/>
          <w:b w:val="false"/>
          <w:color w:val="000000"/>
          <w:sz w:val="22"/>
        </w:rPr>
        <w:t>means any event or condition that constitutes an Event of Default or that, with the giving of any notice, the passage of time, or both, would be an Event of Default.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Default Rate</w:t>
      </w:r>
      <w:r>
        <w:rPr>
          <w:color w:val="000000"/>
        </w:rPr>
        <w:t xml:space="preserve">” </w:t>
      </w:r>
      <w:r>
        <w:rPr>
          <w:rFonts w:ascii="Times New Roman;serif" w:hAnsi="Times New Roman;serif"/>
          <w:b w:val="false"/>
          <w:color w:val="000000"/>
          <w:sz w:val="22"/>
        </w:rPr>
        <w:t xml:space="preserve">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the Applicable Rate for Revolving Loans that are Base Rate Loans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two percent (2%), in each case, to the fullest extent permitted by Applicable Law.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Defaulting Lender</w:t>
      </w:r>
      <w:r>
        <w:rPr>
          <w:color w:val="000000"/>
        </w:rPr>
        <w:t xml:space="preserve">” </w:t>
      </w:r>
      <w:r>
        <w:rPr>
          <w:rFonts w:ascii="Times New Roman;serif" w:hAnsi="Times New Roman;serif"/>
          <w:b w:val="false"/>
          <w:color w:val="000000"/>
          <w:sz w:val="22"/>
        </w:rPr>
        <w:t xml:space="preserve">means, subject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any L/C Issuer,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any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Lender shall cease to be a Defaulting Lender pursuant to this </w:t>
      </w:r>
      <w:r>
        <w:rPr>
          <w:rFonts w:ascii="Times New Roman;serif" w:hAnsi="Times New Roman;serif"/>
          <w:b w:val="false"/>
          <w:color w:val="000000"/>
          <w:sz w:val="22"/>
          <w:u w:val="single"/>
        </w:rPr>
        <w:t>clause (c</w:t>
      </w:r>
      <w:r>
        <w:rPr>
          <w:rFonts w:ascii="Times New Roman;serif" w:hAnsi="Times New Roman;serif"/>
          <w:b w:val="false"/>
          <w:color w:val="000000"/>
          <w:sz w:val="22"/>
        </w:rPr>
        <w:t xml:space="preserve">) upon receipt of such written confirmation by the Administrative Agent and the Borrower), or (d) has, or has a direct or indirect parent company that has, (i) become the subject of a proceeding under any Debtor Relief Law, (ii)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serif" w:hAnsi="Times New Roman;serif"/>
          <w:b w:val="false"/>
          <w:color w:val="000000"/>
          <w:sz w:val="22"/>
          <w:u w:val="single"/>
        </w:rPr>
        <w:t>clauses (a</w:t>
      </w:r>
      <w:r>
        <w:rPr>
          <w:rFonts w:ascii="Times New Roman;serif" w:hAnsi="Times New Roman;serif"/>
          <w:b w:val="false"/>
          <w:color w:val="000000"/>
          <w:sz w:val="22"/>
        </w:rPr>
        <w:t>) through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above, and the effective date of such status, shall be conclusive and binding absent manifest error, and such Lender shall be deemed to be a Defaulting Lender (subject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as of the date established therefor by the Administrative Agent in a written notice of such determination, which shall be delivered by the Administrative Agent to the Borrower, each L/C Issuer, the Swingline Lender and each other Lender promptly following such determination.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Designated Jurisdiction</w:t>
      </w:r>
      <w:r>
        <w:rPr>
          <w:color w:val="000000"/>
        </w:rPr>
        <w:t xml:space="preserve">” </w:t>
      </w:r>
      <w:r>
        <w:rPr>
          <w:rFonts w:ascii="Times New Roman;serif" w:hAnsi="Times New Roman;serif"/>
          <w:b w:val="false"/>
          <w:color w:val="000000"/>
          <w:sz w:val="22"/>
        </w:rPr>
        <w:t>means any country or territory to the extent that such country or territory is the target or subject to comprehensive Sanctions (as of the Closing Date, the Crimea region of Ukraine, the so-called Donetsk People’s Republic and the non-Ukrainian government controlled areas of Kherson and Zaporizhzhia regions of Ukraine, the so-called Luhansk People’s Republic, Cuba, Iran, and North Korea).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Disposition</w:t>
      </w:r>
      <w:r>
        <w:rPr>
          <w:color w:val="000000"/>
        </w:rPr>
        <w:t xml:space="preserve">” </w:t>
      </w:r>
      <w:r>
        <w:rPr>
          <w:rFonts w:ascii="Times New Roman;serif" w:hAnsi="Times New Roman;serif"/>
          <w:b w:val="false"/>
          <w:color w:val="000000"/>
          <w:sz w:val="22"/>
        </w:rPr>
        <w:t>or “</w:t>
      </w:r>
      <w:r>
        <w:rPr>
          <w:rFonts w:ascii="Times New Roman;serif" w:hAnsi="Times New Roman;serif"/>
          <w:b w:val="false"/>
          <w:i/>
          <w:color w:val="000000"/>
          <w:sz w:val="22"/>
          <w:u w:val="single"/>
        </w:rPr>
        <w:t>Dispose</w:t>
      </w:r>
      <w:r>
        <w:rPr>
          <w:color w:val="000000"/>
        </w:rPr>
        <w:t xml:space="preserve">” </w:t>
      </w:r>
      <w:r>
        <w:rPr>
          <w:rFonts w:ascii="Times New Roman;serif" w:hAnsi="Times New Roman;serif"/>
          <w:b w:val="false"/>
          <w:color w:val="000000"/>
          <w:sz w:val="22"/>
        </w:rPr>
        <w:t xml:space="preserve">means the sale, transfer, license, lease or other disposition (including any Sale and Leaseback Transaction) (and whether effected pursuant to a Division or otherwise) of any property by any Loan Party, Subsidiary or Managed Company, including any sale, assignment, transfer or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701675"/>
                <wp:effectExtent l="0" t="0" r="0" b="0"/>
                <wp:wrapNone/>
                <wp:docPr id="158" name="Frame15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other disposal, with or without recourse, of any notes or accounts receivable or any rights and claims associated therewith.</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Disqualified Equity Interests</w:t>
      </w:r>
      <w:r>
        <w:rPr>
          <w:color w:val="000000"/>
        </w:rPr>
        <w:t xml:space="preserve">” </w:t>
      </w:r>
      <w:r>
        <w:rPr>
          <w:rFonts w:ascii="Times New Roman;serif" w:hAnsi="Times New Roman;serif"/>
          <w:b w:val="false"/>
          <w:color w:val="000000"/>
          <w:sz w:val="22"/>
        </w:rPr>
        <w:t xml:space="preserve">means, with respect to any Person, any Equity Interests of such Person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fundamental change or asset sale so long as any rights of the holders thereof upon the occurrence of a change of control, fundamental change or asset sale event shall be subject to the prior repayment in full in cash of the Loans and all other Obligations (other than contingent indemnification obligations not then due) and the termination of the Commitments), (b) are redeemable at the option of the holder thereof (other than solely for Qualified Equity Interests) (except as a result of a change of control, fundamental change or asset sale so long as any rights of the holders thereof upon the occurrence of a change of control, fundamental change or asset sale event shall be subject to the prior repayment in full in cash of the Loans and all other Obligations (other than contingent indemnification obligations not then due) and the termination of the Commitments), in whole or in part, (c) provide for the scheduled payment of dividends in cash or (d) are or become convertible into, or exchangeable for, Indebtedness or any other Equity Interests that would constitute Disqualified Equity Interests (except as a result of a change of control, fundamental change or asset sale so long as any rights of the holders thereof upon the occurrence of a change of control, fundamental change or asset sale event shall be subject to the prior repayment in full in cash of the Loans and all other Obligations (other than contingent indemnification obligations not then due) and the termination of the Commitments), in each case of clauses (a) through (d), prior to the date that is 91 days after the Revolving Credit Termination Date (or the latest scheduled maturity date of any Incremental Term Loan) at the time of issuance of such Equity Interests;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Equity Interests are issued pursuant to a plan for the benefit of Parent</w:t>
      </w:r>
      <w:r>
        <w:rPr>
          <w:color w:val="000000"/>
        </w:rPr>
        <w:t xml:space="preserve"> </w:t>
      </w:r>
      <w:r>
        <w:rPr>
          <w:rFonts w:ascii="Times New Roman;serif" w:hAnsi="Times New Roman;serif"/>
          <w:b w:val="false"/>
          <w:color w:val="000000"/>
          <w:sz w:val="22"/>
        </w:rPr>
        <w:t>or its Subsidiaries or by any such plan to such officers or employees, such Equity Interests shall not constitute Disqualified Equity Interests solely because they may be required to be repurchased by Parent or its Subsidiaries in order to satisfy applicable statutory or regulatory obligations or as a result of such employee’s termination, death or disability.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Disqualified Lenders</w:t>
      </w:r>
      <w:r>
        <w:rPr>
          <w:color w:val="000000"/>
        </w:rPr>
        <w:t xml:space="preserve">” </w:t>
      </w:r>
      <w:r>
        <w:rPr>
          <w:rFonts w:ascii="Times New Roman;serif" w:hAnsi="Times New Roman;serif"/>
          <w:b w:val="false"/>
          <w:color w:val="000000"/>
          <w:sz w:val="22"/>
        </w:rPr>
        <w:t xml:space="preserve">means, on any date (a) those Persons (x) identified by the Borrower by written notice, from time to time, to the Administrative Agent as Competitors (which such notice shall specify such Person by exact legal name) not less than two (2) Business Days prior to such date and (y) reasonably identifiable as Affiliates to the Persons identified by the Borrower pursuant to clause (x) above solely on the basis of the similarity of such Affiliate’s name to the name of such entity identified by the Borrower pursuant to clause (x) above and (b) banks, financial institutions, other institutional lenders and other Persons that are identified in writing by the Borrower to the Administrative Agent on or prior to the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(i) except to the extent separately identified pursuant to clause (b) above, Disqualified Lenders shall exclude any bona fide debt fund affiliates or investment vehicle of any such Person identified pursuant to clause (a) above that is engaged in making, purchasing, holding or otherwise investing in commercial loans and similar extensions of credit in the ordinary course of business which is managed, sponsored or advised by any Person Controlling, Controlled by or under common Control with such Person or its Controlling owner and for which no personnel involved with the competitive activities of such Person or Controlling owner (x) makes any investment decisions for such debt fund or (y) has access to any confidential information (other than publicly available information) relating to the Parent and its Subsidiaries, (ii) to the extent Persons are identified as Disqualified Lenders pursuant to clause (a) above in writing by the Borrower after the Closing Date, the inclusion of such Persons as Disqualified Lenders shall not retroactively apply to prior assignments or participations made in compliance with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and (iii) Disqualified Lenders shall exclude any Person that the Borrower has designated as no longer being a “Disqualified Lender” by written notice delivered to the Administrative Agent from time to time.</w:t>
      </w:r>
      <w:r>
        <w:rPr>
          <w:color w:val="000000"/>
        </w:rPr>
        <w:t xml:space="preserv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Dividing Person</w:t>
      </w:r>
      <w:r>
        <w:rPr>
          <w:color w:val="000000"/>
        </w:rPr>
        <w:t xml:space="preserve">” </w:t>
      </w:r>
      <w:r>
        <w:rPr>
          <w:rFonts w:ascii="Times New Roman;serif" w:hAnsi="Times New Roman;serif"/>
          <w:b w:val="false"/>
          <w:color w:val="000000"/>
          <w:sz w:val="22"/>
        </w:rPr>
        <w:t>has the meaning assigned to it in the definition of “Division.”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Division</w:t>
      </w:r>
      <w:r>
        <w:rPr>
          <w:color w:val="000000"/>
        </w:rPr>
        <w:t xml:space="preserve">” </w:t>
      </w:r>
      <w:r>
        <w:rPr>
          <w:rFonts w:ascii="Times New Roman;serif" w:hAnsi="Times New Roman;serif"/>
          <w:b w:val="false"/>
          <w:color w:val="000000"/>
          <w:sz w:val="22"/>
        </w:rPr>
        <w:t>means the division of the assets, liabilities and/or obligations of a Person (the “</w:t>
      </w:r>
      <w:r>
        <w:rPr>
          <w:rFonts w:ascii="Times New Roman;serif" w:hAnsi="Times New Roman;serif"/>
          <w:b w:val="false"/>
          <w:color w:val="000000"/>
          <w:sz w:val="22"/>
          <w:u w:val="single"/>
        </w:rPr>
        <w:t>Dividing Person</w:t>
      </w:r>
      <w:r>
        <w:rPr>
          <w:color w:val="000000"/>
        </w:rPr>
        <w:t>”</w:t>
      </w:r>
      <w:r>
        <w:rPr>
          <w:rFonts w:ascii="Times New Roman;serif" w:hAnsi="Times New Roman;serif"/>
          <w:b w:val="false"/>
          <w:color w:val="000000"/>
          <w:sz w:val="22"/>
        </w:rPr>
        <w:t>) among two or more Persons (whether pursuant to a “plan of division” or similar arrangement), which may or may not include the Dividing Person and pursuant to which the Dividing Person may or may not survive.</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701675"/>
                <wp:effectExtent l="0" t="0" r="0" b="0"/>
                <wp:wrapNone/>
                <wp:docPr id="159" name="Frame15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Division Successor</w:t>
      </w:r>
      <w:r>
        <w:rPr>
          <w:color w:val="000000"/>
        </w:rPr>
        <w:t xml:space="preserve">” </w:t>
      </w:r>
      <w:r>
        <w:rPr>
          <w:rFonts w:ascii="Times New Roman;serif" w:hAnsi="Times New Roman;serif"/>
          <w:b w:val="false"/>
          <w:color w:val="000000"/>
          <w:sz w:val="22"/>
        </w:rPr>
        <w:t>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Dollar</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u w:val="single"/>
        </w:rPr>
        <w:t>$</w:t>
      </w:r>
      <w:r>
        <w:rPr>
          <w:color w:val="000000"/>
        </w:rPr>
        <w:t xml:space="preserve">” </w:t>
      </w:r>
      <w:r>
        <w:rPr>
          <w:rFonts w:ascii="Times New Roman;serif" w:hAnsi="Times New Roman;serif"/>
          <w:b w:val="false"/>
          <w:color w:val="000000"/>
          <w:sz w:val="22"/>
        </w:rPr>
        <w:t>mean lawful money of the United States.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Domestic Subsidiary</w:t>
      </w:r>
      <w:r>
        <w:rPr>
          <w:color w:val="000000"/>
        </w:rPr>
        <w:t xml:space="preserve">” </w:t>
      </w:r>
      <w:r>
        <w:rPr>
          <w:rFonts w:ascii="Times New Roman;serif" w:hAnsi="Times New Roman;serif"/>
          <w:b w:val="false"/>
          <w:color w:val="000000"/>
          <w:sz w:val="22"/>
        </w:rPr>
        <w:t>means any Subsidiary that is organized under the laws of the United States, any state thereof or the District of Columbia.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EEA Financial Institution</w:t>
      </w:r>
      <w:r>
        <w:rPr>
          <w:color w:val="000000"/>
        </w:rPr>
        <w:t xml:space="preserve">” </w:t>
      </w:r>
      <w:r>
        <w:rPr>
          <w:rFonts w:ascii="Times New Roman;serif" w:hAnsi="Times New Roman;serif"/>
          <w:b w:val="false"/>
          <w:color w:val="000000"/>
          <w:sz w:val="22"/>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of this definition, or (c) any financial institution established in an EEA Member Country which is a Subsidiary of an institution described in </w:t>
      </w:r>
      <w:r>
        <w:rPr>
          <w:rFonts w:ascii="Times New Roman;serif" w:hAnsi="Times New Roman;serif"/>
          <w:b w:val="false"/>
          <w:color w:val="000000"/>
          <w:sz w:val="22"/>
          <w:u w:val="single"/>
        </w:rPr>
        <w:t>clauses (a</w:t>
      </w:r>
      <w:r>
        <w:rPr>
          <w:rFonts w:ascii="Times New Roman;serif" w:hAnsi="Times New Roman;serif"/>
          <w:b w:val="false"/>
          <w:color w:val="000000"/>
          <w:sz w:val="22"/>
        </w:rPr>
        <w:t>) or (</w:t>
      </w:r>
      <w:r>
        <w:rPr>
          <w:rFonts w:ascii="Times New Roman;serif" w:hAnsi="Times New Roman;serif"/>
          <w:b w:val="false"/>
          <w:color w:val="000000"/>
          <w:sz w:val="22"/>
          <w:u w:val="single"/>
        </w:rPr>
        <w:t>b</w:t>
      </w:r>
      <w:r>
        <w:rPr>
          <w:rFonts w:ascii="Times New Roman;serif" w:hAnsi="Times New Roman;serif"/>
          <w:b w:val="false"/>
          <w:color w:val="000000"/>
          <w:sz w:val="22"/>
        </w:rPr>
        <w:t>) of this definition and is subject to consolidated supervision with its parent.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Electronic Record</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u w:val="single"/>
        </w:rPr>
        <w:t>Electronic Signature</w:t>
      </w:r>
      <w:r>
        <w:rPr>
          <w:color w:val="000000"/>
        </w:rPr>
        <w:t xml:space="preserve">” </w:t>
      </w:r>
      <w:r>
        <w:rPr>
          <w:rFonts w:ascii="Times New Roman;serif" w:hAnsi="Times New Roman;serif"/>
          <w:b w:val="false"/>
          <w:color w:val="000000"/>
          <w:sz w:val="22"/>
        </w:rPr>
        <w:t>shall have the meanings assigned to them, respectively, by 15 USC §7006, as it may be amended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Eligible Assignee</w:t>
      </w:r>
      <w:r>
        <w:rPr>
          <w:color w:val="000000"/>
        </w:rPr>
        <w:t xml:space="preserve">” </w:t>
      </w:r>
      <w:r>
        <w:rPr>
          <w:rFonts w:ascii="Times New Roman;serif" w:hAnsi="Times New Roman;serif"/>
          <w:b w:val="false"/>
          <w:color w:val="000000"/>
          <w:sz w:val="22"/>
        </w:rPr>
        <w:t xml:space="preserve">means any Person that meets the requirements to be an assignee under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 xml:space="preserve">(subject to such consents, if any, as may be required under </w:t>
      </w:r>
      <w:r>
        <w:rPr>
          <w:rFonts w:ascii="Times New Roman;serif" w:hAnsi="Times New Roman;serif"/>
          <w:b w:val="false"/>
          <w:color w:val="000000"/>
          <w:sz w:val="22"/>
          <w:u w:val="single"/>
        </w:rPr>
        <w:t>Section 11.06(b)(iii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Environment</w:t>
      </w:r>
      <w:r>
        <w:rPr>
          <w:color w:val="000000"/>
        </w:rPr>
        <w:t xml:space="preserve">” </w:t>
      </w:r>
      <w:r>
        <w:rPr>
          <w:rFonts w:ascii="Times New Roman;serif" w:hAnsi="Times New Roman;serif"/>
          <w:b w:val="false"/>
          <w:color w:val="000000"/>
          <w:sz w:val="22"/>
        </w:rPr>
        <w:t>means ambient air, indoor air, surface water, groundwater, drinking water, soil, surface and subsurface strata, and natural resources such as wetland, flora and fauna.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Environmental Laws</w:t>
      </w:r>
      <w:r>
        <w:rPr>
          <w:color w:val="000000"/>
        </w:rPr>
        <w:t xml:space="preserve">” </w:t>
      </w:r>
      <w:r>
        <w:rPr>
          <w:rFonts w:ascii="Times New Roman;serif" w:hAnsi="Times New Roman;serif"/>
          <w:b w:val="false"/>
          <w:color w:val="000000"/>
          <w:sz w:val="22"/>
        </w:rPr>
        <w:t>means any and all federal, state, local, and foreign statutes, laws, regulations, governmental standards, ordinances, rules, judgments, court or governmental interpretations, orders, decrees, permits, concessions, grants, franchises, licenses, agreements or governmental restrictions relating to pollution or the protection of the Environment or public health (to the extent related to exposure to Hazardous Materials), including those related to Hazardous Materials or wastes, air emissions and discharges to waste or public systems.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Environmental Liability</w:t>
      </w:r>
      <w:r>
        <w:rPr>
          <w:color w:val="000000"/>
        </w:rPr>
        <w:t xml:space="preserve">” </w:t>
      </w:r>
      <w:r>
        <w:rPr>
          <w:rFonts w:ascii="Times New Roman;serif" w:hAnsi="Times New Roman;serif"/>
          <w:b w:val="false"/>
          <w:color w:val="000000"/>
          <w:sz w:val="22"/>
        </w:rPr>
        <w:t>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Environmental Permit</w:t>
      </w:r>
      <w:r>
        <w:rPr>
          <w:color w:val="000000"/>
        </w:rPr>
        <w:t xml:space="preserve">” </w:t>
      </w:r>
      <w:r>
        <w:rPr>
          <w:rFonts w:ascii="Times New Roman;serif" w:hAnsi="Times New Roman;serif"/>
          <w:b w:val="false"/>
          <w:color w:val="000000"/>
          <w:sz w:val="22"/>
        </w:rPr>
        <w:t>means any permit, certification, registration, approval, identification number, license or other authorization required under any Environmental Law.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Equity Interests</w:t>
      </w:r>
      <w:r>
        <w:rPr>
          <w:color w:val="000000"/>
        </w:rPr>
        <w:t xml:space="preserve">” </w:t>
      </w:r>
      <w:r>
        <w:rPr>
          <w:rFonts w:ascii="Times New Roman;serif" w:hAnsi="Times New Roman;serif"/>
          <w:b w:val="false"/>
          <w:color w:val="000000"/>
          <w:sz w:val="22"/>
        </w:rPr>
        <w:t xml:space="preserve">means, with respect to any Person, (i) all of the shares of capital stock of (or other ownership or profit interests in) such Person, all of the warrants, options or other rights for the purchase or acquisition from such Person of shares of capital stock of (or other ownership or profit interests in) such Person, (ii) all of the securities convertible into or exchangeable for shares of capital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701675"/>
                <wp:effectExtent l="0" t="0" r="0" b="0"/>
                <wp:wrapNone/>
                <wp:docPr id="160" name="Frame15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stock of (or other ownership or profit interests in) such Person or warrants, rights or options for the purchase or acquisition from such Person of such shares (or such other interests), and (iii)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Permitted Convertible Indebtedness, other debt securities that are or by their terms may be convertible or exchangeable into or for Qualified Equity Interests (or into or for any combination cash and Qualified Equity Interests by reference to the price of such Qualified Equity Interests) nor any Permitted Warrant Transactions, in each case, shall constitute Equity Interests of the Parent prior to settlement, conversion, exchange or exercise thereof into or for securities that would otherwise constitute Equity Interests under this definition.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 as amended, and the rules and regulations promulgated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ERISA Affiliate</w:t>
      </w:r>
      <w:r>
        <w:rPr>
          <w:color w:val="000000"/>
        </w:rPr>
        <w:t xml:space="preserve">” </w:t>
      </w:r>
      <w:r>
        <w:rPr>
          <w:rFonts w:ascii="Times New Roman;serif" w:hAnsi="Times New Roman;serif"/>
          <w:b w:val="false"/>
          <w:color w:val="000000"/>
          <w:sz w:val="22"/>
        </w:rPr>
        <w:t>means any trade or business (whether or not incorporated) under common control with any Loan Party within the meaning of Sections 414(b) or (c) of the Code (and Sections 414(m) and (o) of the Code for purposes of provisions relating to Section 412 of the Code).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ERISA Event</w:t>
      </w:r>
      <w:r>
        <w:rPr>
          <w:color w:val="000000"/>
        </w:rPr>
        <w:t xml:space="preserve">” </w:t>
      </w:r>
      <w:r>
        <w:rPr>
          <w:rFonts w:ascii="Times New Roman;serif" w:hAnsi="Times New Roman;serif"/>
          <w:b w:val="false"/>
          <w:color w:val="000000"/>
          <w:sz w:val="22"/>
        </w:rPr>
        <w:t>means (a) a Reportable Event with respect to a Pension Plan; (b) the withdrawal of any Loan Party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any Loan Party or any ERISA Affiliate from a Multiemployer Plan or notification that a Multiemployer Plan is insolvent;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any Loan Party or any ERISA Affiliate or; (i) a failure by any Loan Party or any ERISA Affiliate to meet all applicable requirements under the Pension Funding Rules in respect of a Pension Plan, if not waived, or the failure by any Loan Party or any ERISA Affiliate to make any required contribution to a Multiemployer Plan.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Erroneous Payment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9.13(a)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Erroneous Payment Deficiency Assignment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9.13(d)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Erroneous Payment Impacted Class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9.13(d)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Erroneous Payment Return Deficiency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9.13(d)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Erroneous Payment Subrogation Rights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9.13(e)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EU Bail</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In Legislation Schedule</w:t>
      </w:r>
      <w:r>
        <w:rPr>
          <w:color w:val="000000"/>
        </w:rPr>
        <w:t xml:space="preserve">” </w:t>
      </w:r>
      <w:r>
        <w:rPr>
          <w:rFonts w:ascii="Times New Roman;serif" w:hAnsi="Times New Roman;serif"/>
          <w:b w:val="false"/>
          <w:color w:val="000000"/>
          <w:sz w:val="22"/>
        </w:rPr>
        <w:t>means the EU Bail-In Legislation Schedule published by the Loan Market Association (or any successor person), as in effect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Event of Default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8.01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Excluded Accounts</w:t>
      </w:r>
      <w:r>
        <w:rPr>
          <w:color w:val="000000"/>
        </w:rPr>
        <w:t xml:space="preserve">” </w:t>
      </w:r>
      <w:r>
        <w:rPr>
          <w:rFonts w:ascii="Times New Roman;serif" w:hAnsi="Times New Roman;serif"/>
          <w:b w:val="false"/>
          <w:color w:val="000000"/>
          <w:sz w:val="22"/>
        </w:rPr>
        <w:t xml:space="preserve">means (a) payroll accounts, healthcare and other employee wage and benefit accounts, (b) tax accounts, including sales tax and withholding tax accounts, (c) fiduciary, trust escrow, defeasance and redemption accounts, in each case of the foregoing, in respect of arrangements with third parties that are not Loan Parties or Subsidiaries, (d) worker’s compensation, customs accounts, customer cash accounts, trust and tax withholding which are funded by the Loan Parties in the ordinary course of business or as is required by Applicable Law, (e) Government Receivables Deposit Accounts (if any), (f) zero-balance accounts, (g) deposit accounts from which amounts on deposit therein are swept on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701675"/>
                <wp:effectExtent l="0" t="0" r="0" b="0"/>
                <wp:wrapNone/>
                <wp:docPr id="161" name="Frame16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 daily or weekly basis into a deposit account of the Loan Parties maintained with Administrative Agent or which are otherwise subject to a Qualifying Control Agreement or (g) other deposit accounts and securities accounts, so long as at any time the aggregate balance in all such accounts does not exceed $5,000,000 on a rolling 30-day average basis.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Excluded Property</w:t>
      </w:r>
      <w:r>
        <w:rPr>
          <w:color w:val="000000"/>
        </w:rPr>
        <w:t xml:space="preserve">” </w:t>
      </w:r>
      <w:r>
        <w:rPr>
          <w:rFonts w:ascii="Times New Roman;serif" w:hAnsi="Times New Roman;serif"/>
          <w:b w:val="false"/>
          <w:color w:val="000000"/>
          <w:sz w:val="22"/>
        </w:rPr>
        <w:t>means, with respect to any Loan Party: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any leasehold or sub-leasehold interest (including any ground lease interest) in real property;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any owned real property not constituting Material Real Property;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any fixtures affixed to any real property to the extent such real property does not constitute Material Real Property or to the extent a security interest therein cannot be perfected by the filing of a UCC-1 financing statement in the jurisdiction of organization (or other location of a Loan Party under Section 9-307 of the UCC) of the applicable Loan Party;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any Intellectual Property for which a perfected Lien thereon is not effected either by filing of a UCC financing statement or by appropriate evidence of such Lien being filed in either the United States Copyright Office or the United States Patent and Trademark Office;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the Equity Interests of any Subsidiary that is a CFC or a CFC Holdco of any Loan Party in excess of (i) 65% (or such greater percentage that would not reasonably be expected to result in a material adverse U.S. tax consequence for the Parent and its Subsidiaries, taken as whole, pursuant to Section 956 of the Code or otherwise (as determined in good faith by the Borrower)) of the issued and outstanding Equity Interests entitled to vote (within the meaning of Treas. Reg. Section 1.956-2(c)(2)) and (ii) 100% of the issued and outstanding Equity Interests not entitled to vote (within the meaning of Treas. Reg. Section 1.956-2(c)(2));</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motor vehicles, aircraft and other assets subject to certificates of title or ownership (including, without limitation, aircraft, airframes, aircraft engines or helicopters, or any equipment or other assets constituting a part thereof and rolling stock) in each case, to the extent a security interest therein cannot be perfected by the filing of a UCC-1 financing statement in the jurisdiction of organization (or other location of a Loan Party under Section 9-307 of the UCC) of the applicable Loan Party;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(g)    any asset (including, to the extent applicable, any Equity Interests, equipment or inventory owned by a Loan Party that is subject to a Permitted Lien) together with any rights or interests therein, or any lease, license, franchise, charter, authorization, contract or agreement to which any Loan Party is a party, together with any rights or interest thereunder, in each case, if and to the extent security interests therein (i) are prohibited by or in violation of any Applicable Law, (ii) require any governmental (including regulatory) consent, approval, license or authorization that has not been obtained or consent of a third party (other than Parent or any of its Subsidiaries) that has not been obtained pursuant to any contract or agreement binding on such asset on the Closing Date or at the time of its Acquisition (and to the extent such restriction or prohibition was not entered into in contemplation of the Closing Date or for the purpose of creating such prohibition or restriction to exclude such asset as Collateral) or (iii) are prohibited by or in violation of a term, provision or condition of any lease, license, franchise, charter, authorization, contract or agreement to which such Loan Party is a party and binding on such asset on the Closing Date or at the time of its Acquisition (and to the extent such restriction or prohibition was not entered into in contemplation of the Closing Date or for the purpose of creating such prohibition or restriction to exclude such asset as Collateral), except, in the case of each of the foregoing clauses (i), (ii), and (iii), to the extent that such prohibition or restriction would be rendered ineffective under the applicable anti-assignment provisions of the UCC or any other Applicable Law;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notwithstanding the foregoing, the Collateral shall include, at such time as the contractual or legal prohibition shall no longer be applicable (or consent is obtained), the portion of such asset, right, interest, lease, license, franchise, charter, authorization, contract or agreement not subject to the restrictions or prohibitions specified in clauses (i), (ii), or (iii) above;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the Excluded Assets referred to in this clause (g) shall not include any proceeds or receivables of any such asset, right,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701675"/>
                <wp:effectExtent l="0" t="0" r="0" b="0"/>
                <wp:wrapNone/>
                <wp:docPr id="162" name="Frame16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lease, license, franchise, charter, authorization, contract or agreement, the collateral assignment of such proceeds or receivables is expressly deemed effective under Applicable Law notwithstanding such restriction or prohibition on such asset, right, interest, lease, license, franchise, charter, authorization, contract or agreement (except to the extent such proceeds or receivables constitute Excluded Assets);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margin stock;</w:t>
      </w:r>
    </w:p>
    <w:p>
      <w:pPr>
        <w:pStyle w:val="TextBody"/>
        <w:bidi w:val="0"/>
        <w:spacing w:lineRule="auto" w:line="240" w:before="0" w:after="240"/>
        <w:ind w:left="0" w:right="0" w:firstLine="720"/>
        <w:jc w:val="both"/>
        <w:rPr/>
      </w:pPr>
      <w:r>
        <w:rPr>
          <w:rFonts w:ascii="Times New Roman;serif" w:hAnsi="Times New Roman;serif"/>
          <w:b w:val="false"/>
          <w:color w:val="000000"/>
          <w:sz w:val="22"/>
        </w:rPr>
        <w:t>(i)    any Equity Interests of any Person that is not a direct wholly-owned Subsidiary of the Borrower or any other Loan Party to the extent and for so long as the joint venture agreement or other Organization Documents of such Person prohibit or restrict the pledge of such Equity Interests (so long as such prohibition exists on the Closing Date or at the time such Equity Interests are acquired, and to the extent such restriction or prohibition was not entered into in contemplation of the Closing Date or such acquisition (in each case, except to the extent that any such prohibition would be rendered ineffective under the UCC or any other Applicable Law));</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    any particular asset, if the pledge thereof or the security interest therein could reasonably be expected to result in material adverse tax consequences to the Parent and its Subsidiaries, taken as a whole, as reasonably determined in good faith by the Borrower in consultation with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    any “intent-to-use” trademark applications prior to the filing and acceptance of a “Statement of Use” pursuant to Section 1(d) of the Lanham Act or an “Amendment to Allege Use” pursuant to Section 1(c) of the Lanham Act with respect thereto, to the extent that, and solely during the period, if any, in which, the grant of a security interest therein would impair the validity or enforceability of any registration that issues from such intent-to-use application under applicable federal law (it being understood that after such period such intent-to-use application shall be automatically subject to the security interest granted herein and deemed to be included in the Collateral);</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    any asset as to which the Borrower and the Administrative Agent mutually determine that the cost of obtaining, perfecting or maintaining a security interest therein is excessive in relation to the value of the security to the Administrative Agent and the Lenders to be afforded thereby;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    any assets of any Subsidiary that is not (and is not required to be) a Loan Party;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    letter-of-credit rights except to the extent a security interest therein can be perfected by the filing of a UCC financing statement;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    all Commercial Tort Claims where the amount of damages reasonably expected to be realized by the applicable Loan Party in such commercial tort claim (as determined by the Borrower in good faith) is not in excess of $10,000,000;</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    Equity Interests in any Immaterial Subsidiaries or Health Plan Subsidiaries;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(q)    Excluded Accounts; </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(x) Excluded Property shall not include any Proceeds, products, substitutions or replacements of any Excluded Property referred to in clauses (a) through (q) (unless such Proceeds, substitutions or replacements would independently constitute Excluded Property referred to in clauses (a) through (q)) and (y) to the extent any such item at any time ceases to satisfy the criteria for Excluded Asset (whether as a result of the applicable Loan Party obtaining any necessary consent, any change in any rule of law, statute or regulation, or otherwise), such item shall no longer be an Excluded Asset (and shall automatically be subject to the Lien and security interest granted pursuant to the terms and conditions of this Agreement and the Collateral Documents, and shall constitute Collateral).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in the Loan Documents to the contrary, no Loan Party will be required to (i) take any action outside of the United States to grant or perfect a security interest in any asset located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701675"/>
                <wp:effectExtent l="0" t="0" r="0" b="0"/>
                <wp:wrapNone/>
                <wp:docPr id="163" name="Frame16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outside of the United States or (ii) execute any security agreement, pledge agreement, deed, charge or other collateral document governed by the laws of any jurisdiction other than the United States or any states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Excluded Subsidiary</w:t>
      </w:r>
      <w:r>
        <w:rPr>
          <w:color w:val="000000"/>
        </w:rPr>
        <w:t xml:space="preserve">” </w:t>
      </w:r>
      <w:r>
        <w:rPr>
          <w:rFonts w:ascii="Times New Roman;serif" w:hAnsi="Times New Roman;serif"/>
          <w:b w:val="false"/>
          <w:color w:val="000000"/>
          <w:sz w:val="22"/>
        </w:rPr>
        <w:t>means, collectively: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any Immaterial Subsidiary;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any Subsidiary that is a CFC or a CFC Holdco to the extent a guarantee of the Secured Obligations by such Subsidiary would reasonably be expected to result in a material adverse U.S. Tax consequence for the Parent and its Subsidiaries, taken as a whole, pursuant to Section 956 of the Code or otherwise (as determined in good faith by the Borrower), and any Subsidiary thereof;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any Subsidiary solely to the extent (and only for so long as such prohibition, restriction of requirement is in effect) the guarantee by such Subsidiary of the Secured Obligations is prohibited (i) by Applicable Law or (ii) by Contractual Obligation existing on the Closing Date (or, in the case of any newly acquired Subsidiary, in existence at the time of Acquisition but not entered into in contemplation thereof) from guaranteeing the Obligations;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any Subsidiary solely to the extent guaranteeing the Secured Obligations would (and for so long as it would) require governmental (including regulatory) or third party consent, approval, license or authorization (unless such consent, approval, license or authorization has been obtained);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any Health Plan Subsidiary and any other Regulated Insurance Subsidiary;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any captive insurance Subsidiaries;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(g)    any not-for-profit Subsidiaries;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any Joint Venture;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any other Subsidiary with respect to which the Borrower and the Administrative Agent mutually determine that the burden or cost of obtaining a guarantee of the Secured Obligations by such Subsidiary would be excessive in light of the benefits to the Administrative Agent and the Lenders therefrom.</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notwithstanding anything to the contrary contained herein, (x) any Subsidiary (other than a Health Plan Subsidiary or Regulated Insurance Subsidiary) that is party to any Management Services Document or any Health Plan Subsidiary Management Agreement with any Managed Company or any Health Plan Subsidiary, as the case may be, shall not be an Excluded Subsidiary and (y) in no event shall any Excluded Subsidiary own or otherwise have an exclusive license or any other exclusive rights to use (or owns or controls the Equity Interests of any Person that owns, exclusively licenses or otherwise has other exclusive rights to use) any Intellectual Property that is material to the operation of the Loan Parties and their Subsidiaries (including, without limitation, any Management Services Documents or any Health Plan Subsidiary Management Agreement with any Health Plan Subsidiary or any Managed Company, as the case may be).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Excluded Swap Obligation</w:t>
      </w:r>
      <w:r>
        <w:rPr>
          <w:color w:val="000000"/>
        </w:rPr>
        <w:t xml:space="preserve">” </w:t>
      </w:r>
      <w:r>
        <w:rPr>
          <w:rFonts w:ascii="Times New Roman;serif" w:hAnsi="Times New Roman;serif"/>
          <w:b w:val="false"/>
          <w:color w:val="000000"/>
          <w:sz w:val="22"/>
        </w:rPr>
        <w:t xml:space="preserve">means, with respect to any Guarantor, any Swap Obligation if, and to the extent that, all or a portion of the Guaranty of such Guarantor of, or the grant by such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“eligible contract participant” as defined in the Commodity Exchange Act and the regulations thereunder (determined after giving effect to </w:t>
      </w:r>
      <w:r>
        <w:rPr>
          <w:rFonts w:ascii="Times New Roman;serif" w:hAnsi="Times New Roman;serif"/>
          <w:b w:val="false"/>
          <w:color w:val="000000"/>
          <w:sz w:val="22"/>
          <w:u w:val="single"/>
        </w:rPr>
        <w:t>Section 10.11</w:t>
      </w:r>
      <w:r>
        <w:rPr>
          <w:color w:val="000000"/>
        </w:rPr>
        <w:t xml:space="preserve"> </w:t>
      </w:r>
      <w:r>
        <w:rPr>
          <w:rFonts w:ascii="Times New Roman;serif" w:hAnsi="Times New Roman;serif"/>
          <w:b w:val="false"/>
          <w:color w:val="000000"/>
          <w:sz w:val="22"/>
        </w:rPr>
        <w:t xml:space="preserve">and any other “keepwell”, support or other agreement for the benefit of such Guarantor and any and all guarantees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701675"/>
                <wp:effectExtent l="0" t="0" r="0" b="0"/>
                <wp:wrapNone/>
                <wp:docPr id="164" name="Frame16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Guarantor’s Swap Obligations by other Loan Parties) at the time the Guaranty of such Guarantor, or grant by such Guarantor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Excluded Taxes</w:t>
      </w:r>
      <w:r>
        <w:rPr>
          <w:color w:val="000000"/>
        </w:rPr>
        <w:t xml:space="preserve">” </w:t>
      </w:r>
      <w:r>
        <w:rPr>
          <w:rFonts w:ascii="Times New Roman;serif" w:hAnsi="Times New Roman;serif"/>
          <w:b w:val="false"/>
          <w:color w:val="000000"/>
          <w:sz w:val="22"/>
        </w:rPr>
        <w:t xml:space="preserve">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serif" w:hAnsi="Times New Roman;serif"/>
          <w:b w:val="false"/>
          <w:color w:val="000000"/>
          <w:sz w:val="22"/>
          <w:u w:val="single"/>
        </w:rPr>
        <w:t>Section 11.13</w:t>
      </w:r>
      <w:r>
        <w:rPr>
          <w:rFonts w:ascii="Times New Roman;serif" w:hAnsi="Times New Roman;serif"/>
          <w:b w:val="false"/>
          <w:color w:val="000000"/>
          <w:sz w:val="22"/>
        </w:rPr>
        <w:t xml:space="preserve">) or (ii) such Lender changes its Lending Office, except in each case to the extent that,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serif" w:hAnsi="Times New Roman;serif"/>
          <w:b w:val="false"/>
          <w:color w:val="000000"/>
          <w:sz w:val="22"/>
          <w:u w:val="single"/>
        </w:rPr>
        <w:t>Section 3.01(f</w:t>
      </w:r>
      <w:r>
        <w:rPr>
          <w:rFonts w:ascii="Times New Roman;serif" w:hAnsi="Times New Roman;serif"/>
          <w:b w:val="false"/>
          <w:color w:val="000000"/>
          <w:sz w:val="22"/>
        </w:rPr>
        <w:t>) and (d) any U.S. federal withholding Taxes imposed pursuant to FATCA.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Existing Convertible Notes</w:t>
      </w:r>
      <w:r>
        <w:rPr>
          <w:color w:val="000000"/>
        </w:rPr>
        <w:t xml:space="preserve">” </w:t>
      </w:r>
      <w:r>
        <w:rPr>
          <w:rFonts w:ascii="Times New Roman;serif" w:hAnsi="Times New Roman;serif"/>
          <w:b w:val="false"/>
          <w:color w:val="000000"/>
          <w:sz w:val="22"/>
        </w:rPr>
        <w:t>means the 4.25% Convertible Senior Notes with a scheduled maturity date of November 15, 2029 issued by the Parent under that certain Indenture dated as of November 22, 2024 between the Parent and U.S. Bank Trust Company, National Association, as trustee, and supplements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Existing Term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2.16(g)(ii)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Facility Termination Date</w:t>
      </w:r>
      <w:r>
        <w:rPr>
          <w:color w:val="000000"/>
        </w:rPr>
        <w:t xml:space="preserve">” </w:t>
      </w:r>
      <w:r>
        <w:rPr>
          <w:rFonts w:ascii="Times New Roman;serif" w:hAnsi="Times New Roman;serif"/>
          <w:b w:val="false"/>
          <w:color w:val="000000"/>
          <w:sz w:val="22"/>
        </w:rPr>
        <w:t>means the date as of which all of the following shall have occurred: (a) the Aggregate Commitments have terminated, (b) all Obligations have been paid in full (other than contingent indemnification obligations), and (c) all Letters of Credit have been terminated, cancelled or expired (other than Letters of Credit as to which other arrangements with respect thereto satisfactory to the Administrative Agent and the applicable L/C Issuer shall have been made).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FASB ASC</w:t>
      </w:r>
      <w:r>
        <w:rPr>
          <w:color w:val="000000"/>
        </w:rPr>
        <w:t xml:space="preserve">” </w:t>
      </w:r>
      <w:r>
        <w:rPr>
          <w:rFonts w:ascii="Times New Roman;serif" w:hAnsi="Times New Roman;serif"/>
          <w:b w:val="false"/>
          <w:color w:val="000000"/>
          <w:sz w:val="22"/>
        </w:rPr>
        <w:t>means the Accounting Standards Codification of the Financial Accounting Standards Board.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FATCA</w:t>
      </w:r>
      <w:r>
        <w:rPr>
          <w:color w:val="000000"/>
        </w:rPr>
        <w:t xml:space="preserve">” </w:t>
      </w:r>
      <w:r>
        <w:rPr>
          <w:rFonts w:ascii="Times New Roman;serif" w:hAnsi="Times New Roman;serif"/>
          <w:b w:val="false"/>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(or any amended or successor version described above), and any intergovernmental agreement (and related fiscal or regulatory legislation, or related official rules or practices) implementing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Federal Funds Rate</w:t>
      </w:r>
      <w:r>
        <w:rPr>
          <w:color w:val="000000"/>
        </w:rPr>
        <w:t xml:space="preserve">” </w:t>
      </w:r>
      <w:r>
        <w:rPr>
          <w:rFonts w:ascii="Times New Roman;serif" w:hAnsi="Times New Roman;serif"/>
          <w:b w:val="false"/>
          <w:color w:val="000000"/>
          <w:sz w:val="22"/>
        </w:rPr>
        <w:t xml:space="preserve">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if the Federal Funds Rate as so determined would be less than zero, such rate shall be deemed to be zero for the purposes of this Agreement. </w:t>
      </w:r>
    </w:p>
    <w:p>
      <w:pPr>
        <w:pStyle w:val="TextBody"/>
        <w:bidi w:val="0"/>
        <w:spacing w:lineRule="auto" w:line="240" w:before="280" w:after="240"/>
        <w:ind w:left="0" w:right="0" w:firstLine="720"/>
        <w:jc w:val="both"/>
        <w:rPr/>
      </w:pPr>
      <w:r>
        <w:rPr>
          <w:color w:val="000000"/>
        </w:rPr>
        <w:t>“</w:t>
      </w:r>
      <w:r>
        <w:rPr>
          <w:rFonts w:ascii="Times New Roman;serif" w:hAnsi="Times New Roman;serif"/>
          <w:b w:val="false"/>
          <w:i/>
          <w:color w:val="000000"/>
          <w:sz w:val="22"/>
          <w:u w:val="single"/>
        </w:rPr>
        <w:t>Federal Health Care Program</w:t>
      </w:r>
      <w:r>
        <w:rPr>
          <w:color w:val="000000"/>
        </w:rPr>
        <w:t xml:space="preserve">” </w:t>
      </w:r>
      <w:r>
        <w:rPr>
          <w:rFonts w:ascii="Times New Roman;serif" w:hAnsi="Times New Roman;serif"/>
          <w:b w:val="false"/>
          <w:color w:val="000000"/>
          <w:sz w:val="22"/>
        </w:rPr>
        <w:t>has the meaning as set forth at 42 U.S.C. § 1320a-7b(f).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Fee Letter</w:t>
      </w:r>
      <w:r>
        <w:rPr>
          <w:color w:val="000000"/>
        </w:rPr>
        <w:t xml:space="preserve">” </w:t>
      </w:r>
      <w:r>
        <w:rPr>
          <w:rFonts w:ascii="Times New Roman;serif" w:hAnsi="Times New Roman;serif"/>
          <w:b w:val="false"/>
          <w:color w:val="000000"/>
          <w:sz w:val="22"/>
        </w:rPr>
        <w:t>means that certain letter agreement, dated February 5, 2026, among the Borrower, the Administrative Agent and the Lead Arranger.</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701675"/>
                <wp:effectExtent l="0" t="0" r="0" b="0"/>
                <wp:wrapNone/>
                <wp:docPr id="165" name="Frame16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Flood Insurance Laws</w:t>
      </w:r>
      <w:r>
        <w:rPr>
          <w:color w:val="000000"/>
        </w:rPr>
        <w:t xml:space="preserve">” </w:t>
      </w:r>
      <w:r>
        <w:rPr>
          <w:rFonts w:ascii="Times New Roman;serif" w:hAnsi="Times New Roman;serif"/>
          <w:b w:val="false"/>
          <w:color w:val="000000"/>
          <w:sz w:val="22"/>
        </w:rPr>
        <w:t>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and (v) the Biggert –Waters Flood Insurance Reform Act of 2012, as now or hereafter in effect or any successor statute thereto, in each case, together with all statutory and regulatory provisions consolidating, amending, replacing, supplementing, implementing or interpreting any of the foregoing, as amended or modified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Foreign Lender</w:t>
      </w:r>
      <w:r>
        <w:rPr>
          <w:color w:val="000000"/>
        </w:rPr>
        <w:t xml:space="preserve">” </w:t>
      </w:r>
      <w:r>
        <w:rPr>
          <w:rFonts w:ascii="Times New Roman;serif" w:hAnsi="Times New Roman;serif"/>
          <w:b w:val="false"/>
          <w:color w:val="000000"/>
          <w:sz w:val="22"/>
        </w:rPr>
        <w:t>means</w:t>
      </w:r>
      <w:r>
        <w:rPr>
          <w:color w:val="7030A0"/>
        </w:rPr>
        <w:t xml:space="preserve"> </w:t>
      </w:r>
      <w:r>
        <w:rPr>
          <w:rFonts w:ascii="Times New Roman;serif" w:hAnsi="Times New Roman;serif"/>
          <w:b w:val="false"/>
          <w:color w:val="000000"/>
          <w:sz w:val="22"/>
        </w:rPr>
        <w:t>(a)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Foreign Subsidiary</w:t>
      </w:r>
      <w:r>
        <w:rPr>
          <w:color w:val="000000"/>
        </w:rPr>
        <w:t xml:space="preserve">” </w:t>
      </w:r>
      <w:r>
        <w:rPr>
          <w:rFonts w:ascii="Times New Roman;serif" w:hAnsi="Times New Roman;serif"/>
          <w:b w:val="false"/>
          <w:color w:val="000000"/>
          <w:sz w:val="22"/>
        </w:rPr>
        <w:t>means any Subsidiary that is not a Domestic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FRB</w:t>
      </w:r>
      <w:r>
        <w:rPr>
          <w:color w:val="000000"/>
        </w:rPr>
        <w:t xml:space="preserve">” </w:t>
      </w:r>
      <w:r>
        <w:rPr>
          <w:rFonts w:ascii="Times New Roman;serif" w:hAnsi="Times New Roman;serif"/>
          <w:b w:val="false"/>
          <w:color w:val="000000"/>
          <w:sz w:val="22"/>
        </w:rPr>
        <w:t>means the Board of Governors of the Federal Reserve System of the United States.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Fronting Exposure</w:t>
      </w:r>
      <w:r>
        <w:rPr>
          <w:color w:val="000000"/>
        </w:rPr>
        <w:t xml:space="preserve">” </w:t>
      </w:r>
      <w:r>
        <w:rPr>
          <w:rFonts w:ascii="Times New Roman;serif" w:hAnsi="Times New Roman;serif"/>
          <w:b w:val="false"/>
          <w:color w:val="000000"/>
          <w:sz w:val="22"/>
        </w:rPr>
        <w:t>means, at any time there is a Defaulting Lender that is a Revolving Lender, (a) with respect to any L/C Issuer, such Defaulting Lender’s Applicable Percentage of the outstanding L/C Obligations with respect to Letters of Credit issued by such L/C Issuer other than L/C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Fund</w:t>
      </w:r>
      <w:r>
        <w:rPr>
          <w:color w:val="000000"/>
        </w:rPr>
        <w:t xml:space="preserve">” </w:t>
      </w:r>
      <w:r>
        <w:rPr>
          <w:rFonts w:ascii="Times New Roman;serif" w:hAnsi="Times New Roman;serif"/>
          <w:b w:val="false"/>
          <w:color w:val="000000"/>
          <w:sz w:val="22"/>
        </w:rPr>
        <w:t>means any Person (other than a natural Person) that is (or will be) engaged in making, purchasing, holding or otherwise investing in commercial loans and similar extensions of credit in the ordinary course of its activities.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Funding Indemnity Letter</w:t>
      </w:r>
      <w:r>
        <w:rPr>
          <w:color w:val="000000"/>
        </w:rPr>
        <w:t xml:space="preserve">” </w:t>
      </w:r>
      <w:r>
        <w:rPr>
          <w:rFonts w:ascii="Times New Roman;serif" w:hAnsi="Times New Roman;serif"/>
          <w:b w:val="false"/>
          <w:color w:val="000000"/>
          <w:sz w:val="22"/>
        </w:rPr>
        <w:t xml:space="preserve">means a funding indemnity letter, substantially in the form of </w:t>
      </w:r>
      <w:r>
        <w:rPr>
          <w:rFonts w:ascii="Times New Roman;serif" w:hAnsi="Times New Roman;serif"/>
          <w:b w:val="false"/>
          <w:color w:val="000000"/>
          <w:sz w:val="22"/>
          <w:u w:val="single"/>
        </w:rPr>
        <w:t>Exhibit 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GAAP</w:t>
      </w:r>
      <w:r>
        <w:rPr>
          <w:color w:val="000000"/>
        </w:rPr>
        <w:t xml:space="preserve">” </w:t>
      </w:r>
      <w:r>
        <w:rPr>
          <w:rFonts w:ascii="Times New Roman;serif" w:hAnsi="Times New Roman;serif"/>
          <w:b w:val="false"/>
          <w:color w:val="000000"/>
          <w:sz w:val="22"/>
        </w:rPr>
        <w:t xml:space="preserve">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Times New Roman;serif" w:hAnsi="Times New Roman;serif"/>
          <w:b w:val="false"/>
          <w:color w:val="000000"/>
          <w:sz w:val="22"/>
          <w:u w:val="single"/>
        </w:rPr>
        <w:t>Section 1.03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Government Account Debtor</w:t>
      </w:r>
      <w:r>
        <w:rPr>
          <w:color w:val="000000"/>
        </w:rPr>
        <w:t xml:space="preserve">” </w:t>
      </w:r>
      <w:r>
        <w:rPr>
          <w:rFonts w:ascii="Times New Roman;serif" w:hAnsi="Times New Roman;serif"/>
          <w:b w:val="false"/>
          <w:color w:val="000000"/>
          <w:sz w:val="22"/>
        </w:rPr>
        <w:t xml:space="preserve">means the United States government or a political subdivision thereof, or any state, county or municipality or department, agency or instrumentality thereof, that is responsible for payment of an Account under any Government Reimbursement Program, or any agent, administrator, administrative contractor, intermediary or carrier for the foregoing.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Government Receivable</w:t>
      </w:r>
      <w:r>
        <w:rPr>
          <w:color w:val="000000"/>
        </w:rPr>
        <w:t xml:space="preserve">” </w:t>
      </w:r>
      <w:r>
        <w:rPr>
          <w:rFonts w:ascii="Times New Roman;serif" w:hAnsi="Times New Roman;serif"/>
          <w:b w:val="false"/>
          <w:color w:val="000000"/>
          <w:sz w:val="22"/>
        </w:rPr>
        <w:t>means any Account that is payable by a Government Account Debtor pursuant to a Government Reimbursement Program.</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Government Receivables Deposit Account</w:t>
      </w:r>
      <w:r>
        <w:rPr>
          <w:color w:val="000000"/>
        </w:rPr>
        <w:t xml:space="preserve">” </w:t>
      </w:r>
      <w:r>
        <w:rPr>
          <w:rFonts w:ascii="Times New Roman;serif" w:hAnsi="Times New Roman;serif"/>
          <w:b w:val="false"/>
          <w:color w:val="000000"/>
          <w:sz w:val="22"/>
        </w:rPr>
        <w:t>means a deposit account the only funds on deposit in which constitute the direct proceeds of Government Receivables payments made by Government Account Debtors.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Government Reimbursement Program</w:t>
      </w:r>
      <w:r>
        <w:rPr>
          <w:color w:val="000000"/>
        </w:rPr>
        <w:t xml:space="preserve">” </w:t>
      </w:r>
      <w:r>
        <w:rPr>
          <w:rFonts w:ascii="Times New Roman;serif" w:hAnsi="Times New Roman;serif"/>
          <w:b w:val="false"/>
          <w:color w:val="000000"/>
          <w:sz w:val="22"/>
        </w:rPr>
        <w:t xml:space="preserve">means (a) Medicare, (b) Medicaid, (c) the Federal Employees Health Benefit Program under 5 U.S.C. §§ 8902 et seq., (d) TRICARE, (e) CHAMPVA, or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701675"/>
                <wp:effectExtent l="0" t="0" r="0" b="0"/>
                <wp:wrapNone/>
                <wp:docPr id="166" name="Frame16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(f) all health benefit and payment programs that are sponsored or funded by a Governmental Authority, including Federal Health Care Programs and Center for Medicare and Medicaid Innovation models.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Governmental Authority</w:t>
      </w:r>
      <w:r>
        <w:rPr>
          <w:color w:val="000000"/>
        </w:rPr>
        <w:t xml:space="preserve">” </w:t>
      </w:r>
      <w:r>
        <w:rPr>
          <w:rFonts w:ascii="Times New Roman;serif" w:hAnsi="Times New Roman;serif"/>
          <w:b w:val="false"/>
          <w:color w:val="000000"/>
          <w:sz w:val="22"/>
        </w:rPr>
        <w:t>means any nation, government, branch of power (whether executive, legislative or judicial), state, province or municipality or other political subdivision thereof and any entity exercising executive, legislative, judicial, monetary, regulatory or administrative functions of or pertaining to government, including regulatory authorities, governmental departments, agencies, commissions, bureaus, officials, ministers, courts, bodies, boards, tribunals and dispute settlement panels, and other law, rule- or regulation-making organizations or entities of any State, territory, county, city or other political subdivision of the United States.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Guarantee</w:t>
      </w:r>
      <w:r>
        <w:rPr>
          <w:color w:val="000000"/>
        </w:rPr>
        <w:t xml:space="preserve">” </w:t>
      </w:r>
      <w:r>
        <w:rPr>
          <w:rFonts w:ascii="Times New Roman;serif" w:hAnsi="Times New Roman;serif"/>
          <w:b w:val="false"/>
          <w:color w:val="000000"/>
          <w:sz w:val="22"/>
        </w:rPr>
        <w:t xml:space="preserve">means, as to any Person, any obligation, contingent or otherwise, of such Person guaranteeing or having the economic effect of guaranteeing any Indebtedness of the kind described in </w:t>
      </w:r>
      <w:r>
        <w:rPr>
          <w:rFonts w:ascii="Times New Roman;serif" w:hAnsi="Times New Roman;serif"/>
          <w:b w:val="false"/>
          <w:color w:val="000000"/>
          <w:sz w:val="22"/>
          <w:u w:val="single"/>
        </w:rPr>
        <w:t>clauses (a</w:t>
      </w:r>
      <w:r>
        <w:rPr>
          <w:rFonts w:ascii="Times New Roman;serif" w:hAnsi="Times New Roman;serif"/>
          <w:b w:val="false"/>
          <w:color w:val="000000"/>
          <w:sz w:val="22"/>
        </w:rPr>
        <w:t>) through (</w:t>
      </w:r>
      <w:r>
        <w:rPr>
          <w:rFonts w:ascii="Times New Roman;serif" w:hAnsi="Times New Roman;serif"/>
          <w:b w:val="false"/>
          <w:color w:val="000000"/>
          <w:sz w:val="22"/>
          <w:u w:val="single"/>
        </w:rPr>
        <w:t>h</w:t>
      </w:r>
      <w:r>
        <w:rPr>
          <w:rFonts w:ascii="Times New Roman;serif" w:hAnsi="Times New Roman;serif"/>
          <w:b w:val="false"/>
          <w:color w:val="000000"/>
          <w:sz w:val="22"/>
        </w:rPr>
        <w:t>) of the definition thereof or other obligation payable or performable by another Person (the “</w:t>
      </w:r>
      <w:r>
        <w:rPr>
          <w:rFonts w:ascii="Times New Roman;serif" w:hAnsi="Times New Roman;serif"/>
          <w:b w:val="false"/>
          <w:i/>
          <w:color w:val="000000"/>
          <w:sz w:val="22"/>
          <w:u w:val="single"/>
        </w:rPr>
        <w:t>primary obligor</w:t>
      </w:r>
      <w:r>
        <w:rPr>
          <w:color w:val="000000"/>
        </w:rPr>
        <w:t>”</w:t>
      </w:r>
      <w:r>
        <w:rPr>
          <w:rFonts w:ascii="Times New Roman;serif" w:hAnsi="Times New Roman;serif"/>
          <w:b w:val="false"/>
          <w:color w:val="000000"/>
          <w:sz w:val="22"/>
        </w:rPr>
        <w:t>) in any manner, whether directly or indirectly, and including any obligation of such Person,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provided that the term “Guarantee” shall not include endorsements for collection or deposit in the ordinary course of business, or customary and reasonable indemnity obligations in effect on the Closing Date or entered into after the Closing Date, in each case, in connection with any acquisition, disposition or other transaction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serif" w:hAnsi="Times New Roman;serif"/>
          <w:b w:val="false"/>
          <w:i/>
          <w:color w:val="000000"/>
          <w:sz w:val="22"/>
          <w:u w:val="single"/>
        </w:rPr>
        <w:t>Guarantee</w:t>
      </w:r>
      <w:r>
        <w:rPr>
          <w:color w:val="000000"/>
        </w:rPr>
        <w:t xml:space="preserve">” </w:t>
      </w:r>
      <w:r>
        <w:rPr>
          <w:rFonts w:ascii="Times New Roman;serif" w:hAnsi="Times New Roman;serif"/>
          <w:b w:val="false"/>
          <w:color w:val="000000"/>
          <w:sz w:val="22"/>
        </w:rPr>
        <w:t>as a verb has a corresponding meaning.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Guaranteed Obligations</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10.01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Guarantors</w:t>
      </w:r>
      <w:r>
        <w:rPr>
          <w:color w:val="000000"/>
        </w:rPr>
        <w:t xml:space="preserve">” </w:t>
      </w:r>
      <w:r>
        <w:rPr>
          <w:rFonts w:ascii="Times New Roman;serif" w:hAnsi="Times New Roman;serif"/>
          <w:b w:val="false"/>
          <w:color w:val="000000"/>
          <w:sz w:val="22"/>
        </w:rPr>
        <w:t xml:space="preserve">means, collectively, (a) Parent, (b) Intermediate Holdings, (c) Holdings, (d) the Subsidiaries of the Parent as are or may from time to time become parties to this Agreement pursuant to </w:t>
      </w:r>
      <w:r>
        <w:rPr>
          <w:rFonts w:ascii="Times New Roman;serif" w:hAnsi="Times New Roman;serif"/>
          <w:b w:val="false"/>
          <w:color w:val="000000"/>
          <w:sz w:val="22"/>
          <w:u w:val="single"/>
        </w:rPr>
        <w:t>Section 6.13</w:t>
      </w:r>
      <w:r>
        <w:rPr>
          <w:rFonts w:ascii="Times New Roman;serif" w:hAnsi="Times New Roman;serif"/>
          <w:b w:val="false"/>
          <w:color w:val="000000"/>
          <w:sz w:val="22"/>
        </w:rPr>
        <w:t xml:space="preserve">, and (e) with respect to Additional Secured Obligations owing by any Loan Party or any of its Subsidiaries and any Swap Obligation of a Specified Loan Party (determined before giving effect to </w:t>
      </w:r>
      <w:r>
        <w:rPr>
          <w:rFonts w:ascii="Times New Roman;serif" w:hAnsi="Times New Roman;serif"/>
          <w:b w:val="false"/>
          <w:color w:val="000000"/>
          <w:sz w:val="22"/>
          <w:u w:val="single"/>
        </w:rPr>
        <w:t>Sections 10.01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10.11</w:t>
      </w:r>
      <w:r>
        <w:rPr>
          <w:rFonts w:ascii="Times New Roman;serif" w:hAnsi="Times New Roman;serif"/>
          <w:b w:val="false"/>
          <w:color w:val="000000"/>
          <w:sz w:val="22"/>
        </w:rPr>
        <w:t>) under the Guaranty, the Borrower. For the avoidance of doubt, Managed Companies, Health Plan Subsidiaries and Regulated Insurance Subsidiaries shall not be required to be Guarantors.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Guaranty</w:t>
      </w:r>
      <w:r>
        <w:rPr>
          <w:color w:val="000000"/>
        </w:rPr>
        <w:t xml:space="preserve">” </w:t>
      </w:r>
      <w:r>
        <w:rPr>
          <w:rFonts w:ascii="Times New Roman;serif" w:hAnsi="Times New Roman;serif"/>
          <w:b w:val="false"/>
          <w:color w:val="000000"/>
          <w:sz w:val="22"/>
        </w:rPr>
        <w:t xml:space="preserve">means, collectively, the Guarantee made by the Guarantors under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 xml:space="preserve">in favor of the Secured Parties, together with each other guaranty delivered pursuant to </w:t>
      </w:r>
      <w:r>
        <w:rPr>
          <w:rFonts w:ascii="Times New Roman;serif" w:hAnsi="Times New Roman;serif"/>
          <w:b w:val="false"/>
          <w:color w:val="000000"/>
          <w:sz w:val="22"/>
          <w:u w:val="single"/>
        </w:rPr>
        <w:t>Section 6.13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Hazardous Materials</w:t>
      </w:r>
      <w:r>
        <w:rPr>
          <w:color w:val="000000"/>
        </w:rPr>
        <w:t xml:space="preserve">” </w:t>
      </w:r>
      <w:r>
        <w:rPr>
          <w:rFonts w:ascii="Times New Roman;serif" w:hAnsi="Times New Roman;serif"/>
          <w:b w:val="false"/>
          <w:color w:val="000000"/>
          <w:sz w:val="22"/>
        </w:rPr>
        <w:t>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pStyle w:val="TextBody"/>
        <w:bidi w:val="0"/>
        <w:spacing w:lineRule="auto" w:line="240" w:before="280" w:after="240"/>
        <w:ind w:left="0" w:right="0" w:firstLine="720"/>
        <w:jc w:val="both"/>
        <w:rPr/>
      </w:pPr>
      <w:r>
        <w:rPr>
          <w:color w:val="000000"/>
        </w:rPr>
        <w:t>“</w:t>
      </w:r>
      <w:r>
        <w:rPr>
          <w:rFonts w:ascii="Times New Roman;serif" w:hAnsi="Times New Roman;serif"/>
          <w:b w:val="false"/>
          <w:i/>
          <w:color w:val="000000"/>
          <w:sz w:val="22"/>
          <w:u w:val="single"/>
        </w:rPr>
        <w:t>Health Care Laws</w:t>
      </w:r>
      <w:r>
        <w:rPr>
          <w:color w:val="000000"/>
        </w:rPr>
        <w:t xml:space="preserve">” </w:t>
      </w:r>
      <w:r>
        <w:rPr>
          <w:rFonts w:ascii="Times New Roman;serif" w:hAnsi="Times New Roman;serif"/>
          <w:b w:val="false"/>
          <w:color w:val="000000"/>
          <w:sz w:val="22"/>
        </w:rPr>
        <w:t xml:space="preserve">means to the extent applicable to the Loan Parties, the Managed Companies and their respective Subsidiaries (including, without limitation, Health Plan Subsidiaries), all Applicable Law relating to the regulation of the healthcare industry or to payment and/or administration of any items, supplies, or services rendered or the offering, underwriting, administration, marketing, or management of health plans or government-sponsored health coverage, including, but not limited to: (i) all federal and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701675"/>
                <wp:effectExtent l="0" t="0" r="0" b="0"/>
                <wp:wrapNone/>
                <wp:docPr id="167" name="Frame16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80" w:after="240"/>
        <w:jc w:val="both"/>
        <w:rPr/>
      </w:pPr>
      <w:r>
        <w:rPr>
          <w:rFonts w:ascii="Times New Roman;serif" w:hAnsi="Times New Roman;serif"/>
          <w:b w:val="false"/>
          <w:color w:val="000000"/>
          <w:sz w:val="22"/>
        </w:rPr>
        <w:t>state fraud and abuse laws, including but not limited to the federal Anti-Kickback Statute (42 U.S.C. § 1320a-7b(b)), the Stark Law (42 U.S.C. § 1395nn), the civil False Claims Act (31 U.S.C. § 3729 et seq.), the criminal False Claims Act (18 U.S.C. § 287), TRICARE (10 U.S.C. § 1071 et seq.), Section 1320a-7, 1320a-7a and 1320a-7b of Title 42 of the United States Code, and the regulations promulgated pursuant to such statutes, and any state laws similar to any of the foregoing; (ii) HIPAA; the Privacy provisions (Subtitle D) of the Health Information Technology for Economic and Clinical Health Act, Division A, Title XIII of Pub. L. 111-5, as codified at 42 U.S.C. § 1320d through d-9 and the regulations promulgated thereunder (“</w:t>
      </w:r>
      <w:r>
        <w:rPr>
          <w:rFonts w:ascii="Times New Roman;serif" w:hAnsi="Times New Roman;serif"/>
          <w:b w:val="false"/>
          <w:color w:val="000000"/>
          <w:sz w:val="22"/>
          <w:u w:val="single"/>
        </w:rPr>
        <w:t>HITECH Act</w:t>
      </w:r>
      <w:r>
        <w:rPr>
          <w:color w:val="000000"/>
        </w:rPr>
        <w:t>”</w:t>
      </w:r>
      <w:r>
        <w:rPr>
          <w:rFonts w:ascii="Times New Roman;serif" w:hAnsi="Times New Roman;serif"/>
          <w:b w:val="false"/>
          <w:color w:val="000000"/>
          <w:sz w:val="22"/>
        </w:rPr>
        <w:t>) and any similar state privacy laws (collectively with HIPAA and HITECH Act, the “</w:t>
      </w:r>
      <w:r>
        <w:rPr>
          <w:rFonts w:ascii="Times New Roman;serif" w:hAnsi="Times New Roman;serif"/>
          <w:b w:val="false"/>
          <w:color w:val="000000"/>
          <w:sz w:val="22"/>
          <w:u w:val="single"/>
        </w:rPr>
        <w:t>Privacy Laws</w:t>
      </w:r>
      <w:r>
        <w:rPr>
          <w:color w:val="000000"/>
        </w:rPr>
        <w:t>”</w:t>
      </w:r>
      <w:r>
        <w:rPr>
          <w:rFonts w:ascii="Times New Roman;serif" w:hAnsi="Times New Roman;serif"/>
          <w:b w:val="false"/>
          <w:color w:val="000000"/>
          <w:sz w:val="22"/>
        </w:rPr>
        <w:t>) and the regulations promulgated thereunder; (iii) Medicare (Title XVIII of the Social Security Act), including, without limitation, the Medicare Advantage program under Part C and the Medicare prescription drug benefit program under Part D, and all laws and regulations, and binding sub-regulatory guidance covering Medicare Advantage Organizations, Part D Sponsors, and first-tier, downstream, and related entities (FDRs) promulgated thereunder; (iv) Medicaid (Title XIX of the Social Security Act) and the regulations promulgated thereunder; (v) other Government Reimbursement Programs; (vi) all applicable laws and, regulations, and binding sub-regulatory guidance related to the marketing, enrollment, solicitation, compensation, and oversight of agents, brokers, field marketing organizations, and third-party marketing organizations (TPMOs) in connection with Medicare Advantage or Part D; (vii) laws related to the billing, coding or submission of health care claims for reimbursement or collection of accounts receivable or refund of overpayments; (viii) all applicable state corporate practice of medicine and health care laws and regulations, including, but not limited to, laws governing or regulating fee-splitting by licensed healthcare professionals, healthcare anti-kickback, or self-referral prohibitions; (ix) all applicable state laws related to licensure, permitting, registration or regulation of healthcare providers, suppliers, professionals, facilities or payors; (x) laws regarding the practice of medicine and other health care professions or the organization of medical or professional entities; (xi) any and all federal and state laws, rules, and regulations relating to health plans (including for the avoidance of doubt any Applicable Insurance Code), health insurance, third party administrators, utilization review, and provider risk sharing arrangements, (xii) all Laws relating to health information technology, telehealth, clinical decision support, software used in connection with the delivery and administration of healthcare services or health plan benefits or operations, artificial intelligence, algorithmic or automated decision-making systems, interoperability, data security, consumer health data and consumer protection, and (xvii) each of (i) through (xii) as may be amended from time to time.</w:t>
      </w:r>
    </w:p>
    <w:p>
      <w:pPr>
        <w:pStyle w:val="TextBody"/>
        <w:bidi w:val="0"/>
        <w:spacing w:lineRule="auto" w:line="240" w:before="280" w:after="240"/>
        <w:ind w:left="0" w:right="0" w:firstLine="720"/>
        <w:jc w:val="both"/>
        <w:rPr/>
      </w:pPr>
      <w:r>
        <w:rPr>
          <w:color w:val="000000"/>
        </w:rPr>
        <w:t>“</w:t>
      </w:r>
      <w:r>
        <w:rPr>
          <w:rFonts w:ascii="Times New Roman;serif" w:hAnsi="Times New Roman;serif"/>
          <w:b w:val="false"/>
          <w:i/>
          <w:color w:val="000000"/>
          <w:sz w:val="22"/>
          <w:u w:val="single"/>
        </w:rPr>
        <w:t>Health Care Permit</w:t>
      </w:r>
      <w:r>
        <w:rPr>
          <w:color w:val="000000"/>
        </w:rPr>
        <w:t xml:space="preserve">” </w:t>
      </w:r>
      <w:r>
        <w:rPr>
          <w:rFonts w:ascii="Times New Roman;serif" w:hAnsi="Times New Roman;serif"/>
          <w:b w:val="false"/>
          <w:color w:val="000000"/>
          <w:sz w:val="22"/>
        </w:rPr>
        <w:t>means all governmental licenses, authorizations, registrations, permits, consents, certificates of need and approvals (a) issued or required under Health Care Laws necessary in the possession, ownership, warehousing, marketing, promoting, sale, labeling, furnishing, management, coordination, administration, distribution or delivery of goods or services under Health Care Laws to the extent applicable to the business of Parent, its Subsidiaries (including any Health Plan Subsidiary) or any Managed Company and/or (b) issued or required under Health Care Laws applicable to the ownership or operation of Parent, its Subsidiaries (including any Health Plan Subsidiary) or any Managed Company.</w:t>
      </w:r>
    </w:p>
    <w:p>
      <w:pPr>
        <w:pStyle w:val="TextBody"/>
        <w:bidi w:val="0"/>
        <w:spacing w:lineRule="auto" w:line="355" w:before="0" w:after="0"/>
        <w:ind w:left="0" w:right="0" w:firstLine="816"/>
        <w:jc w:val="both"/>
        <w:rPr/>
      </w:pPr>
      <w:r>
        <w:rPr>
          <w:color w:val="000000"/>
        </w:rPr>
        <w:t>“</w:t>
      </w:r>
      <w:r>
        <w:rPr>
          <w:rFonts w:ascii="Times New Roman;serif" w:hAnsi="Times New Roman;serif"/>
          <w:b w:val="false"/>
          <w:i/>
          <w:color w:val="000000"/>
          <w:sz w:val="22"/>
          <w:u w:val="single"/>
        </w:rPr>
        <w:t>Health Plan Subsidiary</w:t>
      </w:r>
      <w:r>
        <w:rPr>
          <w:color w:val="000000"/>
        </w:rPr>
        <w:t xml:space="preserve">” </w:t>
      </w:r>
      <w:r>
        <w:rPr>
          <w:rFonts w:ascii="Times New Roman;serif" w:hAnsi="Times New Roman;serif"/>
          <w:b w:val="false"/>
          <w:color w:val="000000"/>
          <w:sz w:val="22"/>
        </w:rPr>
        <w:t xml:space="preserve">means any Subsidiary of Borrower (including, without limitation, any HMO Subsidiary) that is subject to orders or regulations governing managed care organizations or is a healthcare entity required by a federal or state regulatory authority to maintain cash reserves or positive net worth balances or subject to federal or state regulations that restrict changes in ownership or control, asset transfers or dividend payments or other distributions by such person to its Affiliates. </w:t>
      </w:r>
    </w:p>
    <w:p>
      <w:pPr>
        <w:pStyle w:val="TextBody"/>
        <w:bidi w:val="0"/>
        <w:spacing w:before="0" w:after="0"/>
        <w:ind w:left="0" w:right="0" w:firstLine="816"/>
        <w:jc w:val="both"/>
        <w:rPr/>
      </w:pPr>
      <w:r>
        <w:rPr/>
      </w:r>
    </w:p>
    <w:p>
      <w:pPr>
        <w:pStyle w:val="TextBody"/>
        <w:bidi w:val="0"/>
        <w:spacing w:lineRule="auto" w:line="372"/>
        <w:ind w:left="0" w:right="0" w:firstLine="816"/>
        <w:jc w:val="both"/>
        <w:rPr/>
      </w:pPr>
      <w:r>
        <w:rPr>
          <w:color w:val="000000"/>
        </w:rPr>
        <w:t>“</w:t>
      </w:r>
      <w:r>
        <w:rPr>
          <w:rFonts w:ascii="Times New Roman;serif" w:hAnsi="Times New Roman;serif"/>
          <w:b w:val="false"/>
          <w:i/>
          <w:color w:val="000000"/>
          <w:sz w:val="22"/>
          <w:u w:val="single"/>
        </w:rPr>
        <w:t>Health Plan Subsidiary Management Agreements</w:t>
      </w:r>
      <w:r>
        <w:rPr>
          <w:color w:val="000000"/>
        </w:rPr>
        <w:t xml:space="preserve">” </w:t>
      </w:r>
      <w:r>
        <w:rPr>
          <w:rFonts w:ascii="Times New Roman;serif" w:hAnsi="Times New Roman;serif"/>
          <w:b w:val="false"/>
          <w:color w:val="000000"/>
          <w:sz w:val="22"/>
        </w:rPr>
        <w:t xml:space="preserve">means (a) those management and administrative services agreements by and between Borrower or any other Subsidiary, on the one hand, and any Health Plan Subsidiary, as delivered to Administrative Agent pursuant to the terms of this Agreement and (b) any other similar management and administrative and/or business services agreement entered into after the Closing Date between Borrower or any other Subsidiary and any Health Plan Subsidiary pursuant to which Borrower or such other Subsidiary agrees to provide management,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701675"/>
                <wp:effectExtent l="0" t="0" r="0" b="0"/>
                <wp:wrapNone/>
                <wp:docPr id="168" name="Frame16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72"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administrative and/or operational support services to such Health Plan Subsidiary on or after the Closing Date, in each case of clause (a) and (b), as the same may be amended, restated or otherwise modified from time to time as permitted by the terms of this Agreement. </w:t>
      </w:r>
    </w:p>
    <w:p>
      <w:pPr>
        <w:pStyle w:val="TextBody"/>
        <w:bidi w:val="0"/>
        <w:spacing w:before="0" w:after="0"/>
        <w:ind w:left="0" w:right="0" w:firstLine="816"/>
        <w:jc w:val="both"/>
        <w:rPr/>
      </w:pPr>
      <w:r>
        <w:rPr/>
      </w:r>
    </w:p>
    <w:p>
      <w:pPr>
        <w:pStyle w:val="TextBody"/>
        <w:bidi w:val="0"/>
        <w:spacing w:lineRule="auto" w:line="355" w:before="0" w:after="0"/>
        <w:ind w:left="0" w:right="0" w:firstLine="816"/>
        <w:jc w:val="both"/>
        <w:rPr/>
      </w:pPr>
      <w:r>
        <w:rPr>
          <w:color w:val="000000"/>
        </w:rPr>
        <w:t>“</w:t>
      </w:r>
      <w:r>
        <w:rPr>
          <w:rFonts w:ascii="Times New Roman;serif" w:hAnsi="Times New Roman;serif"/>
          <w:b w:val="false"/>
          <w:i/>
          <w:color w:val="000000"/>
          <w:sz w:val="22"/>
          <w:u w:val="single"/>
        </w:rPr>
        <w:t>Hedge Bank</w:t>
      </w:r>
      <w:r>
        <w:rPr>
          <w:color w:val="000000"/>
        </w:rPr>
        <w:t xml:space="preserve">” </w:t>
      </w:r>
      <w:r>
        <w:rPr>
          <w:rFonts w:ascii="Times New Roman;serif" w:hAnsi="Times New Roman;serif"/>
          <w:b w:val="false"/>
          <w:color w:val="000000"/>
          <w:sz w:val="22"/>
        </w:rPr>
        <w:t xml:space="preserve">means any Person in its capacity as a party to a Swap Contract that, (a) at the time it enters into a Swap Contract not prohibited under </w:t>
      </w:r>
      <w:r>
        <w:rPr>
          <w:rFonts w:ascii="Times New Roman;serif" w:hAnsi="Times New Roman;serif"/>
          <w:b w:val="false"/>
          <w:color w:val="000000"/>
          <w:sz w:val="22"/>
          <w:u w:val="single"/>
        </w:rPr>
        <w:t>Articles VI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VII</w:t>
      </w:r>
      <w:r>
        <w:rPr>
          <w:rFonts w:ascii="Times New Roman;serif" w:hAnsi="Times New Roman;serif"/>
          <w:b w:val="false"/>
          <w:color w:val="000000"/>
          <w:sz w:val="22"/>
        </w:rPr>
        <w:t xml:space="preserve">, is a Lender or an Affiliate of a Lender, or (b) at the time it (or its Affiliate) becomes a Lender, is a party to a Swap Contract not prohibited under </w:t>
      </w:r>
      <w:r>
        <w:rPr>
          <w:rFonts w:ascii="Times New Roman;serif" w:hAnsi="Times New Roman;serif"/>
          <w:b w:val="false"/>
          <w:color w:val="000000"/>
          <w:sz w:val="22"/>
          <w:u w:val="single"/>
        </w:rPr>
        <w:t>Articles VI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VII</w:t>
      </w:r>
      <w:r>
        <w:rPr>
          <w:rFonts w:ascii="Times New Roman;serif" w:hAnsi="Times New Roman;serif"/>
          <w:b w:val="false"/>
          <w:color w:val="000000"/>
          <w:sz w:val="22"/>
        </w:rPr>
        <w:t xml:space="preserve">, in each case, in its capacity as a party to such Swap Contract (even if such Person ceases to be a Lender or such Person’s Affiliate ceased to be a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a Secured Hedge Agreement with a Person who is no longer a Lender (or Affiliate of a Lender), such Person shall be considered a Hedge Bank only through the stated termination date (without extension or renewal) of such Secured Hedge Agreement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for any of the foregoing to be included as a “Secured Hedge Agreement” on any date of determination by the Administrative Agent, the applicable Hedge Bank (other than the Administrative Agent or an Affiliate of the Administrative Agent) must have delivered a Secured Party Designation Notice to the Administrative Agent (with a copy of such written notice sent by email to secured.designationnotice@citi.com) prior to such date of determination.</w:t>
      </w:r>
    </w:p>
    <w:p>
      <w:pPr>
        <w:pStyle w:val="TextBody"/>
        <w:bidi w:val="0"/>
        <w:spacing w:lineRule="auto" w:line="355" w:before="280" w:after="283"/>
        <w:ind w:left="0" w:right="0" w:firstLine="816"/>
        <w:jc w:val="both"/>
        <w:rPr/>
      </w:pPr>
      <w:r>
        <w:rPr>
          <w:color w:val="000000"/>
        </w:rPr>
        <w:t>“</w:t>
      </w:r>
      <w:r>
        <w:rPr>
          <w:rFonts w:ascii="Times New Roman;serif" w:hAnsi="Times New Roman;serif"/>
          <w:b w:val="false"/>
          <w:i/>
          <w:color w:val="000000"/>
          <w:sz w:val="22"/>
          <w:u w:val="single"/>
        </w:rPr>
        <w:t>HIPAA</w:t>
      </w:r>
      <w:r>
        <w:rPr>
          <w:color w:val="000000"/>
        </w:rPr>
        <w:t xml:space="preserve">” </w:t>
      </w:r>
      <w:r>
        <w:rPr>
          <w:rFonts w:ascii="Times New Roman;serif" w:hAnsi="Times New Roman;serif"/>
          <w:b w:val="false"/>
          <w:color w:val="000000"/>
          <w:sz w:val="22"/>
        </w:rPr>
        <w:t>means (i) the Health Insurance Portability and Accountability Act of 1996; (ii) the Health Information Technology for Economic and Clinical Health Act (Title XIII of the American Recovery and Reinvestment Act of 2009); and (iii) any state, commonwealth and local laws regulating the privacy and/or security of individually identifiable information, including state laws providing for notification of breach of privacy or security of individually identifiable information, in each case with respect to the laws described in clauses (i), (ii) and (iii) of this definition, as the same may be amended, modified or supplemented from time to time, any successor statutes thereto, any and all rules or regulations promulgated from time to time thereunder.</w:t>
      </w:r>
    </w:p>
    <w:p>
      <w:pPr>
        <w:pStyle w:val="TextBody"/>
        <w:bidi w:val="0"/>
        <w:spacing w:lineRule="auto" w:line="288" w:before="280" w:after="283"/>
        <w:ind w:left="0" w:right="0" w:firstLine="816"/>
        <w:jc w:val="both"/>
        <w:rPr/>
      </w:pPr>
      <w:r>
        <w:rPr>
          <w:color w:val="000000"/>
        </w:rPr>
        <w:t>“</w:t>
      </w:r>
      <w:r>
        <w:rPr>
          <w:rFonts w:ascii="Times New Roman;serif" w:hAnsi="Times New Roman;serif"/>
          <w:b w:val="false"/>
          <w:i/>
          <w:color w:val="000000"/>
          <w:sz w:val="22"/>
          <w:u w:val="single"/>
        </w:rPr>
        <w:t>HIPAA Compliant</w:t>
      </w:r>
      <w:r>
        <w:rPr>
          <w:color w:val="000000"/>
        </w:rPr>
        <w:t xml:space="preserve">” </w:t>
      </w:r>
      <w:r>
        <w:rPr>
          <w:rFonts w:ascii="Times New Roman;serif" w:hAnsi="Times New Roman;serif"/>
          <w:b w:val="false"/>
          <w:color w:val="000000"/>
          <w:sz w:val="22"/>
        </w:rPr>
        <w:t>means that the applicable Person (a) is in material compliance with each of the applicable requirements of HIPAA, and (b) is not and would not reasonably be expected to become the subject of any civil or criminal penalty, process, claim, action or proceeding, or any administrative or other regulatory review, survey, process or proceeding (other than routine surveys or reviews) conducted by any Governmental Authority that would result in any of the foregoing or that could, individually or in the aggregate, reasonably be expected to result in a Material Adverse Effect.</w:t>
      </w:r>
    </w:p>
    <w:p>
      <w:pPr>
        <w:pStyle w:val="TextBody"/>
        <w:bidi w:val="0"/>
        <w:spacing w:lineRule="auto" w:line="288" w:before="280" w:after="283"/>
        <w:ind w:left="0" w:right="0" w:firstLine="816"/>
        <w:jc w:val="both"/>
        <w:rPr/>
      </w:pPr>
      <w:r>
        <w:rPr>
          <w:color w:val="000000"/>
        </w:rPr>
        <w:t>“</w:t>
      </w:r>
      <w:r>
        <w:rPr>
          <w:rFonts w:ascii="Times New Roman;serif" w:hAnsi="Times New Roman;serif"/>
          <w:b w:val="false"/>
          <w:i/>
          <w:color w:val="000000"/>
          <w:sz w:val="22"/>
          <w:u w:val="single"/>
        </w:rPr>
        <w:t>HMO</w:t>
      </w:r>
      <w:r>
        <w:rPr>
          <w:color w:val="000000"/>
        </w:rPr>
        <w:t xml:space="preserve">” </w:t>
      </w:r>
      <w:r>
        <w:rPr>
          <w:rFonts w:ascii="Times New Roman;serif" w:hAnsi="Times New Roman;serif"/>
          <w:b w:val="false"/>
          <w:color w:val="000000"/>
          <w:sz w:val="22"/>
        </w:rPr>
        <w:t>shall mean any health maintenance organization or managed care organization, including without limitation any organized delivery system or utilization review organization, any Person doing business as a health maintenance organization or managed care organization, or any Person required to qualify or be licensed as a health maintenance organization or managed care organization under Applicable Law.</w:t>
      </w:r>
    </w:p>
    <w:p>
      <w:pPr>
        <w:pStyle w:val="TextBody"/>
        <w:bidi w:val="0"/>
        <w:spacing w:lineRule="auto" w:line="288" w:before="280" w:after="283"/>
        <w:ind w:left="0" w:right="0" w:firstLine="816"/>
        <w:jc w:val="both"/>
        <w:rPr/>
      </w:pPr>
      <w:r>
        <w:rPr>
          <w:color w:val="000000"/>
        </w:rPr>
        <w:t>“</w:t>
      </w:r>
      <w:r>
        <w:rPr>
          <w:rFonts w:ascii="Times New Roman;serif" w:hAnsi="Times New Roman;serif"/>
          <w:b w:val="false"/>
          <w:i/>
          <w:color w:val="000000"/>
          <w:sz w:val="22"/>
          <w:u w:val="single"/>
        </w:rPr>
        <w:t>HMO Business</w:t>
      </w:r>
      <w:r>
        <w:rPr>
          <w:color w:val="000000"/>
        </w:rPr>
        <w:t xml:space="preserve">” </w:t>
      </w:r>
      <w:r>
        <w:rPr>
          <w:rFonts w:ascii="Times New Roman;serif" w:hAnsi="Times New Roman;serif"/>
          <w:b w:val="false"/>
          <w:color w:val="000000"/>
          <w:sz w:val="22"/>
        </w:rPr>
        <w:t>shall mean the business of operating an HMO or other similar regulated entity or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701675"/>
                <wp:effectExtent l="0" t="0" r="0" b="0"/>
                <wp:wrapNone/>
                <wp:docPr id="169" name="Frame16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80" w:after="283"/>
        <w:ind w:left="0" w:right="0" w:firstLine="816"/>
        <w:jc w:val="both"/>
        <w:rPr/>
      </w:pPr>
      <w:r>
        <w:rPr>
          <w:color w:val="000000"/>
        </w:rPr>
        <w:t>“</w:t>
      </w:r>
      <w:r>
        <w:rPr>
          <w:rFonts w:ascii="Times New Roman;serif" w:hAnsi="Times New Roman;serif"/>
          <w:b w:val="false"/>
          <w:i/>
          <w:color w:val="000000"/>
          <w:sz w:val="22"/>
          <w:u w:val="single"/>
        </w:rPr>
        <w:t>HMO Subsidiary</w:t>
      </w:r>
      <w:r>
        <w:rPr>
          <w:color w:val="000000"/>
        </w:rPr>
        <w:t xml:space="preserve">” </w:t>
      </w:r>
      <w:r>
        <w:rPr>
          <w:rFonts w:ascii="Times New Roman;serif" w:hAnsi="Times New Roman;serif"/>
          <w:b w:val="false"/>
          <w:color w:val="000000"/>
          <w:sz w:val="22"/>
        </w:rPr>
        <w:t>means any Subsidiary of the Borrower that shall become capitalized or licensed as an HMO, shall conduct HMO Business or shall provide managed care services.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00"/>
        </w:rPr>
        <w:t>“</w:t>
      </w:r>
      <w:r>
        <w:rPr>
          <w:rFonts w:ascii="Times New Roman;serif" w:hAnsi="Times New Roman;serif"/>
          <w:b w:val="false"/>
          <w:i/>
          <w:color w:val="000000"/>
          <w:sz w:val="22"/>
          <w:u w:val="single"/>
        </w:rPr>
        <w:t>Holdings</w:t>
      </w:r>
      <w:r>
        <w:rPr>
          <w:color w:val="000000"/>
        </w:rPr>
        <w:t xml:space="preserve">” </w:t>
      </w:r>
      <w:r>
        <w:rPr>
          <w:rFonts w:ascii="Times New Roman;serif" w:hAnsi="Times New Roman;serif"/>
          <w:b w:val="false"/>
          <w:color w:val="000000"/>
          <w:sz w:val="22"/>
        </w:rPr>
        <w:t>has the meaning specified in the introductory paragraph hereto.</w:t>
      </w:r>
    </w:p>
    <w:p>
      <w:pPr>
        <w:pStyle w:val="TextBody"/>
        <w:bidi w:val="0"/>
        <w:spacing w:before="0" w:after="0"/>
        <w:ind w:left="0" w:right="0" w:firstLine="816"/>
        <w:jc w:val="both"/>
        <w:rPr/>
      </w:pPr>
      <w:r>
        <w:rPr/>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Immaterial Subsidiary</w:t>
      </w:r>
      <w:r>
        <w:rPr>
          <w:color w:val="000000"/>
        </w:rPr>
        <w:t xml:space="preserve">” </w:t>
      </w:r>
      <w:r>
        <w:rPr>
          <w:rFonts w:ascii="Times New Roman;serif" w:hAnsi="Times New Roman;serif"/>
          <w:b w:val="false"/>
          <w:color w:val="000000"/>
          <w:sz w:val="22"/>
        </w:rPr>
        <w:t xml:space="preserve">means any Subsidiary of Parent designated by the Borrower as an Immaterial Subsidiary if and for so long as such Immaterial Subsidiary, as of the last day of the most recently completed Measurement Period, did not have (i) total assets at such time in excess of $10,000,000 and (ii) total revenues for such period in excess of $10,000,000;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as of the last day of the most recently completed Measurement Period, (a)(i) the aggregate total assets then owned by all Immaterial Subsidiaries exceeds $30,000,000 or (ii) the aggregate total revenues of all Immaterial Subsidiaries exceeds $30,000,000, the Borrower shall re-designate one or more of such Subsidiaries to not be Immaterial Subsidiaries with the delivery of the Compliance Certificate for such fiscal quarter such that after giving effect to such re-designation the aggregate total assets then owned by all Immaterial Subsidiaries shall not exceed $30,000,000 and the aggregate total revenues of all Immaterial Subsidiaries shall not exceed $30,000,000, in each case, as of the last day of the most recently completed Measurement Period.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Incremental Amendment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2.16(f</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Incremental Commitment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2.16(a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Incremental Effective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2.16(d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Incremental Revolving Commitment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2.16(a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Incremental Term Loan</w:t>
      </w:r>
      <w:r>
        <w:rPr>
          <w:color w:val="000000"/>
        </w:rPr>
        <w:t xml:space="preserve">” </w:t>
      </w:r>
      <w:r>
        <w:rPr>
          <w:rFonts w:ascii="Times New Roman;serif" w:hAnsi="Times New Roman;serif"/>
          <w:b w:val="false"/>
          <w:color w:val="000000"/>
          <w:sz w:val="22"/>
        </w:rPr>
        <w:t>means any term loan made pursuant to any Incremental Term Loan Commitments.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Incremental Term Loan Commitment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2.16(a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Indebtedness</w:t>
      </w:r>
      <w:r>
        <w:rPr>
          <w:color w:val="000000"/>
        </w:rPr>
        <w:t xml:space="preserve">” </w:t>
      </w:r>
      <w:r>
        <w:rPr>
          <w:rFonts w:ascii="Times New Roman;serif" w:hAnsi="Times New Roman;serif"/>
          <w:b w:val="false"/>
          <w:color w:val="000000"/>
          <w:sz w:val="22"/>
        </w:rPr>
        <w:t>means, as to any Person at a particular time, without duplication, all of the following, whether or not included as indebtedness or liabilities in accordance with GAAP:</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(a)all obligations of such Person for borrowed money and all obligations of such Person evidenced by bonds, debentures, notes, loan agreements or other similar instruments;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(b)all direct or contingent obligations of such Person arising under letters of credit (whether or not drawn), bankers’ acceptances, bank guaranties and similar instruments;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(c)net obligations of such Person under any Swap Contract;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(d)all obligations (including, without limitation, earnout obligations and other similar contingent obligations, but with respect to earnout obligations and similar contingent obligations solely to the extent such obligations appear on such Person’s balance sheet in accordance with GAAP) of such Person to pay the deferred purchase price of property or services (other than trade payables incurred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(e)all indebtedness created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(f)all Attributable Indebtedness in respect of Capitalized Leases, Synthetic Lease Obligations and Synthetic Debt of such Person;</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701675"/>
                <wp:effectExtent l="0" t="0" r="0" b="0"/>
                <wp:wrapNone/>
                <wp:docPr id="170" name="Frame16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(g)all obligations of such Person in respect of Disqualified Equity Interests;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(h)all Guarantees of such Person in respect of any of clauses (a) through (g) above;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(i)indebtedness of the kind referred to in clauses (a) though (h) above (excluding prepaid interest thereon) secured by a Lien on property owned or being purchased by such Person, whether or not such indebtedness shall have been assumed by such Person or is limited in recourse.</w:t>
      </w:r>
    </w:p>
    <w:p>
      <w:pPr>
        <w:pStyle w:val="TextBody"/>
        <w:bidi w:val="0"/>
        <w:spacing w:lineRule="auto" w:line="240" w:before="0" w:after="240"/>
        <w:ind w:left="0" w:right="0" w:firstLine="720"/>
        <w:jc w:val="both"/>
        <w:rPr/>
      </w:pPr>
      <w:r>
        <w:rPr>
          <w:rFonts w:ascii="Times New Roman;serif" w:hAnsi="Times New Roman;serif"/>
          <w:b w:val="false"/>
          <w:color w:val="000000"/>
          <w:sz w:val="22"/>
        </w:rPr>
        <w:t>For all purposes hereof, (A)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(B) “Indebtedness” shall exclude (i)</w:t>
      </w:r>
      <w:r>
        <w:rPr>
          <w:color w:val="000000"/>
        </w:rPr>
        <w:t xml:space="preserve"> </w:t>
      </w:r>
      <w:r>
        <w:rPr>
          <w:rFonts w:ascii="Times New Roman;serif" w:hAnsi="Times New Roman;serif"/>
          <w:b w:val="false"/>
          <w:color w:val="000000"/>
          <w:sz w:val="22"/>
        </w:rPr>
        <w:t>accrued expenses payable in the ordinary course of business, (ii) accruals for payroll and other liabilities accrued in the ordinary course of business, (iii) purchase price holdbacks in respect of a portion of the purchase price of an asset to satisfy warranty or other unperformed obligations of the respective seller, (iv) obligations in respect of Third Party Funds, (v) any stock appreciation right plan and related obligations, (vi) deferred or prepaid revenue, and (vii) any deferred compensation or equity-based compensation to employees of the Parent or any Subsidiary or any Managed Company; and (C) the amount of any net obligation under any Swap Contract on any date shall be deemed to be the Swap Termination Value thereof as of such date. The amount of any Indebtedness of any Person for purposes of clause (i) shall be deemed to be equal to the lesser of (i) the aggregate unpaid principal amount of such Indebtedness and (ii) the fair market value of the property encumbered thereby as determined by such Person in good faith. The amount of obligations in respect of any Disqualified Equity Interests shall be valued, in the case of a redeemable preferred interest, at the greater of its voluntary or involuntary liquidation preference plus accrued and unpaid dividends that are past due.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Indemnified Taxes</w:t>
      </w:r>
      <w:r>
        <w:rPr>
          <w:color w:val="000000"/>
        </w:rPr>
        <w:t xml:space="preserve">” </w:t>
      </w:r>
      <w:r>
        <w:rPr>
          <w:rFonts w:ascii="Times New Roman;serif" w:hAnsi="Times New Roman;serif"/>
          <w:b w:val="false"/>
          <w:color w:val="000000"/>
          <w:sz w:val="22"/>
        </w:rPr>
        <w:t xml:space="preserve">means all (a) Taxes, other than Excluded Taxes, imposed on or with respect to any payment made by or on account of any obligation of any Loan Party under any Loan Document and (b) to the extent not otherwise described in </w:t>
      </w:r>
      <w:r>
        <w:rPr>
          <w:rFonts w:ascii="Times New Roman;serif" w:hAnsi="Times New Roman;serif"/>
          <w:b w:val="false"/>
          <w:color w:val="000000"/>
          <w:sz w:val="22"/>
          <w:u w:val="single"/>
        </w:rPr>
        <w:t>clause (a</w:t>
      </w:r>
      <w:r>
        <w:rPr>
          <w:rFonts w:ascii="Times New Roman;serif" w:hAnsi="Times New Roman;serif"/>
          <w:b w:val="false"/>
          <w:color w:val="000000"/>
          <w:sz w:val="22"/>
        </w:rPr>
        <w:t>), Other Taxes.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Indemnitee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11.04(b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Information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11.07(a</w:t>
      </w:r>
      <w:r>
        <w:rPr>
          <w:rFonts w:ascii="Times New Roman;serif" w:hAnsi="Times New Roman;serif"/>
          <w:b w:val="false"/>
          <w:color w:val="000000"/>
          <w:sz w:val="22"/>
        </w:rPr>
        <w:t>).</w:t>
      </w:r>
    </w:p>
    <w:p>
      <w:pPr>
        <w:pStyle w:val="TextBody"/>
        <w:bidi w:val="0"/>
        <w:spacing w:lineRule="auto" w:line="240" w:before="240" w:after="240"/>
        <w:ind w:left="0" w:right="0" w:firstLine="720"/>
        <w:jc w:val="both"/>
        <w:rPr/>
      </w:pPr>
      <w:r>
        <w:rPr>
          <w:color w:val="000000"/>
          <w:shd w:fill="FFFFFF" w:val="clear"/>
        </w:rPr>
        <w:t>“</w:t>
      </w:r>
      <w:r>
        <w:rPr>
          <w:rFonts w:ascii="Times New Roman;serif" w:hAnsi="Times New Roman;serif"/>
          <w:b w:val="false"/>
          <w:i/>
          <w:color w:val="000000"/>
          <w:sz w:val="22"/>
          <w:u w:val="single"/>
          <w:shd w:fill="FFFFFF" w:val="clear"/>
        </w:rPr>
        <w:t>Insurance Business</w:t>
      </w:r>
      <w:r>
        <w:rPr>
          <w:color w:val="000000"/>
          <w:shd w:fill="FFFFFF" w:val="clear"/>
        </w:rPr>
        <w:t xml:space="preserve">” </w:t>
      </w:r>
      <w:r>
        <w:rPr>
          <w:rFonts w:ascii="Times New Roman;serif" w:hAnsi="Times New Roman;serif"/>
          <w:b w:val="false"/>
          <w:color w:val="000000"/>
          <w:sz w:val="22"/>
          <w:shd w:fill="FFFFFF" w:val="clear"/>
        </w:rPr>
        <w:t>shall mean one or more of the aspects of the business of selling, issuing or underwriting insurance or reinsurance (including, without limitation, as an HMO Business).</w:t>
      </w:r>
    </w:p>
    <w:p>
      <w:pPr>
        <w:pStyle w:val="TextBody"/>
        <w:bidi w:val="0"/>
        <w:spacing w:lineRule="auto" w:line="240" w:before="240" w:after="240"/>
        <w:ind w:left="0" w:right="0" w:firstLine="720"/>
        <w:jc w:val="both"/>
        <w:rPr/>
      </w:pPr>
      <w:r>
        <w:rPr>
          <w:color w:val="000000"/>
          <w:shd w:fill="FFFFFF" w:val="clear"/>
        </w:rPr>
        <w:t>“</w:t>
      </w:r>
      <w:r>
        <w:rPr>
          <w:rFonts w:ascii="Times New Roman;serif" w:hAnsi="Times New Roman;serif"/>
          <w:b w:val="false"/>
          <w:i/>
          <w:color w:val="000000"/>
          <w:sz w:val="22"/>
          <w:u w:val="single"/>
          <w:shd w:fill="FFFFFF" w:val="clear"/>
        </w:rPr>
        <w:t>Insurance License</w:t>
      </w:r>
      <w:r>
        <w:rPr>
          <w:color w:val="000000"/>
          <w:shd w:fill="FFFFFF" w:val="clear"/>
        </w:rPr>
        <w:t xml:space="preserve">” </w:t>
      </w:r>
      <w:r>
        <w:rPr>
          <w:rFonts w:ascii="Times New Roman;serif" w:hAnsi="Times New Roman;serif"/>
          <w:b w:val="false"/>
          <w:color w:val="000000"/>
          <w:sz w:val="22"/>
          <w:shd w:fill="FFFFFF" w:val="clear"/>
        </w:rPr>
        <w:t>shall mean any license, certificate of authority, permit, charter or other authorization which is required to be obtained from any Applicable Insurance Regulatory Authority or other Governmental Authority in connection with the operation, ownership or transaction of the Insurance Business.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Intellectual Property</w:t>
      </w:r>
      <w:r>
        <w:rPr>
          <w:color w:val="000000"/>
        </w:rPr>
        <w:t xml:space="preserve">” </w:t>
      </w:r>
      <w:r>
        <w:rPr>
          <w:rFonts w:ascii="Times New Roman;serif" w:hAnsi="Times New Roman;serif"/>
          <w:b w:val="false"/>
          <w:color w:val="000000"/>
          <w:sz w:val="22"/>
        </w:rPr>
        <w:t>has the meaning set forth in the Security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Intercompany Debt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7.02(d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Intercompany MSO/PC Debt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7.02(p)</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Interest Payment Date</w:t>
      </w:r>
      <w:r>
        <w:rPr>
          <w:color w:val="000000"/>
        </w:rPr>
        <w:t xml:space="preserve">” </w:t>
      </w:r>
      <w:r>
        <w:rPr>
          <w:rFonts w:ascii="Times New Roman;serif" w:hAnsi="Times New Roman;serif"/>
          <w:b w:val="false"/>
          <w:color w:val="000000"/>
          <w:sz w:val="22"/>
        </w:rPr>
        <w:t xml:space="preserve">means, (a) as to any Term SOFR Loan, the last day of each Interest Period applicable to such Loan and the Revolving Credit Termination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any Interest Period for a Term SOFR Loan exceeds three (3) months, the respective dates that fall every three (3) months after the beginning of such Interest Period shall also be Interest Payment Dates; and (b) as to any Base Rate Loan or Swingline Loan, the last Business Day of each March, June, September and December and the Revolving Credit Termination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701675"/>
                <wp:effectExtent l="0" t="0" r="0" b="0"/>
                <wp:wrapNone/>
                <wp:docPr id="171" name="Frame17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Interest Period</w:t>
      </w:r>
      <w:r>
        <w:rPr>
          <w:color w:val="000000"/>
        </w:rPr>
        <w:t xml:space="preserve">” </w:t>
      </w:r>
      <w:r>
        <w:rPr>
          <w:rFonts w:ascii="Times New Roman;serif" w:hAnsi="Times New Roman;serif"/>
          <w:b w:val="false"/>
          <w:color w:val="000000"/>
          <w:sz w:val="22"/>
        </w:rPr>
        <w:t>means as to each Term SOFR Loan, the period commencing on the date such Term SOFR Loan is disbursed or converted to or continued as a Term SOFR Loan and ending on the date one, three or six months thereafter, as selected by the Borrower in its Loan Notice</w:t>
      </w:r>
      <w:r>
        <w:rPr>
          <w:color w:val="000000"/>
        </w:rPr>
        <w:t xml:space="preserve"> </w:t>
      </w:r>
      <w:r>
        <w:rPr>
          <w:rFonts w:ascii="Times New Roman;serif" w:hAnsi="Times New Roman;serif"/>
          <w:b w:val="false"/>
          <w:color w:val="000000"/>
          <w:sz w:val="22"/>
        </w:rPr>
        <w:t xml:space="preserve">(in the case of each requested Interest Period, subject to availability);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any Interest Period that would otherwise end on a day that is not a Business Day shall be extended to the next succeeding Business Day unless, in the case of a Term SOFR Loan, such Business Day falls in another calendar month, in which case such Interest Period shall end on the immediately preceding Business Day;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no Interest Period shall extend beyond the Revolving Credit Termination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Intermediate Holdings</w:t>
      </w:r>
      <w:r>
        <w:rPr>
          <w:color w:val="000000"/>
        </w:rPr>
        <w:t xml:space="preserve">” </w:t>
      </w:r>
      <w:r>
        <w:rPr>
          <w:rFonts w:ascii="Times New Roman;serif" w:hAnsi="Times New Roman;serif"/>
          <w:b w:val="false"/>
          <w:color w:val="000000"/>
          <w:sz w:val="22"/>
        </w:rPr>
        <w:t>has the meaning specified in the introductory paragraph 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Investment</w:t>
      </w:r>
      <w:r>
        <w:rPr>
          <w:color w:val="000000"/>
        </w:rPr>
        <w:t xml:space="preserve">” </w:t>
      </w:r>
      <w:r>
        <w:rPr>
          <w:rFonts w:ascii="Times New Roman;serif" w:hAnsi="Times New Roman;serif"/>
          <w:b w:val="false"/>
          <w:color w:val="000000"/>
          <w:sz w:val="22"/>
        </w:rPr>
        <w:t>means, as to any Person, any direct or indirect acquisition or investment by such Person, whether by means of (a) the purchase or other acquisition of Equity Interests of another Person, (b) a loan, advance or capital contribution to, Guarantee or assumption of Indebtedness of, or purchase or other acquisition of any other Indebtedness or interest in, another Person (including any partnership or joint venture interest in such other Person), or (c) the purchase or other acquisition (in one transaction or a series of transactions) of all or substantially all of the assets of such Person or of a division, line of business or other business unit of such Person. For purposes of covenant compliance, the amount of any Investment shall be the amount actually invested, without adjustment for subsequent increases or decreases in the value of such Investment but giving effect to any returns or distributions of capital or repayment of principal actually received in cash by such other Person with respect thereto (but only to the extent that the aggregate amount of all such returns, distributions and repayments with respect to such Investment does not exceed the principal amount of such Investment).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IRS</w:t>
      </w:r>
      <w:r>
        <w:rPr>
          <w:color w:val="000000"/>
        </w:rPr>
        <w:t xml:space="preserve">” </w:t>
      </w:r>
      <w:r>
        <w:rPr>
          <w:rFonts w:ascii="Times New Roman;serif" w:hAnsi="Times New Roman;serif"/>
          <w:b w:val="false"/>
          <w:color w:val="000000"/>
          <w:sz w:val="22"/>
        </w:rPr>
        <w:t>means the United States Internal Revenue Service.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ISP</w:t>
      </w:r>
      <w:r>
        <w:rPr>
          <w:color w:val="000000"/>
        </w:rPr>
        <w:t xml:space="preserve">” </w:t>
      </w:r>
      <w:r>
        <w:rPr>
          <w:rFonts w:ascii="Times New Roman;serif" w:hAnsi="Times New Roman;serif"/>
          <w:b w:val="false"/>
          <w:color w:val="000000"/>
          <w:sz w:val="22"/>
        </w:rPr>
        <w:t>means the International Standby Practices, International Chamber of Commerce Publication No. 590 (or such later version thereof as may be in effect at the applicable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Issuer Documents</w:t>
      </w:r>
      <w:r>
        <w:rPr>
          <w:color w:val="000000"/>
        </w:rPr>
        <w:t xml:space="preserve">” </w:t>
      </w:r>
      <w:r>
        <w:rPr>
          <w:rFonts w:ascii="Times New Roman;serif" w:hAnsi="Times New Roman;serif"/>
          <w:b w:val="false"/>
          <w:color w:val="000000"/>
          <w:sz w:val="22"/>
        </w:rPr>
        <w:t>means with respect to any Letter of Credit, the Letter of Credit Application, and any other document, agreement and instrument entered into by any L/C Issuer and the Borrower (or any Subsidiary) or in favor of such L/C Issuer and relating to such Letter of Credit.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Joinder Agreement</w:t>
      </w:r>
      <w:r>
        <w:rPr>
          <w:color w:val="000000"/>
        </w:rPr>
        <w:t xml:space="preserve">” </w:t>
      </w:r>
      <w:r>
        <w:rPr>
          <w:rFonts w:ascii="Times New Roman;serif" w:hAnsi="Times New Roman;serif"/>
          <w:b w:val="false"/>
          <w:color w:val="000000"/>
          <w:sz w:val="22"/>
        </w:rPr>
        <w:t xml:space="preserve">means a joinder agreement substantially in the form of </w:t>
      </w:r>
      <w:r>
        <w:rPr>
          <w:rFonts w:ascii="Times New Roman;serif" w:hAnsi="Times New Roman;serif"/>
          <w:b w:val="false"/>
          <w:color w:val="000000"/>
          <w:sz w:val="22"/>
          <w:u w:val="single"/>
        </w:rPr>
        <w:t>Exhibit D</w:t>
      </w:r>
      <w:r>
        <w:rPr>
          <w:color w:val="000000"/>
        </w:rPr>
        <w:t xml:space="preserve"> </w:t>
      </w:r>
      <w:r>
        <w:rPr>
          <w:rFonts w:ascii="Times New Roman;serif" w:hAnsi="Times New Roman;serif"/>
          <w:b w:val="false"/>
          <w:color w:val="000000"/>
          <w:sz w:val="22"/>
        </w:rPr>
        <w:t xml:space="preserve">executed and delivered in accordance with the provisions of </w:t>
      </w:r>
      <w:r>
        <w:rPr>
          <w:rFonts w:ascii="Times New Roman;serif" w:hAnsi="Times New Roman;serif"/>
          <w:b w:val="false"/>
          <w:color w:val="000000"/>
          <w:sz w:val="22"/>
          <w:u w:val="single"/>
        </w:rPr>
        <w:t>Section 6.13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Joint Venture</w:t>
      </w:r>
      <w:r>
        <w:rPr>
          <w:color w:val="000000"/>
        </w:rPr>
        <w:t xml:space="preserve">” </w:t>
      </w:r>
      <w:r>
        <w:rPr>
          <w:rFonts w:ascii="Times New Roman;serif" w:hAnsi="Times New Roman;serif"/>
          <w:b w:val="false"/>
          <w:color w:val="000000"/>
          <w:sz w:val="22"/>
        </w:rPr>
        <w:t>means a joint venture, partnership or other similar arrangement, whether in corporate, partnership or other legal form, that is not a wholly-owned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Junior Indebtedness</w:t>
      </w:r>
      <w:r>
        <w:rPr>
          <w:color w:val="000000"/>
        </w:rPr>
        <w:t xml:space="preserve">” </w:t>
      </w:r>
      <w:r>
        <w:rPr>
          <w:rFonts w:ascii="Times New Roman;serif" w:hAnsi="Times New Roman;serif"/>
          <w:b w:val="false"/>
          <w:color w:val="000000"/>
          <w:sz w:val="22"/>
        </w:rPr>
        <w:t>means, with respect to the Combined Group, any (a) Subordinated Indebtedness, (b) Indebtedness secured by Liens that are junior to the Liens securing the Secured Obligations and (c) unsecured Indebtedness with an aggregate outstanding principal amount in excess of the Threshold Amount.</w:t>
      </w:r>
      <w:r>
        <w:rPr>
          <w:color w:val="000000"/>
        </w:rPr>
        <w:t xml:space="preserv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Knowledge</w:t>
      </w:r>
      <w:r>
        <w:rPr>
          <w:color w:val="000000"/>
        </w:rPr>
        <w:t xml:space="preserve">” </w:t>
      </w:r>
      <w:r>
        <w:rPr>
          <w:rFonts w:ascii="Times New Roman;serif" w:hAnsi="Times New Roman;serif"/>
          <w:b w:val="false"/>
          <w:color w:val="000000"/>
          <w:sz w:val="22"/>
        </w:rPr>
        <w:t>or “</w:t>
      </w:r>
      <w:r>
        <w:rPr>
          <w:rFonts w:ascii="Times New Roman;serif" w:hAnsi="Times New Roman;serif"/>
          <w:b w:val="false"/>
          <w:i/>
          <w:color w:val="000000"/>
          <w:sz w:val="22"/>
          <w:u w:val="single"/>
        </w:rPr>
        <w:t>knowledge</w:t>
      </w:r>
      <w:r>
        <w:rPr>
          <w:color w:val="000000"/>
        </w:rPr>
        <w:t xml:space="preserve">” </w:t>
      </w:r>
      <w:r>
        <w:rPr>
          <w:rFonts w:ascii="Times New Roman;serif" w:hAnsi="Times New Roman;serif"/>
          <w:b w:val="false"/>
          <w:color w:val="000000"/>
          <w:sz w:val="22"/>
        </w:rPr>
        <w:t>means, with respect to any Person, the actual knowledge of any Responsible Officer of such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Laws</w:t>
      </w:r>
      <w:r>
        <w:rPr>
          <w:color w:val="000000"/>
        </w:rPr>
        <w:t xml:space="preserve">” </w:t>
      </w:r>
      <w:r>
        <w:rPr>
          <w:rFonts w:ascii="Times New Roman;serif" w:hAnsi="Times New Roman;serif"/>
          <w:b w:val="false"/>
          <w:color w:val="000000"/>
          <w:sz w:val="22"/>
        </w:rPr>
        <w:t xml:space="preserve">means, collectively, all international, foreign, federal, state and local statutes, treaties, rules, guidelines, regulations, ordinances, codes and administrative or judicial precedents or authorities,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701675"/>
                <wp:effectExtent l="0" t="0" r="0" b="0"/>
                <wp:wrapNone/>
                <wp:docPr id="172" name="Frame17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including the binding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C Advance</w:t>
      </w:r>
      <w:r>
        <w:rPr>
          <w:color w:val="000000"/>
        </w:rPr>
        <w:t xml:space="preserve">” </w:t>
      </w:r>
      <w:r>
        <w:rPr>
          <w:rFonts w:ascii="Times New Roman;serif" w:hAnsi="Times New Roman;serif"/>
          <w:b w:val="false"/>
          <w:color w:val="000000"/>
          <w:sz w:val="22"/>
        </w:rPr>
        <w:t xml:space="preserve">means, with respect to each Revolving Lender, such Lender’s funding of its participation in any L/C Disbursement in accordance with its Applicable Percentage.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C Commitment</w:t>
      </w:r>
      <w:r>
        <w:rPr>
          <w:color w:val="000000"/>
        </w:rPr>
        <w:t xml:space="preserve">” </w:t>
      </w:r>
      <w:r>
        <w:rPr>
          <w:rFonts w:ascii="Times New Roman;serif" w:hAnsi="Times New Roman;serif"/>
          <w:b w:val="false"/>
          <w:color w:val="000000"/>
          <w:sz w:val="22"/>
        </w:rPr>
        <w:t>means with respect to each L/C Issuer, the commitment of</w:t>
      </w:r>
      <w:r>
        <w:rPr>
          <w:color w:val="000000"/>
        </w:rPr>
        <w:t xml:space="preserve"> </w:t>
      </w:r>
      <w:r>
        <w:rPr>
          <w:rFonts w:ascii="Times New Roman;serif" w:hAnsi="Times New Roman;serif"/>
          <w:b w:val="false"/>
          <w:color w:val="000000"/>
          <w:sz w:val="22"/>
        </w:rPr>
        <w:t xml:space="preserve">such L/C Issuer to issue Letters of Credit hereunder. The initial amount of each L/C Issuer’s L/C Commitment is set forth on </w:t>
      </w:r>
      <w:r>
        <w:rPr>
          <w:rFonts w:ascii="Times New Roman;serif" w:hAnsi="Times New Roman;serif"/>
          <w:b w:val="false"/>
          <w:color w:val="000000"/>
          <w:sz w:val="22"/>
          <w:u w:val="single"/>
        </w:rPr>
        <w:t>Schedule 2.03</w:t>
      </w:r>
      <w:r>
        <w:rPr>
          <w:rFonts w:ascii="Times New Roman;serif" w:hAnsi="Times New Roman;serif"/>
          <w:b w:val="false"/>
          <w:color w:val="000000"/>
          <w:sz w:val="22"/>
        </w:rPr>
        <w:t>. The L/C Commitment of</w:t>
      </w:r>
      <w:r>
        <w:rPr>
          <w:color w:val="000000"/>
        </w:rPr>
        <w:t xml:space="preserve"> </w:t>
      </w:r>
      <w:r>
        <w:rPr>
          <w:rFonts w:ascii="Times New Roman;serif" w:hAnsi="Times New Roman;serif"/>
          <w:b w:val="false"/>
          <w:color w:val="000000"/>
          <w:sz w:val="22"/>
        </w:rPr>
        <w:t>any L/C Issuer may be modified from time to time by agreement between</w:t>
      </w:r>
      <w:r>
        <w:rPr>
          <w:color w:val="000000"/>
        </w:rPr>
        <w:t xml:space="preserve"> </w:t>
      </w:r>
      <w:r>
        <w:rPr>
          <w:rFonts w:ascii="Times New Roman;serif" w:hAnsi="Times New Roman;serif"/>
          <w:b w:val="false"/>
          <w:color w:val="000000"/>
          <w:sz w:val="22"/>
        </w:rPr>
        <w:t>such L/C Issuer and the Borrower, and notified to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C Credit Extension</w:t>
      </w:r>
      <w:r>
        <w:rPr>
          <w:color w:val="000000"/>
        </w:rPr>
        <w:t xml:space="preserve">” </w:t>
      </w:r>
      <w:r>
        <w:rPr>
          <w:rFonts w:ascii="Times New Roman;serif" w:hAnsi="Times New Roman;serif"/>
          <w:b w:val="false"/>
          <w:color w:val="000000"/>
          <w:sz w:val="22"/>
        </w:rPr>
        <w:t>means, with respect to any Letter of Credit, the issuance thereof or extension of the expiry date thereof, or the increase of the amount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L/C Disbursement</w:t>
      </w:r>
      <w:r>
        <w:rPr>
          <w:color w:val="000000"/>
        </w:rPr>
        <w:t xml:space="preserve">” </w:t>
      </w:r>
      <w:r>
        <w:rPr>
          <w:rFonts w:ascii="Times New Roman;serif" w:hAnsi="Times New Roman;serif"/>
          <w:b w:val="false"/>
          <w:color w:val="000000"/>
          <w:sz w:val="22"/>
        </w:rPr>
        <w:t xml:space="preserve">means an extension of credit resulting from a drawing under any Letter of Credit which has not been reimbursed on the date when made or refinanced as a Revolving Borrowing.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C Issuer</w:t>
      </w:r>
      <w:r>
        <w:rPr>
          <w:color w:val="000000"/>
        </w:rPr>
        <w:t xml:space="preserve">” </w:t>
      </w:r>
      <w:r>
        <w:rPr>
          <w:rFonts w:ascii="Times New Roman;serif" w:hAnsi="Times New Roman;serif"/>
          <w:b w:val="false"/>
          <w:color w:val="000000"/>
          <w:sz w:val="22"/>
        </w:rPr>
        <w:t>means (a) Citibank, Wells Fargo Bank, National Association and U.S. Bank National Association and (b) any other Revolving Lender to the extent it has agreed in its sole discretion to act as an “L/C Issuer” hereunder and that has been approved in writing by the Borrower and the Administrative Agent (such approval by the Administrative Agent not to be unreasonably delayed or withheld) as an “L/C Issuer” hereunder, in each case, through itself or through one of its designated Affiliates or branch offices and in its capacity as issuer of Letters of Credit hereunder, or any successor issuer of Letters of Credit 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C Obligations</w:t>
      </w:r>
      <w:r>
        <w:rPr>
          <w:color w:val="000000"/>
        </w:rPr>
        <w:t xml:space="preserve">” </w:t>
      </w:r>
      <w:r>
        <w:rPr>
          <w:rFonts w:ascii="Times New Roman;serif" w:hAnsi="Times New Roman;serif"/>
          <w:b w:val="false"/>
          <w:color w:val="000000"/>
          <w:sz w:val="22"/>
        </w:rPr>
        <w:t xml:space="preserve">means, as at any date of determination, the aggregate amount available to be drawn under all outstanding Letters of Credit plus the aggregate of all Unreimbursed Amounts (including all L/C Disbursements). For purposes of computing the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LCT Election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1.09</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LCT Test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1.09</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Lead Arranger</w:t>
      </w:r>
      <w:r>
        <w:rPr>
          <w:color w:val="000000"/>
        </w:rPr>
        <w:t xml:space="preserve">” </w:t>
      </w:r>
      <w:r>
        <w:rPr>
          <w:rFonts w:ascii="Times New Roman;serif" w:hAnsi="Times New Roman;serif"/>
          <w:b w:val="false"/>
          <w:color w:val="000000"/>
          <w:sz w:val="22"/>
        </w:rPr>
        <w:t>means Citibank, in its capacity as left lead arranger and joint bookrunner.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Lender</w:t>
      </w:r>
      <w:r>
        <w:rPr>
          <w:color w:val="000000"/>
        </w:rPr>
        <w:t xml:space="preserve">” </w:t>
      </w:r>
      <w:r>
        <w:rPr>
          <w:rFonts w:ascii="Times New Roman;serif" w:hAnsi="Times New Roman;serif"/>
          <w:b w:val="false"/>
          <w:color w:val="000000"/>
          <w:sz w:val="22"/>
        </w:rPr>
        <w:t>means each of the Persons identified as a “Lender” on the signature pages hereto, each other Person that becomes a “Lender” in accordance with this Agreement and, their successors and assigns and, unless the context requires otherwise, includes the Swingline Lender.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Lender Party</w:t>
      </w:r>
      <w:r>
        <w:rPr>
          <w:color w:val="000000"/>
        </w:rPr>
        <w:t xml:space="preserve">” </w:t>
      </w:r>
      <w:r>
        <w:rPr>
          <w:rFonts w:ascii="Times New Roman;serif" w:hAnsi="Times New Roman;serif"/>
          <w:b w:val="false"/>
          <w:color w:val="000000"/>
          <w:sz w:val="22"/>
        </w:rPr>
        <w:t>means collectively, the Lenders, the Swingline Lender and the L/C Issuers.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Lending Office</w:t>
      </w:r>
      <w:r>
        <w:rPr>
          <w:color w:val="000000"/>
        </w:rPr>
        <w:t xml:space="preserve">” </w:t>
      </w:r>
      <w:r>
        <w:rPr>
          <w:rFonts w:ascii="Times New Roman;serif" w:hAnsi="Times New Roman;serif"/>
          <w:b w:val="false"/>
          <w:color w:val="000000"/>
          <w:sz w:val="22"/>
        </w:rPr>
        <w:t>means, as to the Administrative Agent, any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Letter of Credit</w:t>
      </w:r>
      <w:r>
        <w:rPr>
          <w:color w:val="000000"/>
        </w:rPr>
        <w:t xml:space="preserve">” </w:t>
      </w:r>
      <w:r>
        <w:rPr>
          <w:rFonts w:ascii="Times New Roman;serif" w:hAnsi="Times New Roman;serif"/>
          <w:b w:val="false"/>
          <w:color w:val="000000"/>
          <w:sz w:val="22"/>
        </w:rPr>
        <w:t xml:space="preserve">means any standby letter of credit issued hereunder.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Letter of Credit Application</w:t>
      </w:r>
      <w:r>
        <w:rPr>
          <w:color w:val="000000"/>
        </w:rPr>
        <w:t xml:space="preserve">” </w:t>
      </w:r>
      <w:r>
        <w:rPr>
          <w:rFonts w:ascii="Times New Roman;serif" w:hAnsi="Times New Roman;serif"/>
          <w:b w:val="false"/>
          <w:color w:val="000000"/>
          <w:sz w:val="22"/>
        </w:rPr>
        <w:t>means an application and agreement for the issuance or amendment of a Letter of Credit in the form from time to time in use by the applicable L/C Issuer.</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701675"/>
                <wp:effectExtent l="0" t="0" r="0" b="0"/>
                <wp:wrapNone/>
                <wp:docPr id="173" name="Frame17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Letter of Credit Fee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2.03(l)</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Letter of Credit Sublimit</w:t>
      </w:r>
      <w:r>
        <w:rPr>
          <w:color w:val="000000"/>
        </w:rPr>
        <w:t xml:space="preserve">” </w:t>
      </w:r>
      <w:r>
        <w:rPr>
          <w:rFonts w:ascii="Times New Roman;serif" w:hAnsi="Times New Roman;serif"/>
          <w:b w:val="false"/>
          <w:color w:val="000000"/>
          <w:sz w:val="22"/>
        </w:rPr>
        <w:t>means, as of any date of determination, an amount equal to the lesser of (a) $20,000,000; and (b) the Revolving Facility. The Letter of Credit Sublimit is part of, and not in addition to, the Revolving Facility.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Licensed Personnel</w:t>
      </w:r>
      <w:r>
        <w:rPr>
          <w:color w:val="000000"/>
        </w:rPr>
        <w:t xml:space="preserve">” </w:t>
      </w:r>
      <w:r>
        <w:rPr>
          <w:rFonts w:ascii="Times New Roman;serif" w:hAnsi="Times New Roman;serif"/>
          <w:b w:val="false"/>
          <w:color w:val="000000"/>
          <w:sz w:val="22"/>
        </w:rPr>
        <w:t>means any physician or other professional health care provider employed or contracted by Borrower, any other Loan Party or any of their respective Subsidiaries or any Managed Company.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Lien</w:t>
      </w:r>
      <w:r>
        <w:rPr>
          <w:color w:val="000000"/>
        </w:rPr>
        <w:t xml:space="preserve">” </w:t>
      </w:r>
      <w:r>
        <w:rPr>
          <w:rFonts w:ascii="Times New Roman;serif" w:hAnsi="Times New Roman;serif"/>
          <w:b w:val="false"/>
          <w:color w:val="000000"/>
          <w:sz w:val="22"/>
        </w:rPr>
        <w:t>means any mortgage, pledge, hypothecation, collateral assignment, deposit arrangement, encumbrance, lien (statutory or otherwise), charge, or arrangement to provide preference or priority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Limited Condition Transaction</w:t>
      </w:r>
      <w:r>
        <w:rPr>
          <w:color w:val="000000"/>
        </w:rPr>
        <w:t xml:space="preserve">” </w:t>
      </w:r>
      <w:r>
        <w:rPr>
          <w:rFonts w:ascii="Times New Roman;serif" w:hAnsi="Times New Roman;serif"/>
          <w:b w:val="false"/>
          <w:color w:val="000000"/>
          <w:sz w:val="22"/>
        </w:rPr>
        <w:t xml:space="preserve">means any Acquisition permitted under this Agreement, any Investment permitted under </w:t>
      </w:r>
      <w:r>
        <w:rPr>
          <w:rFonts w:ascii="Times New Roman;serif" w:hAnsi="Times New Roman;serif"/>
          <w:b w:val="false"/>
          <w:color w:val="000000"/>
          <w:sz w:val="22"/>
          <w:u w:val="single"/>
        </w:rPr>
        <w:t>Section 7.03(r)</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or any redemption, repurchase, defeasance, satisfaction and discharge or repayment of Indebtedness requiring irrevocable notice in advance of such redemption, repurchase, defeasance, satisfaction and discharge or repayment that is permitted under this Agreement, that, in each case, is not conditioned on the availability of, or on obtaining, third party financing.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Liquidity</w:t>
      </w:r>
      <w:r>
        <w:rPr>
          <w:color w:val="000000"/>
        </w:rPr>
        <w:t xml:space="preserve">” </w:t>
      </w:r>
      <w:r>
        <w:rPr>
          <w:rFonts w:ascii="Times New Roman;serif" w:hAnsi="Times New Roman;serif"/>
          <w:b w:val="false"/>
          <w:color w:val="000000"/>
          <w:sz w:val="22"/>
        </w:rPr>
        <w:t xml:space="preserve">means, as of any date of determination, the sum of (a) all cash and Cash Equivalents (except any Restricted Cash) of the Loan Parties as of the close of business of such date,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(b) the aggregate unused amount of the Commitments then in effect. For the avoidance of doubt, no cash or Cash Equivalents of the Excluded Subsidiaries or any Managed Company will be included in the calculation of Liquidity.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Loan</w:t>
      </w:r>
      <w:r>
        <w:rPr>
          <w:color w:val="000000"/>
        </w:rPr>
        <w:t xml:space="preserve">” </w:t>
      </w:r>
      <w:r>
        <w:rPr>
          <w:rFonts w:ascii="Times New Roman;serif" w:hAnsi="Times New Roman;serif"/>
          <w:b w:val="false"/>
          <w:color w:val="000000"/>
          <w:sz w:val="22"/>
        </w:rPr>
        <w:t xml:space="preserve">means an extension of credit by a Lender to the Borrower under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in the form of a Revolving Loan or a Swingline Loan.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Loan Documents</w:t>
      </w:r>
      <w:r>
        <w:rPr>
          <w:color w:val="000000"/>
        </w:rPr>
        <w:t xml:space="preserve">” </w:t>
      </w:r>
      <w:r>
        <w:rPr>
          <w:rFonts w:ascii="Times New Roman;serif" w:hAnsi="Times New Roman;serif"/>
          <w:b w:val="false"/>
          <w:color w:val="000000"/>
          <w:sz w:val="22"/>
        </w:rPr>
        <w:t xml:space="preserve">means, collectively, (a) this Agreement, (b) the Notes, (c) the Collateral Documents, (d) the Perfection Certificate, (e) the Fee Letter, (f) each Issuer Document, (g) each Joinder Agreement, and (h) all other certificates, agreements, documents and instruments executed and delivered, in each case, by or on behalf of any Loan Party pursuant to the foregoing (but specifically excluding any Secured Hedge Agreement or any Secured Cash Management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of </w:t>
      </w:r>
      <w:r>
        <w:rPr>
          <w:rFonts w:ascii="Times New Roman;serif" w:hAnsi="Times New Roman;serif"/>
          <w:b w:val="false"/>
          <w:color w:val="000000"/>
          <w:sz w:val="22"/>
          <w:u w:val="single"/>
        </w:rPr>
        <w:t>Section 11.01</w:t>
      </w:r>
      <w:r>
        <w:rPr>
          <w:rFonts w:ascii="Times New Roman;serif" w:hAnsi="Times New Roman;serif"/>
          <w:b w:val="false"/>
          <w:color w:val="000000"/>
          <w:sz w:val="22"/>
        </w:rPr>
        <w:t>, “Loan Documents” shall mean this Agreement and the Collateral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Loan Notice</w:t>
      </w:r>
      <w:r>
        <w:rPr>
          <w:color w:val="000000"/>
        </w:rPr>
        <w:t xml:space="preserve">” </w:t>
      </w:r>
      <w:r>
        <w:rPr>
          <w:rFonts w:ascii="Times New Roman;serif" w:hAnsi="Times New Roman;serif"/>
          <w:b w:val="false"/>
          <w:color w:val="000000"/>
          <w:sz w:val="22"/>
        </w:rPr>
        <w:t xml:space="preserve">means a notice of (a) a Borrowing, (b) a conversion of Loans from one Type to the other, or (c) a continuation of Term SOFR Loans, pursuant to </w:t>
      </w:r>
      <w:r>
        <w:rPr>
          <w:rFonts w:ascii="Times New Roman;serif" w:hAnsi="Times New Roman;serif"/>
          <w:b w:val="false"/>
          <w:color w:val="000000"/>
          <w:sz w:val="22"/>
          <w:u w:val="single"/>
        </w:rPr>
        <w:t>Section 2.02(a</w:t>
      </w:r>
      <w:r>
        <w:rPr>
          <w:rFonts w:ascii="Times New Roman;serif" w:hAnsi="Times New Roman;serif"/>
          <w:b w:val="false"/>
          <w:color w:val="000000"/>
          <w:sz w:val="22"/>
        </w:rPr>
        <w:t xml:space="preserve">), which shall be substantially in the form of </w:t>
      </w:r>
      <w:r>
        <w:rPr>
          <w:rFonts w:ascii="Times New Roman;serif" w:hAnsi="Times New Roman;serif"/>
          <w:b w:val="false"/>
          <w:color w:val="000000"/>
          <w:sz w:val="22"/>
          <w:u w:val="single"/>
        </w:rPr>
        <w:t>Exhibit E</w:t>
      </w:r>
      <w:r>
        <w:rPr>
          <w:color w:val="000000"/>
        </w:rPr>
        <w:t xml:space="preserve"> </w:t>
      </w:r>
      <w:r>
        <w:rPr>
          <w:rFonts w:ascii="Times New Roman;serif" w:hAnsi="Times New Roman;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Loan Parties</w:t>
      </w:r>
      <w:r>
        <w:rPr>
          <w:color w:val="000000"/>
        </w:rPr>
        <w:t xml:space="preserve">” </w:t>
      </w:r>
      <w:r>
        <w:rPr>
          <w:rFonts w:ascii="Times New Roman;serif" w:hAnsi="Times New Roman;serif"/>
          <w:b w:val="false"/>
          <w:color w:val="000000"/>
          <w:sz w:val="22"/>
        </w:rPr>
        <w:t>means, collectively, the Borrower</w:t>
      </w:r>
      <w:r>
        <w:rPr>
          <w:color w:val="7030A0"/>
        </w:rPr>
        <w:t xml:space="preserve"> </w:t>
      </w:r>
      <w:r>
        <w:rPr>
          <w:rFonts w:ascii="Times New Roman;serif" w:hAnsi="Times New Roman;serif"/>
          <w:b w:val="false"/>
          <w:color w:val="000000"/>
          <w:sz w:val="22"/>
        </w:rPr>
        <w:t>and each Guarantor.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Managed Company</w:t>
      </w:r>
      <w:r>
        <w:rPr>
          <w:color w:val="000000"/>
        </w:rPr>
        <w:t xml:space="preserve">” </w:t>
      </w:r>
      <w:r>
        <w:rPr>
          <w:rFonts w:ascii="Times New Roman;serif" w:hAnsi="Times New Roman;serif"/>
          <w:b w:val="false"/>
          <w:color w:val="000000"/>
          <w:sz w:val="22"/>
        </w:rPr>
        <w:t xml:space="preserve">means any Person (other than a Loan Party or any Subsidiary thereof) that is engaged in the delivery of health care services, medical services or similar professional services (and related goods and other services) to patients, including without limitation any health care or medical clinic or practice (i) which is owned, directly or indirectly, in whole or in part by one or more appropriately licensed professionals (natural Persons) who are duly licensed or otherwise legally authorized to render the specific professional services for which such Managed Company was organized and (ii) for which Parent or any of its Subsidiaries performs Management Services pursuant to a Management Services Agreement, whether now in effect or entered into after the Closing Date as permitted by, and pursuant to the terms of, the Loan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701675"/>
                <wp:effectExtent l="0" t="0" r="0" b="0"/>
                <wp:wrapNone/>
                <wp:docPr id="174" name="Frame17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Management Services</w:t>
      </w:r>
      <w:r>
        <w:rPr>
          <w:color w:val="000000"/>
        </w:rPr>
        <w:t xml:space="preserve">” </w:t>
      </w:r>
      <w:r>
        <w:rPr>
          <w:rFonts w:ascii="Times New Roman;serif" w:hAnsi="Times New Roman;serif"/>
          <w:b w:val="false"/>
          <w:color w:val="000000"/>
          <w:sz w:val="22"/>
        </w:rPr>
        <w:t>means any and all management, business, administrative and other non-clinical support services including, without limitation, billing and collection services, space, equipment, licensing support or staffing, other than limited staffing, and other non-clinical services.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Management Services Agreement</w:t>
      </w:r>
      <w:r>
        <w:rPr>
          <w:color w:val="000000"/>
        </w:rPr>
        <w:t xml:space="preserve">” </w:t>
      </w:r>
      <w:r>
        <w:rPr>
          <w:rFonts w:ascii="Times New Roman;serif" w:hAnsi="Times New Roman;serif"/>
          <w:b w:val="false"/>
          <w:color w:val="000000"/>
          <w:sz w:val="22"/>
        </w:rPr>
        <w:t>means (a) those management, administrative, business or service agreements with respect to Management Services by and between Parent or any of its Subsidiaries, on the one hand, and any Managed Company, as delivered to Administrative Agent as required by this Agreement and (b) any other similar management, administrative, business and/or services agreement entered into after the Closing Date between Parent or any of its Subsidiaries and any Managed Company pursuant to which Parent or such Subsidiary agrees to provide Management Services to such Managed Company on or after the Closing Date, in each case of clause (a) and (b), as the same may be amended, restated or otherwise modified from time to time as permitted by the terms of this Agreement. For clarity, Management Services Agreements do not include any agreements entered into in the ordinary course of business involving Parent or any Subsidiary thereof (i) providing or arranging for institutional, professional or ancillary participating provider services for members or enrollees of any Medicare Advantage health plan by a Health Plan Subsidiary, Managed Company or Medicare Advantage sponsor or payer, or (ii) providing or implementing any CAAS Programs for any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Management Services Documents</w:t>
      </w:r>
      <w:r>
        <w:rPr>
          <w:color w:val="000000"/>
        </w:rPr>
        <w:t xml:space="preserve">” </w:t>
      </w:r>
      <w:r>
        <w:rPr>
          <w:rFonts w:ascii="Times New Roman;serif" w:hAnsi="Times New Roman;serif"/>
          <w:b w:val="false"/>
          <w:color w:val="000000"/>
          <w:sz w:val="22"/>
        </w:rPr>
        <w:t>means, collectively, the Management Service Agreements, the Stock Transfer Restriction Agreements, any agreements (other than the Management Services Agreements) which set forth any funding or financing arrangements between Parent or its Subsidiaries and any Managed Company, whether executed and delivered on or after the Closing Date, any employee lease agreements between Parent or its Subsidiaries and any Managed Company, whether executed and delivered on or after the Closing Date, and all other agreements, documents and instruments executed and delivered pursuant thereto or in connection therewith and to which Parent or any of its Subsidiaries is a party, all of the foregoing as amended, restated or otherwise modified from time to time as permitted by the terms of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Master Agreement</w:t>
      </w:r>
      <w:r>
        <w:rPr>
          <w:color w:val="000000"/>
        </w:rPr>
        <w:t xml:space="preserve">” </w:t>
      </w:r>
      <w:r>
        <w:rPr>
          <w:rFonts w:ascii="Times New Roman;serif" w:hAnsi="Times New Roman;serif"/>
          <w:b w:val="false"/>
          <w:color w:val="000000"/>
          <w:sz w:val="22"/>
        </w:rPr>
        <w:t>has the meaning set forth in the definition of “Swap Contract.”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Material Adverse Effect</w:t>
      </w:r>
      <w:r>
        <w:rPr>
          <w:color w:val="000000"/>
        </w:rPr>
        <w:t xml:space="preserve">” </w:t>
      </w:r>
      <w:r>
        <w:rPr>
          <w:rFonts w:ascii="Times New Roman;serif" w:hAnsi="Times New Roman;serif"/>
          <w:b w:val="false"/>
          <w:color w:val="000000"/>
          <w:sz w:val="22"/>
        </w:rPr>
        <w:t>means a material adverse change in, or a material adverse effect upon, (a) the operations, business, properties, liabilities (actual or contingent) or financial condition of the Parent and its Subsidiaries taken as a whole; (b) the rights and remedies of the Administrative Agent or any Lender under any Loan Document, or the ability of the Loan Parties, taken as a whole, to perform their Obligations; or (c) the legality, validity, binding effect or enforceability against any Loan Party of any Loan Document to which it is a party.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Material Managed Company</w:t>
      </w:r>
      <w:r>
        <w:rPr>
          <w:color w:val="000000"/>
        </w:rPr>
        <w:t xml:space="preserve">” </w:t>
      </w:r>
      <w:r>
        <w:rPr>
          <w:rFonts w:ascii="Times New Roman;serif" w:hAnsi="Times New Roman;serif"/>
          <w:b w:val="false"/>
          <w:color w:val="000000"/>
          <w:sz w:val="22"/>
        </w:rPr>
        <w:t>means any Managed Company that contributes more than $20,000,000 of the consolidated revenues of the Combined Group for the most recently completed Measurement Period.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Material Real Property</w:t>
      </w:r>
      <w:r>
        <w:rPr>
          <w:color w:val="000000"/>
        </w:rPr>
        <w:t xml:space="preserve">” </w:t>
      </w:r>
      <w:r>
        <w:rPr>
          <w:rFonts w:ascii="Times New Roman;serif" w:hAnsi="Times New Roman;serif"/>
          <w:b w:val="false"/>
          <w:color w:val="000000"/>
          <w:sz w:val="22"/>
        </w:rPr>
        <w:t>means any real property located in the United States that is owned in fee (or similarly, under Applicable Law) by a Loan Party that has a fair market value (as determined in good faith by the Borrower) in excess of $10,000,000 (or such greater amount as the Administrative Agent may agree in its sole discretion).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Measurement Period</w:t>
      </w:r>
      <w:r>
        <w:rPr>
          <w:color w:val="000000"/>
        </w:rPr>
        <w:t xml:space="preserve">” </w:t>
      </w:r>
      <w:r>
        <w:rPr>
          <w:rFonts w:ascii="Times New Roman;serif" w:hAnsi="Times New Roman;serif"/>
          <w:b w:val="false"/>
          <w:color w:val="000000"/>
          <w:sz w:val="22"/>
        </w:rPr>
        <w:t xml:space="preserve">means, as of any date of determination, the period of four (4) consecutive fiscal quarters of the Borrower (taken as one accounting period) (a) most recently ended on or prior to such date for which financial statements of the Combined Group have been or are required to be delivered to the Administrative Agent hereunder or (b) in the case of any calculation pursuant to </w:t>
      </w:r>
      <w:r>
        <w:rPr>
          <w:rFonts w:ascii="Times New Roman;serif" w:hAnsi="Times New Roman;serif"/>
          <w:b w:val="false"/>
          <w:color w:val="000000"/>
          <w:sz w:val="22"/>
          <w:u w:val="single"/>
        </w:rPr>
        <w:t>Section 7.11</w:t>
      </w:r>
      <w:r>
        <w:rPr>
          <w:rFonts w:ascii="Times New Roman;serif" w:hAnsi="Times New Roman;serif"/>
          <w:b w:val="false"/>
          <w:color w:val="000000"/>
          <w:sz w:val="22"/>
        </w:rPr>
        <w:t>, ended on the last date of the fiscal quarter in question.</w:t>
      </w:r>
    </w:p>
    <w:p>
      <w:pPr>
        <w:pStyle w:val="TextBody"/>
        <w:bidi w:val="0"/>
        <w:spacing w:lineRule="auto" w:line="288" w:before="280" w:after="283"/>
        <w:ind w:left="0" w:right="0" w:firstLine="816"/>
        <w:jc w:val="both"/>
        <w:rPr/>
      </w:pPr>
      <w:r>
        <w:rPr>
          <w:color w:val="000000"/>
        </w:rPr>
        <w:t>“</w:t>
      </w:r>
      <w:r>
        <w:rPr>
          <w:rFonts w:ascii="Times New Roman;serif" w:hAnsi="Times New Roman;serif"/>
          <w:b w:val="false"/>
          <w:i/>
          <w:color w:val="000000"/>
          <w:sz w:val="22"/>
          <w:u w:val="single"/>
        </w:rPr>
        <w:t>Medicaid</w:t>
      </w:r>
      <w:r>
        <w:rPr>
          <w:color w:val="000000"/>
        </w:rPr>
        <w:t xml:space="preserve">” </w:t>
      </w:r>
      <w:r>
        <w:rPr>
          <w:rFonts w:ascii="Times New Roman;serif" w:hAnsi="Times New Roman;serif"/>
          <w:b w:val="false"/>
          <w:color w:val="000000"/>
          <w:sz w:val="22"/>
        </w:rPr>
        <w:t xml:space="preserve">means, collectively, the health care assistance program established by Title XIX of the Social Security Act (42 U.S.C. 1396 et seq.) and any statutes succeeding thereto, and all requirement of Law pertaining to such program, including (i) all federal statutes affecting such program; (ii) all state and commonwealth statutes and plans for medical assistance enacted in connection with such program and federal rules and regulations promulgated in connection with such program; and (iii) all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701675"/>
                <wp:effectExtent l="0" t="0" r="0" b="0"/>
                <wp:wrapNone/>
                <wp:docPr id="175" name="Frame17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80" w:after="283"/>
        <w:jc w:val="both"/>
        <w:rPr>
          <w:rFonts w:ascii="Times New Roman;serif" w:hAnsi="Times New Roman;serif"/>
          <w:b w:val="false"/>
          <w:color w:val="000000"/>
          <w:sz w:val="22"/>
        </w:rPr>
      </w:pPr>
      <w:r>
        <w:rPr>
          <w:rFonts w:ascii="Times New Roman;serif" w:hAnsi="Times New Roman;serif"/>
          <w:b w:val="false"/>
          <w:color w:val="000000"/>
          <w:sz w:val="22"/>
        </w:rPr>
        <w:t>provisions of all rules, regulations and legally binding manuals, orders and administrative and reimbursement requirements of all Governmental Authorities promulgated in connection with such program, in each case as the same may be amended, supplemented or otherwise modified from time to time.</w:t>
      </w:r>
    </w:p>
    <w:p>
      <w:pPr>
        <w:pStyle w:val="TextBody"/>
        <w:bidi w:val="0"/>
        <w:spacing w:before="120" w:after="283"/>
        <w:ind w:left="0" w:right="0" w:firstLine="816"/>
        <w:jc w:val="both"/>
        <w:rPr/>
      </w:pPr>
      <w:r>
        <w:rPr/>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Medicare</w:t>
      </w:r>
      <w:r>
        <w:rPr>
          <w:color w:val="000000"/>
        </w:rPr>
        <w:t xml:space="preserve">” </w:t>
      </w:r>
      <w:r>
        <w:rPr>
          <w:rFonts w:ascii="Times New Roman;serif" w:hAnsi="Times New Roman;serif"/>
          <w:b w:val="false"/>
          <w:color w:val="000000"/>
          <w:sz w:val="22"/>
        </w:rPr>
        <w:t>means, collectively, the health insurance program for the aged and disabled established by Title XVIII of the Social Security Act (42 U.S.C. 1395 et seq.) and any statutes succeeding thereto, and all requirement of Law pertaining to such program including (a) all federal statutes (whether set forth in Title XVIII of the Social Security Act (42 U.S.C. 1395 et seq.) or elsewhere) affecting such program; and (b) all applicable provisions of all rules, regulations and legally binding manuals, orders, administrative and reimbursement requirements of all Governmental Authorities promulgated in connection with such program, in each case as the same may be amended,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Minimum Collateral Amount</w:t>
      </w:r>
      <w:r>
        <w:rPr>
          <w:color w:val="000000"/>
        </w:rPr>
        <w:t xml:space="preserve">” </w:t>
      </w:r>
      <w:r>
        <w:rPr>
          <w:rFonts w:ascii="Times New Roman;serif" w:hAnsi="Times New Roman;serif"/>
          <w:b w:val="false"/>
          <w:color w:val="000000"/>
          <w:sz w:val="22"/>
        </w:rPr>
        <w:t>means, at any time, (a) with respect to Cash Collateral consisting of cash or deposit account balances, an amount equal to 103% of the Fronting Exposure of all L/C Issuers with respect to Letters of Credit issued and outstanding at such time and (b) otherwise, an amount determined by the Administrative Agent and the L/C Issuers in their commercially reasonable discretion.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Minimum Statutory Capital</w:t>
      </w:r>
      <w:r>
        <w:rPr>
          <w:color w:val="000000"/>
        </w:rPr>
        <w:t xml:space="preserve">” </w:t>
      </w:r>
      <w:r>
        <w:rPr>
          <w:rFonts w:ascii="Times New Roman;serif" w:hAnsi="Times New Roman;serif"/>
          <w:b w:val="false"/>
          <w:color w:val="000000"/>
          <w:sz w:val="22"/>
        </w:rPr>
        <w:t>shall mean for each Regulated Insurance Subsidiary, the amount of capital and surplus or tangible net equity that such Regulated Insurance Subsidiary is required to have or hold under applicable statute or regulation of any Applicable Insurance Regulatory Authority having jurisdiction over such Regulated Insurance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Moody</w:t>
      </w:r>
      <w:r>
        <w:rPr>
          <w:color w:val="000000"/>
          <w:u w:val="single"/>
        </w:rPr>
        <w:t>’</w:t>
      </w:r>
      <w:r>
        <w:rPr>
          <w:rFonts w:ascii="Times New Roman;serif" w:hAnsi="Times New Roman;serif"/>
          <w:b w:val="false"/>
          <w:i/>
          <w:color w:val="000000"/>
          <w:sz w:val="22"/>
          <w:u w:val="single"/>
        </w:rPr>
        <w:t>s</w:t>
      </w:r>
      <w:r>
        <w:rPr>
          <w:color w:val="000000"/>
        </w:rPr>
        <w:t xml:space="preserve">” </w:t>
      </w:r>
      <w:r>
        <w:rPr>
          <w:rFonts w:ascii="Times New Roman;serif" w:hAnsi="Times New Roman;serif"/>
          <w:b w:val="false"/>
          <w:color w:val="000000"/>
          <w:sz w:val="22"/>
        </w:rPr>
        <w:t>means Moody’s Investors Service, Inc. and any successor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Mortgaged Property</w:t>
      </w:r>
      <w:r>
        <w:rPr>
          <w:color w:val="000000"/>
        </w:rPr>
        <w:t xml:space="preserve">” </w:t>
      </w:r>
      <w:r>
        <w:rPr>
          <w:rFonts w:ascii="Times New Roman;serif" w:hAnsi="Times New Roman;serif"/>
          <w:b w:val="false"/>
          <w:color w:val="000000"/>
          <w:sz w:val="22"/>
        </w:rPr>
        <w:t>means any real property</w:t>
      </w:r>
      <w:r>
        <w:rPr>
          <w:color w:val="000000"/>
        </w:rPr>
        <w:t xml:space="preserve"> </w:t>
      </w:r>
      <w:r>
        <w:rPr>
          <w:rFonts w:ascii="Times New Roman;serif" w:hAnsi="Times New Roman;serif"/>
          <w:b w:val="false"/>
          <w:color w:val="000000"/>
          <w:sz w:val="22"/>
        </w:rPr>
        <w:t>that is subject to a Mortgage.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Mortgages</w:t>
      </w:r>
      <w:r>
        <w:rPr>
          <w:color w:val="000000"/>
        </w:rPr>
        <w:t xml:space="preserve">” </w:t>
      </w:r>
      <w:r>
        <w:rPr>
          <w:rFonts w:ascii="Times New Roman;serif" w:hAnsi="Times New Roman;serif"/>
          <w:b w:val="false"/>
          <w:color w:val="000000"/>
          <w:sz w:val="22"/>
        </w:rPr>
        <w:t>means the collective reference to each mortgage, deed of trust or other real property security document, encumbering any real property now or hereafter owned by any Loan Party, in each case, in form and substance reasonably satisfactory to the Administrative Agent and executed by such Loan Party in favor of the Administrative Agent, for the ratable benefit of the Secured Parties, as any such document may be amended,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Multiemployer Plan</w:t>
      </w:r>
      <w:r>
        <w:rPr>
          <w:color w:val="000000"/>
        </w:rPr>
        <w:t xml:space="preserve">” </w:t>
      </w:r>
      <w:r>
        <w:rPr>
          <w:rFonts w:ascii="Times New Roman;serif" w:hAnsi="Times New Roman;serif"/>
          <w:b w:val="false"/>
          <w:color w:val="000000"/>
          <w:sz w:val="22"/>
        </w:rPr>
        <w:t>means any employee benefit plan of the type described in Section 4001(a)(3) of ERISA, to which any Loan Party or any ERISA Affiliate makes or is obligated to make contributions, or during the preceding five (5) plan years, has made or been obligated to make contributions.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Multiple Employer Plan</w:t>
      </w:r>
      <w:r>
        <w:rPr>
          <w:color w:val="000000"/>
        </w:rPr>
        <w:t xml:space="preserve">” </w:t>
      </w:r>
      <w:r>
        <w:rPr>
          <w:rFonts w:ascii="Times New Roman;serif" w:hAnsi="Times New Roman;serif"/>
          <w:b w:val="false"/>
          <w:color w:val="000000"/>
          <w:sz w:val="22"/>
        </w:rPr>
        <w:t>means a Plan which has two or more contributing sponsors (including any Loan Party or any ERISA Affiliate) at least two of whom are not under common control, as such a plan is described in Section 4064 of ERISA.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New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2.16(c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Non</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Consenting Lender</w:t>
      </w:r>
      <w:r>
        <w:rPr>
          <w:color w:val="000000"/>
        </w:rPr>
        <w:t xml:space="preserve">” </w:t>
      </w:r>
      <w:r>
        <w:rPr>
          <w:rFonts w:ascii="Times New Roman;serif" w:hAnsi="Times New Roman;serif"/>
          <w:b w:val="false"/>
          <w:color w:val="000000"/>
          <w:sz w:val="22"/>
        </w:rPr>
        <w:t xml:space="preserve">means any Lender that does not approve any consent, waiver or amendment that (a) requires the approval of all Lenders or all affected Lenders, in accordance with the terms of </w:t>
      </w:r>
      <w:r>
        <w:rPr>
          <w:rFonts w:ascii="Times New Roman;serif" w:hAnsi="Times New Roman;serif"/>
          <w:b w:val="false"/>
          <w:color w:val="000000"/>
          <w:sz w:val="22"/>
          <w:u w:val="single"/>
        </w:rPr>
        <w:t>Section 11.01</w:t>
      </w:r>
      <w:r>
        <w:rPr>
          <w:color w:val="000000"/>
        </w:rPr>
        <w:t xml:space="preserve"> </w:t>
      </w:r>
      <w:r>
        <w:rPr>
          <w:rFonts w:ascii="Times New Roman;serif" w:hAnsi="Times New Roman;serif"/>
          <w:b w:val="false"/>
          <w:color w:val="000000"/>
          <w:sz w:val="22"/>
        </w:rPr>
        <w:t>and (b) has been approved by the Required Lenders.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Non</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Defaulting Lender</w:t>
      </w:r>
      <w:r>
        <w:rPr>
          <w:color w:val="000000"/>
        </w:rPr>
        <w:t xml:space="preserve">” </w:t>
      </w:r>
      <w:r>
        <w:rPr>
          <w:rFonts w:ascii="Times New Roman;serif" w:hAnsi="Times New Roman;serif"/>
          <w:b w:val="false"/>
          <w:color w:val="000000"/>
          <w:sz w:val="22"/>
        </w:rPr>
        <w:t>means, at any time, each Lender that is not a Defaulting Lender at such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Note</w:t>
      </w:r>
      <w:r>
        <w:rPr>
          <w:color w:val="000000"/>
        </w:rPr>
        <w:t xml:space="preserve">” </w:t>
      </w:r>
      <w:r>
        <w:rPr>
          <w:rFonts w:ascii="Times New Roman;serif" w:hAnsi="Times New Roman;serif"/>
          <w:b w:val="false"/>
          <w:color w:val="000000"/>
          <w:sz w:val="22"/>
        </w:rPr>
        <w:t xml:space="preserve">means a promissory note made by the Borrower in favor of a Revolving Lender evidencing Revolving Loans or Swingline Loans, as the case may be, made by such Revolving Lender, substantially in the form of </w:t>
      </w:r>
      <w:r>
        <w:rPr>
          <w:rFonts w:ascii="Times New Roman;serif" w:hAnsi="Times New Roman;serif"/>
          <w:b w:val="false"/>
          <w:color w:val="000000"/>
          <w:sz w:val="22"/>
          <w:u w:val="single"/>
        </w:rPr>
        <w:t>Exhibit G</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701675"/>
                <wp:effectExtent l="0" t="0" r="0" b="0"/>
                <wp:wrapNone/>
                <wp:docPr id="176" name="Frame17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Notice of Loan Prepayment</w:t>
      </w:r>
      <w:r>
        <w:rPr>
          <w:color w:val="000000"/>
        </w:rPr>
        <w:t xml:space="preserve">” </w:t>
      </w:r>
      <w:r>
        <w:rPr>
          <w:rFonts w:ascii="Times New Roman;serif" w:hAnsi="Times New Roman;serif"/>
          <w:b w:val="false"/>
          <w:color w:val="000000"/>
          <w:sz w:val="22"/>
        </w:rPr>
        <w:t xml:space="preserve">means a notice of prepayment with respect to a Loan, which shall be substantially in the form of </w:t>
      </w:r>
      <w:r>
        <w:rPr>
          <w:rFonts w:ascii="Times New Roman;serif" w:hAnsi="Times New Roman;serif"/>
          <w:b w:val="false"/>
          <w:color w:val="000000"/>
          <w:sz w:val="22"/>
          <w:u w:val="single"/>
        </w:rPr>
        <w:t>Exhibit K</w:t>
      </w:r>
      <w:r>
        <w:rPr>
          <w:color w:val="000000"/>
        </w:rPr>
        <w:t xml:space="preserve"> </w:t>
      </w:r>
      <w:r>
        <w:rPr>
          <w:rFonts w:ascii="Times New Roman;serif" w:hAnsi="Times New Roman;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Obligations</w:t>
      </w:r>
      <w:r>
        <w:rPr>
          <w:color w:val="000000"/>
        </w:rPr>
        <w:t xml:space="preserve">” </w:t>
      </w:r>
      <w:r>
        <w:rPr>
          <w:rFonts w:ascii="Times New Roman;serif" w:hAnsi="Times New Roman;serif"/>
          <w:b w:val="false"/>
          <w:color w:val="000000"/>
          <w:sz w:val="22"/>
        </w:rPr>
        <w:t xml:space="preserve">means (a) all advances to, and debts, liabilities, obligations, covenants and duties of, any Loan Party arising under any Loan Document or otherwise with respect to any Loan, or Letter of Credit (including any Erroneous Payment Subrogation Rights) and (b) all documented out-of-pocket costs and expenses incurred in connection with enforcement and collection of the foregoing, including the reasonable and documented fees, charges and disbursements of outside counsel, in each case whether direct or indirect (including those acquired by assumption), absolute or contingent, due or to become due, now existing or hereafter arising and including interest, expenses and fees that accrue after the commencement by or against any Loan Party or any Subsidiary thereof pursuant to any proceeding under any Debtor Relief Laws naming such Person as the debtor in such proceeding, regardless of whether such interest, expenses and fees are allowed claims in such proceeding;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without limiting the foregoing, the Obligations of a Guarantor shall exclude any Excluded Swap Obligations with respect to such Guarantor. “</w:t>
      </w:r>
      <w:r>
        <w:rPr>
          <w:rFonts w:ascii="Times New Roman;serif" w:hAnsi="Times New Roman;serif"/>
          <w:b w:val="false"/>
          <w:i/>
          <w:color w:val="000000"/>
          <w:sz w:val="22"/>
          <w:u w:val="single"/>
        </w:rPr>
        <w:t>OFAC</w:t>
      </w:r>
      <w:r>
        <w:rPr>
          <w:color w:val="000000"/>
        </w:rPr>
        <w:t xml:space="preserve">” </w:t>
      </w:r>
      <w:r>
        <w:rPr>
          <w:rFonts w:ascii="Times New Roman;serif" w:hAnsi="Times New Roman;serif"/>
          <w:b w:val="false"/>
          <w:color w:val="000000"/>
          <w:sz w:val="22"/>
        </w:rPr>
        <w:t>means the Office of Foreign Assets Control of the United States Department of the Treasury.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Organization Documents</w:t>
      </w:r>
      <w:r>
        <w:rPr>
          <w:color w:val="000000"/>
        </w:rPr>
        <w:t xml:space="preserve">” </w:t>
      </w:r>
      <w:r>
        <w:rPr>
          <w:rFonts w:ascii="Times New Roman;serif" w:hAnsi="Times New Roman;serif"/>
          <w:b w:val="false"/>
          <w:color w:val="000000"/>
          <w:sz w:val="22"/>
        </w:rPr>
        <w:t>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and (c) with respect to any partnership, joint venture, trust or other form of business entity, the partnership, joint venture or other applicable agreement of formation or organization (or equivalent or comparable documents with respect to any non-U.S. jurisdiction) and any agreement, instrument, filing or notice with respect thereto filed in connection with its formation or organization with the applicable Governmental Authority in the jurisdiction of its formation or organization.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Other Connection Taxes</w:t>
      </w:r>
      <w:r>
        <w:rPr>
          <w:color w:val="000000"/>
        </w:rPr>
        <w:t xml:space="preserve">” </w:t>
      </w:r>
      <w:r>
        <w:rPr>
          <w:rFonts w:ascii="Times New Roman;serif" w:hAnsi="Times New Roman;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Other Taxes</w:t>
      </w:r>
      <w:r>
        <w:rPr>
          <w:color w:val="000000"/>
        </w:rPr>
        <w:t xml:space="preserve">” </w:t>
      </w:r>
      <w:r>
        <w:rPr>
          <w:rFonts w:ascii="Times New Roman;serif" w:hAnsi="Times New Roman;serif"/>
          <w:b w:val="false"/>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erif" w:hAnsi="Times New Roman;serif"/>
          <w:b w:val="false"/>
          <w:color w:val="000000"/>
          <w:sz w:val="22"/>
          <w:u w:val="single"/>
        </w:rPr>
        <w:t>Section 3.06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Outbound Investment Rules</w:t>
      </w:r>
      <w:r>
        <w:rPr>
          <w:color w:val="000000"/>
        </w:rPr>
        <w:t xml:space="preserve">” </w:t>
      </w:r>
      <w:r>
        <w:rPr>
          <w:rFonts w:ascii="Times New Roman;serif" w:hAnsi="Times New Roman;serif"/>
          <w:b w:val="false"/>
          <w:color w:val="000000"/>
          <w:sz w:val="22"/>
        </w:rPr>
        <w:t>means the regulations administered and enforced, together with any related public guidance issued, by the United States Treasury Department under U.S. Executive Order 14105 of August 9, 2023, or any similar law or regulation, and as codified at 31 C.F.R. § 850.101 et seq.</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Outstanding Amount</w:t>
      </w:r>
      <w:r>
        <w:rPr>
          <w:color w:val="000000"/>
        </w:rPr>
        <w:t xml:space="preserve">” </w:t>
      </w:r>
      <w:r>
        <w:rPr>
          <w:rFonts w:ascii="Times New Roman;serif" w:hAnsi="Times New Roman;serif"/>
          <w:b w:val="false"/>
          <w:color w:val="000000"/>
          <w:sz w:val="22"/>
        </w:rPr>
        <w:t>means (a) with respect to Revolving Loans and Swingline Loans on any date, the aggregate outstanding principal amount thereof after giving effect to any Borrowings and prepayments or repayments of Revolving Loans and Swingline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Parent</w:t>
      </w:r>
      <w:r>
        <w:rPr>
          <w:color w:val="000000"/>
        </w:rPr>
        <w:t xml:space="preserve">” </w:t>
      </w:r>
      <w:r>
        <w:rPr>
          <w:rFonts w:ascii="Times New Roman;serif" w:hAnsi="Times New Roman;serif"/>
          <w:b w:val="false"/>
          <w:color w:val="000000"/>
          <w:sz w:val="22"/>
        </w:rPr>
        <w:t>has the meaning specified in the introductory paragraph 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Participant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11.06(d</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701675"/>
                <wp:effectExtent l="0" t="0" r="0" b="0"/>
                <wp:wrapNone/>
                <wp:docPr id="177" name="Frame17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Participant 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11.06(d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Patriot Act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11.19</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Payment Recipient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9.13(a)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PBGC</w:t>
      </w:r>
      <w:r>
        <w:rPr>
          <w:color w:val="000000"/>
        </w:rPr>
        <w:t xml:space="preserve">” </w:t>
      </w:r>
      <w:r>
        <w:rPr>
          <w:rFonts w:ascii="Times New Roman;serif" w:hAnsi="Times New Roman;serif"/>
          <w:b w:val="false"/>
          <w:color w:val="000000"/>
          <w:sz w:val="22"/>
        </w:rPr>
        <w:t>means the Pension Benefit Guaranty Corporation.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Pension Funding Rules</w:t>
      </w:r>
      <w:r>
        <w:rPr>
          <w:color w:val="000000"/>
        </w:rPr>
        <w:t xml:space="preserve">” </w:t>
      </w:r>
      <w:r>
        <w:rPr>
          <w:rFonts w:ascii="Times New Roman;serif" w:hAnsi="Times New Roman;serif"/>
          <w:b w:val="false"/>
          <w:color w:val="000000"/>
          <w:sz w:val="22"/>
        </w:rPr>
        <w:t>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Pension Plan</w:t>
      </w:r>
      <w:r>
        <w:rPr>
          <w:color w:val="000000"/>
        </w:rPr>
        <w:t xml:space="preserve">” </w:t>
      </w:r>
      <w:r>
        <w:rPr>
          <w:rFonts w:ascii="Times New Roman;serif" w:hAnsi="Times New Roman;serif"/>
          <w:b w:val="false"/>
          <w:color w:val="000000"/>
          <w:sz w:val="22"/>
        </w:rPr>
        <w:t>means any employee pension benefit plan (including a Multiple Employer Plan or a Multiemployer Plan) that is maintained or is contributed to by any Loan Party or any ERISA Affiliate and is either covered by Title IV of ERISA or is subject to the minimum funding standards under Section 412 of the Code.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Perfection Certificate</w:t>
      </w:r>
      <w:r>
        <w:rPr>
          <w:color w:val="000000"/>
        </w:rPr>
        <w:t xml:space="preserve">” </w:t>
      </w:r>
      <w:r>
        <w:rPr>
          <w:rFonts w:ascii="Times New Roman;serif" w:hAnsi="Times New Roman;serif"/>
          <w:b w:val="false"/>
          <w:color w:val="000000"/>
          <w:sz w:val="22"/>
        </w:rPr>
        <w:t>means that certain Perfection Certificate dated as of the Closing Date from the Borrower and the other Loan Parties to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Permitted Acquisition</w:t>
      </w:r>
      <w:r>
        <w:rPr>
          <w:color w:val="000000"/>
        </w:rPr>
        <w:t xml:space="preserve">” </w:t>
      </w:r>
      <w:r>
        <w:rPr>
          <w:rFonts w:ascii="Times New Roman;serif" w:hAnsi="Times New Roman;serif"/>
          <w:b w:val="false"/>
          <w:color w:val="000000"/>
          <w:sz w:val="22"/>
        </w:rPr>
        <w:t>means an Acquisition by a Loan Party or a Managed Company (the Person or division, line of business or other business unit of the Person to be acquired in such Acquisition shall be referred to herein as the “</w:t>
      </w:r>
      <w:r>
        <w:rPr>
          <w:rFonts w:ascii="Times New Roman;serif" w:hAnsi="Times New Roman;serif"/>
          <w:b w:val="false"/>
          <w:i/>
          <w:color w:val="000000"/>
          <w:sz w:val="22"/>
          <w:u w:val="single"/>
        </w:rPr>
        <w:t>Target</w:t>
      </w:r>
      <w:r>
        <w:rPr>
          <w:color w:val="000000"/>
        </w:rPr>
        <w:t>”</w:t>
      </w:r>
      <w:r>
        <w:rPr>
          <w:rFonts w:ascii="Times New Roman;serif" w:hAnsi="Times New Roman;serif"/>
          <w:b w:val="false"/>
          <w:color w:val="000000"/>
          <w:sz w:val="22"/>
        </w:rPr>
        <w:t xml:space="preserve">), in each case that is a type of business (or assets used in a type of business) permitted to be engaged in by the Loan Parties, its Subsidiaries or the Managed Companies pursuant to </w:t>
      </w:r>
      <w:r>
        <w:rPr>
          <w:rFonts w:ascii="Times New Roman;serif" w:hAnsi="Times New Roman;serif"/>
          <w:b w:val="false"/>
          <w:color w:val="000000"/>
          <w:sz w:val="22"/>
          <w:u w:val="single"/>
        </w:rPr>
        <w:t>Section 7.07(a)</w:t>
      </w:r>
      <w:r>
        <w:rPr>
          <w:rFonts w:ascii="Times New Roman;serif" w:hAnsi="Times New Roman;serif"/>
          <w:b w:val="false"/>
          <w:color w:val="000000"/>
          <w:sz w:val="22"/>
        </w:rPr>
        <w:t>, in each case so long as (and subject, in the case of an Acquisition that is a Limited Condition Transaction, to Section 1.09):</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color w:val="000000"/>
        </w:rPr>
        <w:t xml:space="preserve"> </w:t>
      </w:r>
      <w:r>
        <w:rPr>
          <w:rFonts w:ascii="Times New Roman;serif" w:hAnsi="Times New Roman;serif"/>
          <w:b w:val="false"/>
          <w:color w:val="000000"/>
          <w:sz w:val="22"/>
        </w:rPr>
        <w:t>no Event of Default shall then exist or would exist after giving effect thereto;</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(k)all material consents, permits and approvals (governmental or otherwise) required for the consummation of such Acquisition shall have been duly obtained, and are in full force and effect, and such Acquisition is consummated in accordance with the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(l)Borrower shall have furnished to Administrative Agent a certificate executed by a Responsible Officer of the Borrower evidencing that after giving effect to the Acquisition on a Pro Forma Basis, the</w:t>
      </w:r>
      <w:r>
        <w:rPr>
          <w:color w:val="000000"/>
        </w:rPr>
        <w:t xml:space="preserve"> </w:t>
      </w:r>
      <w:r>
        <w:rPr>
          <w:rFonts w:ascii="Times New Roman;serif" w:hAnsi="Times New Roman;serif"/>
          <w:b w:val="false"/>
          <w:color w:val="000000"/>
          <w:sz w:val="22"/>
        </w:rPr>
        <w:t xml:space="preserve">Combined Group is in compliance with the financial covenants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determined as of the end of the most recently ended Measurement Period, together with reasonably detailed backup data and calculations showing such compliance</w:t>
      </w:r>
      <w:r>
        <w:rPr>
          <w:rFonts w:ascii="Times New Roman;serif" w:hAnsi="Times New Roman;serif"/>
          <w:b/>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(m)with respect to any transaction involving acquisition consideration of more than $10,000,000, the Administrative Agent and the Lenders shall have received not less than ten (10)</w:t>
      </w:r>
      <w:r>
        <w:rPr>
          <w:color w:val="000000"/>
        </w:rPr>
        <w:t xml:space="preserve"> </w:t>
      </w:r>
      <w:r>
        <w:rPr>
          <w:rFonts w:ascii="Times New Roman;serif" w:hAnsi="Times New Roman;serif"/>
          <w:b w:val="false"/>
          <w:color w:val="000000"/>
          <w:sz w:val="22"/>
        </w:rPr>
        <w:t>days (or such shorter period as may be agreed to by the Administrative Agent in its sole discretion) prior to the consummation of any such</w:t>
      </w:r>
      <w:r>
        <w:rPr>
          <w:color w:val="000000"/>
        </w:rPr>
        <w:t xml:space="preserve"> </w:t>
      </w:r>
      <w:r>
        <w:rPr>
          <w:rFonts w:ascii="Times New Roman;serif" w:hAnsi="Times New Roman;serif"/>
          <w:b w:val="false"/>
          <w:color w:val="000000"/>
          <w:sz w:val="22"/>
        </w:rPr>
        <w:t>Acquisition</w:t>
      </w:r>
      <w:r>
        <w:rPr>
          <w:color w:val="000000"/>
        </w:rPr>
        <w:t xml:space="preserve"> </w:t>
      </w:r>
      <w:r>
        <w:rPr>
          <w:rFonts w:ascii="Times New Roman;serif" w:hAnsi="Times New Roman;serif"/>
          <w:b w:val="false"/>
          <w:color w:val="000000"/>
          <w:sz w:val="22"/>
        </w:rPr>
        <w:t xml:space="preserve">(i) a description of the material terms of such Acquisition, (ii) audited financial statements (or, if unavailable, management-prepared financial statements) of the Target for its two most recent fiscal years (or, if less, the number of years since formation) and for any fiscal quarters ended within the fiscal year to date, (iii) consolidated projected income statements of the Combined Group (giving effect to such Acquisition), and (iv) a certificate in form and substance reasonably satisfactory to the Administrative Agent, executed by a Responsible Officer of the Borrower certifying that such Permitted Acquisition complies or will comply with this definition at the time such Acquisition is consummated;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(n)the Administrative Agent and the Lenders shall have received not less than three (3)</w:t>
      </w:r>
      <w:r>
        <w:rPr>
          <w:color w:val="000000"/>
        </w:rPr>
        <w:t xml:space="preserve"> </w:t>
      </w:r>
      <w:r>
        <w:rPr>
          <w:rFonts w:ascii="Times New Roman;serif" w:hAnsi="Times New Roman;serif"/>
          <w:b w:val="false"/>
          <w:color w:val="000000"/>
          <w:sz w:val="22"/>
        </w:rPr>
        <w:t xml:space="preserve">Business Days (or such shorter period as may be agreed to by the Administrative Agent in its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701675"/>
                <wp:effectExtent l="0" t="0" r="0" b="0"/>
                <wp:wrapNone/>
                <wp:docPr id="178" name="Frame17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sole discretion) prior to the consummation of any such</w:t>
      </w:r>
      <w:r>
        <w:rPr>
          <w:color w:val="000000"/>
        </w:rPr>
        <w:t xml:space="preserve"> </w:t>
      </w:r>
      <w:r>
        <w:rPr>
          <w:rFonts w:ascii="Times New Roman;serif" w:hAnsi="Times New Roman;serif"/>
          <w:b w:val="false"/>
          <w:color w:val="000000"/>
          <w:sz w:val="22"/>
        </w:rPr>
        <w:t>Acquisition,</w:t>
      </w:r>
      <w:r>
        <w:rPr>
          <w:color w:val="000000"/>
        </w:rPr>
        <w:t xml:space="preserve"> </w:t>
      </w:r>
      <w:r>
        <w:rPr>
          <w:rFonts w:ascii="Times New Roman;serif" w:hAnsi="Times New Roman;serif"/>
          <w:b w:val="false"/>
          <w:color w:val="000000"/>
          <w:sz w:val="22"/>
        </w:rPr>
        <w:t xml:space="preserve">copies of the material draft documentation pertaining to such Acquisition;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(o)to the extent Target to be acquired had negative Consolidated EBITDA for the most recently ended Measurement Period prior to the proposed closing date of such Acquisition, such Consolidated EBITDA shall be no less than negative $5,000,000; and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(p)such Acquisition shall not be a “hostile” Acquisition and shall have been approved by the board of directors (or equivalent) and/or shareholders (or equivalent) of the Target, solely to the extent such approvals are required under the Target’s Organization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Permitted Bond Hedge Transaction</w:t>
      </w:r>
      <w:r>
        <w:rPr>
          <w:color w:val="000000"/>
        </w:rPr>
        <w:t xml:space="preserve">” </w:t>
      </w:r>
      <w:r>
        <w:rPr>
          <w:rFonts w:ascii="Times New Roman;serif" w:hAnsi="Times New Roman;serif"/>
          <w:b w:val="false"/>
          <w:color w:val="000000"/>
          <w:sz w:val="22"/>
        </w:rPr>
        <w:t xml:space="preserve">means any bond hedge, call or capped call option (or substantively equivalent derivative transaction) relating to Parent’s common stock (or other securities or property following a merger event, reclassification or other change of the common stock of Parent) purchased by Parent in connection with the issuance of any Permitted Convertible Indebtedness and settled in common stock of the Parent (or such other securities or property), cash or a combination thereof (such amount of cash determined by reference to the price of the Parent’s common stock or such other securities or property), and cash in lieu of fractional shares of common stock of the Parent;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purchase price of any such Permitted Bond Hedge Transaction is made with, and the purchase price thereof less the proceeds received by Parent from the sale of any substantially concurrent Permitted Warrant Transaction, shall not exceed, the net proceeds received by Parent from the issuance of such Permitted Convertible Indebtedness and issued in connection with such Permitted Bond Hedge Transaction;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the other terms, conditions and covenants of each such transaction shall be such as are customary for transactions of such type (as determined by the Parent in good faith).</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Permitted Convertible Indebtedness</w:t>
      </w:r>
      <w:r>
        <w:rPr>
          <w:color w:val="000000"/>
        </w:rPr>
        <w:t xml:space="preserve">” </w:t>
      </w:r>
      <w:r>
        <w:rPr>
          <w:rFonts w:ascii="Times New Roman;serif" w:hAnsi="Times New Roman;serif"/>
          <w:b w:val="false"/>
          <w:color w:val="000000"/>
          <w:sz w:val="22"/>
        </w:rPr>
        <w:t xml:space="preserve">means (a) the Existing Convertible Notes, (b) unsecured Indebtedness of Parent that (i) as of the date of issuance thereof contains customary conversion or exchange rights, customary premiums and customary offer to repurchase rights for transactions of such type (in each case, as determined by the Parent in good faith) and (ii) is convertible into or exchangeable for shares of common stock of the Parent (or other securities or property following a merger event, reclassification or other change of the common stock of the Parent), cash or a combination thereof (such amount of cash determined by reference to the price of the Parent’s common stock or such other securities or property), and cash in lieu of fractional shares of common stock of the Parent;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that such Indebtedness is permitted to be incurred under </w:t>
      </w:r>
      <w:r>
        <w:rPr>
          <w:rFonts w:ascii="Times New Roman;serif" w:hAnsi="Times New Roman;serif"/>
          <w:b w:val="false"/>
          <w:color w:val="000000"/>
          <w:sz w:val="22"/>
          <w:u w:val="single"/>
        </w:rPr>
        <w:t>Section 7.02(u)</w:t>
      </w:r>
      <w:r>
        <w:rPr>
          <w:color w:val="000000"/>
        </w:rPr>
        <w:t xml:space="preserve"> </w:t>
      </w:r>
      <w:r>
        <w:rPr>
          <w:rFonts w:ascii="Times New Roman;serif" w:hAnsi="Times New Roman;serif"/>
          <w:b w:val="false"/>
          <w:color w:val="000000"/>
          <w:sz w:val="22"/>
        </w:rPr>
        <w:t>(“</w:t>
      </w:r>
      <w:r>
        <w:rPr>
          <w:rFonts w:ascii="Times New Roman;serif" w:hAnsi="Times New Roman;serif"/>
          <w:b w:val="false"/>
          <w:i/>
          <w:color w:val="000000"/>
          <w:sz w:val="22"/>
          <w:u w:val="single"/>
        </w:rPr>
        <w:t>Additional Permitted Convertible Indebtedness</w:t>
      </w:r>
      <w:r>
        <w:rPr>
          <w:color w:val="000000"/>
        </w:rPr>
        <w:t>”</w:t>
      </w:r>
      <w:r>
        <w:rPr>
          <w:rFonts w:ascii="Times New Roman;serif" w:hAnsi="Times New Roman;serif"/>
          <w:b w:val="false"/>
          <w:color w:val="000000"/>
          <w:sz w:val="22"/>
        </w:rPr>
        <w:t>) and (c) Permitted Convertible Note Refinancings.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Permitted Convertible Note Refinancing</w:t>
      </w:r>
      <w:r>
        <w:rPr>
          <w:color w:val="000000"/>
        </w:rPr>
        <w:t xml:space="preserve">” </w:t>
      </w:r>
      <w:r>
        <w:rPr>
          <w:rFonts w:ascii="Times New Roman;serif" w:hAnsi="Times New Roman;serif"/>
          <w:b w:val="false"/>
          <w:color w:val="000000"/>
          <w:sz w:val="22"/>
        </w:rPr>
        <w:t>means Indebtedness constituting a refinancing or extension of the Permitted Convertible Indebtedness that (a) does not have a maturity date prior to 91 days after the Revolving Credit Termination Date or require any payment of principal in respect thereof in any manner materially different from the repayment requirements set forth in such Permitted Convertible Indebtedness being refinanced or extended, (b) does not require or permit any cash payment of interest in respect thereof at a rate in excess of the then prevailing market rate payable by a similarly situated corporate issuer issuing similar convertible indebtedness, (c) is not supported by guaranties that are more favorable than the guaranties supporting the Obligations, (d) does not require representations, warranties, covenants or events of default that are more restrictive, taken as a whole, than those set forth herein, and (e) is unsecured.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Permitted Liens</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7.01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Permitted Refinancing Debt</w:t>
      </w:r>
      <w:r>
        <w:rPr>
          <w:color w:val="000000"/>
        </w:rPr>
        <w:t xml:space="preserve">” </w:t>
      </w:r>
      <w:r>
        <w:rPr>
          <w:rFonts w:ascii="Times New Roman;serif" w:hAnsi="Times New Roman;serif"/>
          <w:b w:val="false"/>
          <w:color w:val="000000"/>
          <w:sz w:val="22"/>
        </w:rPr>
        <w:t>means any Indebtedness (the “</w:t>
      </w:r>
      <w:r>
        <w:rPr>
          <w:rFonts w:ascii="Times New Roman;serif" w:hAnsi="Times New Roman;serif"/>
          <w:b w:val="false"/>
          <w:color w:val="000000"/>
          <w:sz w:val="22"/>
          <w:u w:val="single"/>
        </w:rPr>
        <w:t>Refinancing Indebtedness</w:t>
      </w:r>
      <w:r>
        <w:rPr>
          <w:color w:val="000000"/>
        </w:rPr>
        <w:t>”</w:t>
      </w:r>
      <w:r>
        <w:rPr>
          <w:rFonts w:ascii="Times New Roman;serif" w:hAnsi="Times New Roman;serif"/>
          <w:b w:val="false"/>
          <w:color w:val="000000"/>
          <w:sz w:val="22"/>
        </w:rPr>
        <w:t>), the proceeds of which are used as a replacement, refinancing, refunding, renewal or extension of any outstanding Indebtedness (such outstanding Indebtedness, the “</w:t>
      </w:r>
      <w:r>
        <w:rPr>
          <w:rFonts w:ascii="Times New Roman;serif" w:hAnsi="Times New Roman;serif"/>
          <w:b w:val="false"/>
          <w:color w:val="000000"/>
          <w:sz w:val="22"/>
          <w:u w:val="single"/>
        </w:rPr>
        <w:t>Refinanced Indebtedness</w:t>
      </w:r>
      <w:r>
        <w:rPr>
          <w:color w:val="000000"/>
        </w:rPr>
        <w:t>”</w:t>
      </w:r>
      <w:r>
        <w:rPr>
          <w:rFonts w:ascii="Times New Roman;serif" w:hAnsi="Times New Roman;serif"/>
          <w:b w:val="false"/>
          <w:color w:val="000000"/>
          <w:sz w:val="22"/>
        </w:rPr>
        <w:t xml:space="preserve">); provided that (i) the principal amount (or accreted value, if applicable) of such Refinancing Indebtedness (including any unused commitments thereunder) does not exceed the principal amount (or accreted value, if applicable) of the Refinanced Indebtedness except by an amount equal to unpaid accrued interest and premium thereon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other reasonable amounts paid, and fees and expenses reasonably incurred, in connection with such replacement, refinancing, refunding, renewal or extension and by an amount equal to any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701675"/>
                <wp:effectExtent l="0" t="0" r="0" b="0"/>
                <wp:wrapNone/>
                <wp:docPr id="179" name="Frame17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existing commitments unutilized thereunder; (ii) the Refinancing Indebtedness has a final stated maturity no earlier and a Weighted Average Life to Maturity no shorter than the Refinanced Indebtedness, and such Refinancing Indebtedness does not require any scheduled payment of principal, mandatory repayment, redemption or repurchase that is more favorable to the holders of the Refinancing Indebtedness than the corresponding terms (if any) of the Refinanced Indebtedness; (iii) at the time thereof, no Event of Default shall have occurred and be continuing; (iv) if the Refinanced Indebtedness is unsecured, such Refinancing Indebtedness is unsecured; (v) if the Refinanced Indebtedness is subordinated in right of payment to the Secured Obligations (or the Liens securing such Refinanced Indebtedness were originally contractually subordinated to the Liens securing the Collateral pursuant to the Collateral Documents), such Refinancing Indebtedness is subordinated in right of payment to the Secured Obligations (or the Liens securing such Refinancing Indebtedness shall be subordinated to the Liens securing the Collateral pursuant to the Collateral Documents) on terms, taken as a whole, at least as favorable to the Lenders as those contained in the documentation governing the Refinanced Indebtedness or otherwise reasonably acceptable to the Administrative Agent; (vi) if the Refinanced Indebtedness is secured, such Refinancing Indebtedness shall not be secured by more collateral than the Refinanced Indebtedness, and shall not have Liens of a higher priority than the Liens, if any, securing the Refinanced Indebtedness ; and (vii) the primary obligors and guarantors in respect of such Refinanced Indebtedness remain the same (or constitute a subset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Permitted Transfers</w:t>
      </w:r>
      <w:r>
        <w:rPr>
          <w:color w:val="000000"/>
        </w:rPr>
        <w:t xml:space="preserve">” </w:t>
      </w:r>
      <w:r>
        <w:rPr>
          <w:rFonts w:ascii="Times New Roman;serif" w:hAnsi="Times New Roman;serif"/>
          <w:b w:val="false"/>
          <w:color w:val="000000"/>
          <w:sz w:val="22"/>
        </w:rPr>
        <w:t>means (a) Dispositions of inventory and equipment in the ordinary course of business; (b) Dispositions of property (i) by any Loan Party to any other Loan Party, (ii) by any non-Loan Party to any Loan Party or any other non-Loan Party; (c) Dispositions or discounts of accounts receivable in connection with the collection or compromise thereof; (d)  Dispositions and/or terminations of leases, subleases, licenses or sublicenses which do not interfere in any material respect with the business of the Parent and its Subsidiaries; (e) the Disposition of Cash Equivalents; (f) terminations or unwinds of Swap Contracts; (g) Dispositions of real estate assets and related assets in the ordinary course of business in connection with relocation activities for directors, officers, employees, members of management, managers or consultants of the Parent and/or any Subsidiary; (h) Dispositions made to comply with any order or any agency of the U.S. federal government, any state, authority or other regulatory body or any Applicable Law; and (i) Dispositions of property by any Managed Company to any other Managed Company.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Permitted Warrant Transaction</w:t>
      </w:r>
      <w:r>
        <w:rPr>
          <w:color w:val="000000"/>
        </w:rPr>
        <w:t xml:space="preserve">” </w:t>
      </w:r>
      <w:r>
        <w:rPr>
          <w:rFonts w:ascii="Times New Roman;serif" w:hAnsi="Times New Roman;serif"/>
          <w:b w:val="false"/>
          <w:color w:val="000000"/>
          <w:sz w:val="22"/>
        </w:rPr>
        <w:t xml:space="preserve">means any call option, warrant or right to purchase (or substantively equivalent derivative transaction) relating to Parent’s common stock (or other securities or property following a merger event, reclassification or other change of the common stock of Parent) sold by Parent substantially concurrently with any purchase by Parent of a Permitted Bond Hedge Transaction and settled in common stock of the Parent (or such other securities or property), cash or a combination thereof (such amount of cash determined by reference to the price of the Parent’s common stock or such other securities or property), and cash in lieu of fractional shares of common stock of the Parent;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terms, conditions and covenants of each such transaction shall be such as are customary for transactions of such type (as determined by the Parent in good faith).</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Person</w:t>
      </w:r>
      <w:r>
        <w:rPr>
          <w:color w:val="000000"/>
        </w:rPr>
        <w:t xml:space="preserve">” </w:t>
      </w:r>
      <w:r>
        <w:rPr>
          <w:rFonts w:ascii="Times New Roman;serif" w:hAnsi="Times New Roman;serif"/>
          <w:b w:val="false"/>
          <w:color w:val="000000"/>
          <w:sz w:val="22"/>
        </w:rPr>
        <w:t>means any natural person, corporation, limited liability company, trust, joint venture, association, company, partnership, Governmental Authority or other entity.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Plan</w:t>
      </w:r>
      <w:r>
        <w:rPr>
          <w:color w:val="000000"/>
        </w:rPr>
        <w:t xml:space="preserve">” </w:t>
      </w:r>
      <w:r>
        <w:rPr>
          <w:rFonts w:ascii="Times New Roman;serif" w:hAnsi="Times New Roman;serif"/>
          <w:b w:val="false"/>
          <w:color w:val="000000"/>
          <w:sz w:val="22"/>
        </w:rPr>
        <w:t xml:space="preserve">means any employee benefit plan within the meaning of Section 3(3) of ERISA (including a Pension Plan), maintained by any Loan Party for the benefit of any of its employees or any such Plan to which any Loan Party is required to contribute on behalf of any of its employees.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Platform</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6.02(q)</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Pledged Equity</w:t>
      </w:r>
      <w:r>
        <w:rPr>
          <w:color w:val="000000"/>
        </w:rPr>
        <w:t xml:space="preserve">” </w:t>
      </w:r>
      <w:r>
        <w:rPr>
          <w:rFonts w:ascii="Times New Roman;serif" w:hAnsi="Times New Roman;serif"/>
          <w:b w:val="false"/>
          <w:color w:val="000000"/>
          <w:sz w:val="22"/>
        </w:rPr>
        <w:t>has the meaning specified in the Security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Privacy Laws</w:t>
      </w:r>
      <w:r>
        <w:rPr>
          <w:color w:val="000000"/>
        </w:rPr>
        <w:t xml:space="preserve">” </w:t>
      </w:r>
      <w:r>
        <w:rPr>
          <w:rFonts w:ascii="Times New Roman;serif" w:hAnsi="Times New Roman;serif"/>
          <w:b w:val="false"/>
          <w:color w:val="000000"/>
          <w:sz w:val="22"/>
        </w:rPr>
        <w:t>is defined in the definition of “Health Care Laws” herein.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Pro Forma Basis</w:t>
      </w:r>
      <w:r>
        <w:rPr>
          <w:color w:val="000000"/>
        </w:rPr>
        <w:t xml:space="preserve">” </w:t>
      </w:r>
      <w:r>
        <w:rPr>
          <w:rFonts w:ascii="Times New Roman;serif" w:hAnsi="Times New Roman;serif"/>
          <w:b w:val="false"/>
          <w:color w:val="000000"/>
          <w:sz w:val="22"/>
        </w:rPr>
        <w:t>means with respect to any Specified Transaction or any proposed Specified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701675"/>
                <wp:effectExtent l="0" t="0" r="0" b="0"/>
                <wp:wrapNone/>
                <wp:docPr id="180" name="Frame17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(q)Consolidated EBITDA, Consolidated Secured Leverage Ratio, Consolidated Senior Secured Leverage Ratio, and Consolidated Total Leverage Ratio shall be calculated on a pro forma basis, assuming that all Specified Transactions that occurred during the most recent Measurement Period (and all other Specified Transactions after such Measurement Period, but prior to the end of the then current fiscal quarter) had occurred on the first day of such Measurement Period and the following pro forma adjustments shall be made (it being understood that with respect to proposed Specified Transactions, these calculations are solely for purposes of determining whether any action is otherwise permitted to be taken hereunder and not for determining “Applicable Rate”, “Commitment Fee” or compliance with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as of the end of any applicable fiscal quarter):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(i)in the case of such actual or proposed Disposition, all income statement items (whether positive or negative) attributable to the Equity Interests, assets, division or line of business of the Person subject to such Disposition shall be excluded from the results of the Combined Group for such Measurement Period;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(ii)in the case of an actual or proposed Acquisition, income statement items (whether positive or negative) attributable to the Equity Interests, property, line of business or the Person subject to such Acquisition shall be included in the results of the Combined Group for such Measurement Period;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(iii)interest accrued during the relevant Measurement Period on, and the principal of, any Indebtedness repaid or to be repaid or refinanced in such transaction shall be excluded from the results of the Combined Group for such Measurement Period; </w:t>
      </w:r>
    </w:p>
    <w:p>
      <w:pPr>
        <w:pStyle w:val="TextBody"/>
        <w:bidi w:val="0"/>
        <w:spacing w:lineRule="auto" w:line="288" w:before="0" w:after="240"/>
        <w:ind w:left="0" w:right="0" w:firstLine="720"/>
        <w:jc w:val="both"/>
        <w:rPr/>
      </w:pPr>
      <w:r>
        <w:rPr>
          <w:rFonts w:ascii="Times New Roman;serif" w:hAnsi="Times New Roman;serif"/>
          <w:b/>
          <w:color w:val="000000"/>
          <w:sz w:val="22"/>
        </w:rPr>
        <w:t>(iv)</w:t>
      </w:r>
      <w:r>
        <w:rPr>
          <w:rFonts w:ascii="Times New Roman;serif" w:hAnsi="Times New Roman;serif"/>
          <w:b w:val="false"/>
          <w:color w:val="000000"/>
          <w:sz w:val="22"/>
        </w:rPr>
        <w:t>for purposes of determining Consolidated Senior Secured Leverage Ratio, Consolidated Secured Leverage Ratio or Consolidated Total Leverage Ratio, any Indebtedness actually or proposed to be incurred or assumed in such transaction shall be deemed to have been incurred as of the last day of the applicable Measurement Period, and shall be included in the results of the Combined Group for such Measurement Period; and</w:t>
      </w:r>
    </w:p>
    <w:p>
      <w:pPr>
        <w:pStyle w:val="TextBody"/>
        <w:bidi w:val="0"/>
        <w:spacing w:lineRule="auto" w:line="288" w:before="0" w:after="240"/>
        <w:ind w:left="0" w:right="0" w:firstLine="720"/>
        <w:jc w:val="both"/>
        <w:rPr/>
      </w:pPr>
      <w:r>
        <w:rPr>
          <w:rFonts w:ascii="Times New Roman;serif" w:hAnsi="Times New Roman;serif"/>
          <w:b/>
          <w:color w:val="000000"/>
          <w:sz w:val="22"/>
        </w:rPr>
        <w:t>(v)</w:t>
      </w:r>
      <w:r>
        <w:rPr>
          <w:rFonts w:ascii="Times New Roman;serif" w:hAnsi="Times New Roman;serif"/>
          <w:b w:val="false"/>
          <w:color w:val="000000"/>
          <w:sz w:val="22"/>
        </w:rPr>
        <w:t>for all purposes other than determining Consolidated Senior Secured Leverage Ratio, Consolidated Secured Leverage Ratio or Consolidated Total Leverage Ratio, 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Combined Group for such Measurement Period.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(r)Whenever pro forma effect is to be given to a Specified Transaction, the pro forma calculations shall be made in good faith by the Borrower and include, for the avoidance of doubt (and without duplication of clause (b)(iii) of the definition of Consolidated EBITDA), the amount of Cost Saving Synergies projected by the Borrower in good faith to reasonably be expected to be realized from actions that have been taken within 12 months after the closing date of such Specified Transaction (calculated on a pro forma basis as though such Cost Saving Synergies had been realized on the first day of such period and as if such Cost Saving Synergies were realized during the entirety of such period), net of the amount of actual benefits realized during such period from such actions;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each Compliance Certificate delivered to the Administrative Agent pursuant to </w:t>
      </w:r>
      <w:r>
        <w:rPr>
          <w:rFonts w:ascii="Times New Roman;serif" w:hAnsi="Times New Roman;serif"/>
          <w:b w:val="false"/>
          <w:color w:val="000000"/>
          <w:sz w:val="22"/>
          <w:u w:val="single"/>
        </w:rPr>
        <w:t>Section 6.02(b)</w:t>
      </w:r>
      <w:r>
        <w:rPr>
          <w:color w:val="000000"/>
        </w:rPr>
        <w:t xml:space="preserve"> </w:t>
      </w:r>
      <w:r>
        <w:rPr>
          <w:rFonts w:ascii="Times New Roman;serif" w:hAnsi="Times New Roman;serif"/>
          <w:b w:val="false"/>
          <w:color w:val="000000"/>
          <w:sz w:val="22"/>
        </w:rPr>
        <w:t xml:space="preserve">shall provide reasonable detail with respect to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701675"/>
                <wp:effectExtent l="0" t="0" r="0" b="0"/>
                <wp:wrapNone/>
                <wp:docPr id="181" name="Frame18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such Cost Saving Synergies (which shall be factually supportable) and certify that such Cost Savings Synergies have been determined by Borrower in good faith to be reasonably expected to be realized from actions that have been taken within twelve (12) months after the consummation of such Specified Transaction.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PTE</w:t>
      </w:r>
      <w:r>
        <w:rPr>
          <w:color w:val="000000"/>
        </w:rPr>
        <w:t xml:space="preserve">” </w:t>
      </w:r>
      <w:r>
        <w:rPr>
          <w:rFonts w:ascii="Times New Roman;serif" w:hAnsi="Times New Roman;serif"/>
          <w:b w:val="false"/>
          <w:color w:val="000000"/>
          <w:sz w:val="22"/>
        </w:rPr>
        <w:t>means a prohibited transaction class exemption issued by the U.S. Department of Labor, as any such exemption may be amended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Public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6.02(q)</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QFC Credit Support</w:t>
      </w:r>
      <w:r>
        <w:rPr>
          <w:color w:val="000000"/>
        </w:rPr>
        <w:t xml:space="preserve">” </w:t>
      </w:r>
      <w:r>
        <w:rPr>
          <w:rFonts w:ascii="Times New Roman;serif" w:hAnsi="Times New Roman;serif"/>
          <w:b w:val="false"/>
          <w:color w:val="000000"/>
          <w:sz w:val="22"/>
        </w:rPr>
        <w:t>has the meaning specified in Section 11.21.</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Qualified ECP Guarantor</w:t>
      </w:r>
      <w:r>
        <w:rPr>
          <w:color w:val="000000"/>
        </w:rPr>
        <w:t xml:space="preserve">” </w:t>
      </w:r>
      <w:r>
        <w:rPr>
          <w:rFonts w:ascii="Times New Roman;serif" w:hAnsi="Times New Roman;serif"/>
          <w:b w:val="false"/>
          <w:color w:val="000000"/>
          <w:sz w:val="22"/>
        </w:rPr>
        <w:t>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Qualified Equity Interests</w:t>
      </w:r>
      <w:r>
        <w:rPr>
          <w:color w:val="000000"/>
        </w:rPr>
        <w:t xml:space="preserve">” </w:t>
      </w:r>
      <w:r>
        <w:rPr>
          <w:rFonts w:ascii="Times New Roman;serif" w:hAnsi="Times New Roman;serif"/>
          <w:b w:val="false"/>
          <w:color w:val="000000"/>
          <w:sz w:val="22"/>
        </w:rPr>
        <w:t>means any Equity Interests that are not Disqualified Equity Interests.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Qualifying Control Agreement</w:t>
      </w:r>
      <w:r>
        <w:rPr>
          <w:color w:val="000000"/>
        </w:rPr>
        <w:t xml:space="preserve">” </w:t>
      </w:r>
      <w:r>
        <w:rPr>
          <w:rFonts w:ascii="Times New Roman;serif" w:hAnsi="Times New Roman;serif"/>
          <w:b w:val="false"/>
          <w:color w:val="000000"/>
          <w:sz w:val="22"/>
        </w:rPr>
        <w:t>means an agreement, among a Loan Party, a depository institution or securities intermediary and the Administrative Agent, which agreement is in form and substance reasonably acceptable to the Administrative Agent and which provides the Administrative Agent with “control” (as such term is used in Article 9 of the UCC) over the deposit account(s) or securities account(s) described therein.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Recipient</w:t>
      </w:r>
      <w:r>
        <w:rPr>
          <w:color w:val="000000"/>
        </w:rPr>
        <w:t xml:space="preserve">” </w:t>
      </w:r>
      <w:r>
        <w:rPr>
          <w:rFonts w:ascii="Times New Roman;serif" w:hAnsi="Times New Roman;serif"/>
          <w:b w:val="false"/>
          <w:color w:val="000000"/>
          <w:sz w:val="22"/>
        </w:rPr>
        <w:t>means the Administrative Agent, any Lender, any L/C Issuer or any other recipient of any payment to be made by or on account of any obligation of any Loan Party 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11.06(c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Regulated Insurance Subsidiary</w:t>
      </w:r>
      <w:r>
        <w:rPr>
          <w:color w:val="000000"/>
        </w:rPr>
        <w:t xml:space="preserve">” </w:t>
      </w:r>
      <w:r>
        <w:rPr>
          <w:rFonts w:ascii="Times New Roman;serif" w:hAnsi="Times New Roman;serif"/>
          <w:b w:val="false"/>
          <w:color w:val="000000"/>
          <w:sz w:val="22"/>
        </w:rPr>
        <w:t>means any Subsidiary of the Parent (including, without limitation, any Health Plan Subsidiary), whether now owned or hereafter acquired or formed, that is authorized or admitted to carry on or transact Insurance Business in any jurisdiction and is regulated by any Applicable Insurance Regulatory Authority.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Regulation T</w:t>
      </w:r>
      <w:r>
        <w:rPr>
          <w:color w:val="000000"/>
        </w:rPr>
        <w:t xml:space="preserve">” </w:t>
      </w:r>
      <w:r>
        <w:rPr>
          <w:rFonts w:ascii="Times New Roman;serif" w:hAnsi="Times New Roman;serif"/>
          <w:b w:val="false"/>
          <w:color w:val="000000"/>
          <w:sz w:val="22"/>
        </w:rPr>
        <w:t xml:space="preserve">means Regulation T of the FRB, as in effect from time to time and all official rulings and interpretations thereunder or thereof.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Regulation U</w:t>
      </w:r>
      <w:r>
        <w:rPr>
          <w:color w:val="000000"/>
        </w:rPr>
        <w:t xml:space="preserve">” </w:t>
      </w:r>
      <w:r>
        <w:rPr>
          <w:rFonts w:ascii="Times New Roman;serif" w:hAnsi="Times New Roman;serif"/>
          <w:b w:val="false"/>
          <w:color w:val="000000"/>
          <w:sz w:val="22"/>
        </w:rPr>
        <w:t>means Regulation U of the FRB, as in effect from time to time and all official rulings and interpretations thereunder or thereof.</w:t>
      </w:r>
    </w:p>
    <w:p>
      <w:pPr>
        <w:pStyle w:val="TextBody"/>
        <w:bidi w:val="0"/>
        <w:spacing w:lineRule="auto" w:line="240" w:before="280" w:after="240"/>
        <w:ind w:left="0" w:right="0" w:firstLine="720"/>
        <w:jc w:val="both"/>
        <w:rPr/>
      </w:pPr>
      <w:r>
        <w:rPr>
          <w:color w:val="000000"/>
        </w:rPr>
        <w:t>“</w:t>
      </w:r>
      <w:r>
        <w:rPr>
          <w:rFonts w:ascii="Times New Roman;serif" w:hAnsi="Times New Roman;serif"/>
          <w:b w:val="false"/>
          <w:i/>
          <w:color w:val="000000"/>
          <w:sz w:val="22"/>
          <w:u w:val="single"/>
        </w:rPr>
        <w:t>Regulation X</w:t>
      </w:r>
      <w:r>
        <w:rPr>
          <w:color w:val="000000"/>
        </w:rPr>
        <w:t xml:space="preserve">” </w:t>
      </w:r>
      <w:r>
        <w:rPr>
          <w:rFonts w:ascii="Times New Roman;serif" w:hAnsi="Times New Roman;serif"/>
          <w:b w:val="false"/>
          <w:color w:val="000000"/>
          <w:sz w:val="22"/>
        </w:rPr>
        <w:t>means Regulation X of the FRB, as in effect from time to time and all official rulings and interpretations thereunder or thereof.</w:t>
      </w:r>
      <w:r>
        <w:rPr>
          <w:color w:val="000000"/>
        </w:rPr>
        <w:t xml:space="preserve"> </w:t>
      </w:r>
    </w:p>
    <w:p>
      <w:pPr>
        <w:pStyle w:val="TextBody"/>
        <w:bidi w:val="0"/>
        <w:spacing w:lineRule="auto" w:line="240" w:before="280" w:after="240"/>
        <w:ind w:left="0" w:right="0" w:firstLine="720"/>
        <w:jc w:val="both"/>
        <w:rPr/>
      </w:pPr>
      <w:r>
        <w:rPr>
          <w:color w:val="000000"/>
        </w:rPr>
        <w:t>“</w:t>
      </w:r>
      <w:r>
        <w:rPr>
          <w:rFonts w:ascii="Times New Roman;serif" w:hAnsi="Times New Roman;serif"/>
          <w:b w:val="false"/>
          <w:i/>
          <w:color w:val="000000"/>
          <w:sz w:val="22"/>
          <w:u w:val="single"/>
        </w:rPr>
        <w:t>Regulatory Approvals</w:t>
      </w:r>
      <w:r>
        <w:rPr>
          <w:color w:val="000000"/>
        </w:rPr>
        <w:t xml:space="preserve">” </w:t>
      </w:r>
      <w:r>
        <w:rPr>
          <w:rFonts w:ascii="Times New Roman;serif" w:hAnsi="Times New Roman;serif"/>
          <w:b w:val="false"/>
          <w:color w:val="000000"/>
          <w:sz w:val="22"/>
        </w:rPr>
        <w:t>means any registrations, licenses, authorizations, permits or approvals issued by any Governmental Authority and applications or submissions related to any of the foregoing, including, without limitation, Health Care Permits and Insurance Licenses.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Related Parties</w:t>
      </w:r>
      <w:r>
        <w:rPr>
          <w:color w:val="000000"/>
        </w:rPr>
        <w:t xml:space="preserve">” </w:t>
      </w:r>
      <w:r>
        <w:rPr>
          <w:rFonts w:ascii="Times New Roman;serif" w:hAnsi="Times New Roman;serif"/>
          <w:b w:val="false"/>
          <w:color w:val="000000"/>
          <w:sz w:val="22"/>
        </w:rPr>
        <w:t>means, with respect to any Person, such Person’s Affiliates and the partners, directors, officers, employees, agents, trustees, administrators, managers, advisors, consultants, service providers and representatives of such Person and of such Person’s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701675"/>
                <wp:effectExtent l="0" t="0" r="0" b="0"/>
                <wp:wrapNone/>
                <wp:docPr id="182" name="Frame18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Release</w:t>
      </w:r>
      <w:r>
        <w:rPr>
          <w:color w:val="000000"/>
        </w:rPr>
        <w:t xml:space="preserve">” </w:t>
      </w:r>
      <w:r>
        <w:rPr>
          <w:rFonts w:ascii="Times New Roman;serif" w:hAnsi="Times New Roman;serif"/>
          <w:b w:val="false"/>
          <w:color w:val="000000"/>
          <w:sz w:val="22"/>
        </w:rPr>
        <w:t>means any release, spill, emission, discharge, deposit, disposal, leaking, pumping, pouring, dumping, emptying, injection or leaching into the Environment, or into, from or through any building, structure or facility.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Reportable Event</w:t>
      </w:r>
      <w:r>
        <w:rPr>
          <w:color w:val="000000"/>
        </w:rPr>
        <w:t xml:space="preserve">” </w:t>
      </w:r>
      <w:r>
        <w:rPr>
          <w:rFonts w:ascii="Times New Roman;serif" w:hAnsi="Times New Roman;serif"/>
          <w:b w:val="false"/>
          <w:color w:val="000000"/>
          <w:sz w:val="22"/>
        </w:rPr>
        <w:t>means any of the events set forth in Section 4043(c) of ERISA, other than events for which the thirty (30) day notice period has been waived.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Request for Credit Extension</w:t>
      </w:r>
      <w:r>
        <w:rPr>
          <w:color w:val="000000"/>
        </w:rPr>
        <w:t xml:space="preserve">” </w:t>
      </w:r>
      <w:r>
        <w:rPr>
          <w:rFonts w:ascii="Times New Roman;serif" w:hAnsi="Times New Roman;serif"/>
          <w:b w:val="false"/>
          <w:color w:val="000000"/>
          <w:sz w:val="22"/>
        </w:rPr>
        <w:t>means (a) with respect to a Borrowing, conversion or continuation of Revolving Loans, a Loan Notice, (b) with respect to an L/C Credit Extension, a Letter of Credit Application, and (c) with respect to a Swingline Loan, a Swingline Loan Notice.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Required Lenders</w:t>
      </w:r>
      <w:r>
        <w:rPr>
          <w:color w:val="000000"/>
        </w:rPr>
        <w:t xml:space="preserve">” </w:t>
      </w:r>
      <w:r>
        <w:rPr>
          <w:rFonts w:ascii="Times New Roman;serif" w:hAnsi="Times New Roman;serif"/>
          <w:b w:val="false"/>
          <w:color w:val="000000"/>
          <w:sz w:val="22"/>
        </w:rPr>
        <w:t xml:space="preserve">means, at any time, Lenders having Total Revolving Exposures representing more than 50% of the Total Revolving Exposures of all Lenders. The Total Revolving Exposure of any Defaulting Lender shall be disregarded in determining Required Lenders at any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amount of any participation in any Swingline Loan and Unreimbursed Amounts that such Defaulting Lender has failed to fund that have not been reallocated to and funded by another Lender shall be deemed to be held by the Lender that is the Swingline Lender or the</w:t>
      </w:r>
      <w:r>
        <w:rPr>
          <w:color w:val="000000"/>
        </w:rPr>
        <w:t xml:space="preserve"> </w:t>
      </w:r>
      <w:r>
        <w:rPr>
          <w:rFonts w:ascii="Times New Roman;serif" w:hAnsi="Times New Roman;serif"/>
          <w:b w:val="false"/>
          <w:color w:val="000000"/>
          <w:sz w:val="22"/>
        </w:rPr>
        <w:t xml:space="preserve">applicable L/C Issuer, as the case may be, in making such determination;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this definition is subject to </w:t>
      </w:r>
      <w:r>
        <w:rPr>
          <w:rFonts w:ascii="Times New Roman;serif" w:hAnsi="Times New Roman;serif"/>
          <w:b w:val="false"/>
          <w:color w:val="000000"/>
          <w:sz w:val="22"/>
          <w:u w:val="single"/>
        </w:rPr>
        <w:t>Section 2.15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Rescindable Amount</w:t>
      </w:r>
      <w:r>
        <w:rPr>
          <w:color w:val="000000"/>
        </w:rPr>
        <w:t xml:space="preserve">” </w:t>
      </w:r>
      <w:r>
        <w:rPr>
          <w:rFonts w:ascii="Times New Roman;serif" w:hAnsi="Times New Roman;serif"/>
          <w:b w:val="false"/>
          <w:color w:val="000000"/>
          <w:sz w:val="22"/>
        </w:rPr>
        <w:t xml:space="preserve">has the meaning as defined in </w:t>
      </w:r>
      <w:r>
        <w:rPr>
          <w:rFonts w:ascii="Times New Roman;serif" w:hAnsi="Times New Roman;serif"/>
          <w:b w:val="false"/>
          <w:color w:val="000000"/>
          <w:sz w:val="22"/>
          <w:u w:val="single"/>
        </w:rPr>
        <w:t>Section 2.12(b)(ii)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Resolution Authority</w:t>
      </w:r>
      <w:r>
        <w:rPr>
          <w:color w:val="000000"/>
        </w:rPr>
        <w:t xml:space="preserve">” </w:t>
      </w:r>
      <w:r>
        <w:rPr>
          <w:rFonts w:ascii="Times New Roman;serif" w:hAnsi="Times New Roman;serif"/>
          <w:b w:val="false"/>
          <w:color w:val="000000"/>
          <w:sz w:val="22"/>
        </w:rPr>
        <w:t>means an EEA Resolution Authority or, with respect to any UK Financial Institution, a UK Resolution Authority.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Resignation Effective Date</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9.06(a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Responsible Officer</w:t>
      </w:r>
      <w:r>
        <w:rPr>
          <w:color w:val="000000"/>
        </w:rPr>
        <w:t xml:space="preserve">” </w:t>
      </w:r>
      <w:r>
        <w:rPr>
          <w:rFonts w:ascii="Times New Roman;serif" w:hAnsi="Times New Roman;serif"/>
          <w:b w:val="false"/>
          <w:color w:val="000000"/>
          <w:sz w:val="22"/>
        </w:rPr>
        <w:t xml:space="preserve">means the chief executive officer, president, chief financial officer, treasurer, chief accounting officer, or chief legal officer of a Loan Party, and solely for purposes of the delivery of incumbency certificates pursuant to </w:t>
      </w:r>
      <w:r>
        <w:rPr>
          <w:rFonts w:ascii="Times New Roman;serif" w:hAnsi="Times New Roman;serif"/>
          <w:b w:val="false"/>
          <w:color w:val="000000"/>
          <w:sz w:val="22"/>
          <w:u w:val="single"/>
        </w:rPr>
        <w:t>Section 4.01(b</w:t>
      </w:r>
      <w:r>
        <w:rPr>
          <w:rFonts w:ascii="Times New Roman;serif" w:hAnsi="Times New Roman;serif"/>
          <w:b w:val="false"/>
          <w:color w:val="000000"/>
          <w:sz w:val="22"/>
        </w:rPr>
        <w:t>), the secretary or any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Restricted Cash</w:t>
      </w:r>
      <w:r>
        <w:rPr>
          <w:color w:val="000000"/>
        </w:rPr>
        <w:t xml:space="preserve">” </w:t>
      </w:r>
      <w:r>
        <w:rPr>
          <w:rFonts w:ascii="Times New Roman;serif" w:hAnsi="Times New Roman;serif"/>
          <w:b w:val="false"/>
          <w:color w:val="000000"/>
          <w:sz w:val="22"/>
        </w:rPr>
        <w:t>means, at any time, the cash and Cash Equivalents (measured at fair market value) of the Borrower and the other Loan Parties to the extent (a) classified (or required to be classified) as restricted cash or restricted Cash Equivalents on the balance sheet of the Parent and its Subsidiaries in accordance with GAAP (unless such classification or requirement to be classified is related to the Liens granted to the Administrative Agent to secure the Secured Obligations) or (b) such cash or Cash Equivalents are subject to any Lien (other than (i) the Administrative Agent for the benefit of the Secured Parties and (ii) Liens that are contractual, statutory, or common law rights of set-off relating to (x) the establishment of depository relations or securities accounts in the ordinary course of business with banks or financial institutions not given in connection with the issuance of Indebtedness or (y) pooled deposit or sweep accounts of the Borrower and any other Loan Party to permit satisfaction of overdraft or similar obligations incurred in the ordinary course of business).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Restricted Payment</w:t>
      </w:r>
      <w:r>
        <w:rPr>
          <w:color w:val="000000"/>
        </w:rPr>
        <w:t xml:space="preserve">” </w:t>
      </w:r>
      <w:r>
        <w:rPr>
          <w:rFonts w:ascii="Times New Roman;serif" w:hAnsi="Times New Roman;serif"/>
          <w:b w:val="false"/>
          <w:color w:val="000000"/>
          <w:sz w:val="22"/>
        </w:rPr>
        <w:t>means (a) any dividend or other distribution, direct or indirect, on account of any shares or membership rights (or equivalent) of any class of Equity Interests of any Loan Party, any Subsidiary or any Managed Company, now or hereafter outstanding, (b) any redemption, retirement, sinking fund or similar payment, purchase or other acquisition for value, direct or indirect, of any shares (or equivalent) of any class of Equity Interests of any Loan Party, any Subsidiary or any Managed Company, now or hereafter outstanding, (c) any payment made to retire, or to obtain the surrender of, any outstanding warrants, options or other rights to acquire shares of any class of Equity Interests of any Loan Party, any Subsidiary or any Managed Company, now or hereafter outstanding, and (d) any payment or prepayment of principal of, premium, if any, interest, fees, redemption, exchange, purchase, retirement, defeasance sinking fund or similar payment with respect to, Permitted Warrant Transactions or Permitted Bond Hedge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701675"/>
                <wp:effectExtent l="0" t="0" r="0" b="0"/>
                <wp:wrapNone/>
                <wp:docPr id="183" name="Frame18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Revolving Borrowing</w:t>
      </w:r>
      <w:r>
        <w:rPr>
          <w:color w:val="000000"/>
        </w:rPr>
        <w:t xml:space="preserve">” </w:t>
      </w:r>
      <w:r>
        <w:rPr>
          <w:rFonts w:ascii="Times New Roman;serif" w:hAnsi="Times New Roman;serif"/>
          <w:b w:val="false"/>
          <w:color w:val="000000"/>
          <w:sz w:val="22"/>
        </w:rPr>
        <w:t xml:space="preserve">means a borrowing consisting of simultaneous Revolving Loans of the same Type and, in the case of Term SOFR Loans, having the same Interest Period made by each of the Revolving Lenders pursuant to </w:t>
      </w:r>
      <w:r>
        <w:rPr>
          <w:rFonts w:ascii="Times New Roman;serif" w:hAnsi="Times New Roman;serif"/>
          <w:b w:val="false"/>
          <w:color w:val="000000"/>
          <w:sz w:val="22"/>
          <w:u w:val="single"/>
        </w:rPr>
        <w:t>Section 2.01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Revolving Commitment</w:t>
      </w:r>
      <w:r>
        <w:rPr>
          <w:color w:val="000000"/>
        </w:rPr>
        <w:t xml:space="preserve">” </w:t>
      </w:r>
      <w:r>
        <w:rPr>
          <w:rFonts w:ascii="Times New Roman;serif" w:hAnsi="Times New Roman;serif"/>
          <w:b w:val="false"/>
          <w:color w:val="000000"/>
          <w:sz w:val="22"/>
        </w:rPr>
        <w:t xml:space="preserve">means, as to each Revolving Lender, its obligation to (a) make Revolving Loans to the Borrower pursuant to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(b) purchase participations in L/C Obligations, and (c) purchase participations in Swingline Loans, in an aggregate principal amount at any one time outstanding not to exceed the amount set forth opposite such Lender’s name on </w:t>
      </w:r>
      <w:r>
        <w:rPr>
          <w:rFonts w:ascii="Times New Roman;serif" w:hAnsi="Times New Roman;serif"/>
          <w:b w:val="false"/>
          <w:color w:val="000000"/>
          <w:sz w:val="22"/>
          <w:u w:val="single"/>
        </w:rPr>
        <w:t>Schedule 1.01(b</w:t>
      </w:r>
      <w:r>
        <w:rPr>
          <w:rFonts w:ascii="Times New Roman;serif" w:hAnsi="Times New Roman;serif"/>
          <w:b w:val="false"/>
          <w:color w:val="000000"/>
          <w:sz w:val="22"/>
        </w:rPr>
        <w:t>) under the caption “Revolving Commitment” or in the Assignment and Assumption pursuant to which such Lender becomes a party hereto, as applicable, as such amount may be adjusted from time to time in accordance with this Agreement. The Revolving Commitment of all of the Revolving Lenders on the Closing Date shall be $200,000,000.</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Revolving Credit Termination Date</w:t>
      </w:r>
      <w:r>
        <w:rPr>
          <w:color w:val="000000"/>
        </w:rPr>
        <w:t xml:space="preserve">” </w:t>
      </w:r>
      <w:r>
        <w:rPr>
          <w:rFonts w:ascii="Times New Roman;serif" w:hAnsi="Times New Roman;serif"/>
          <w:b w:val="false"/>
          <w:color w:val="000000"/>
          <w:sz w:val="22"/>
        </w:rPr>
        <w:t xml:space="preserve">means February 26, 2029;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date is not a Business Day, the Revolving Credit Termination Date shall be the next preceding Business Day.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Revolving Exposure</w:t>
      </w:r>
      <w:r>
        <w:rPr>
          <w:color w:val="000000"/>
        </w:rPr>
        <w:t xml:space="preserve">” </w:t>
      </w:r>
      <w:r>
        <w:rPr>
          <w:rFonts w:ascii="Times New Roman;serif" w:hAnsi="Times New Roman;serif"/>
          <w:b w:val="false"/>
          <w:color w:val="000000"/>
          <w:sz w:val="22"/>
        </w:rPr>
        <w:t>means, as to any Lender at any time, the aggregate Outstanding Amount of all Revolving Loans of such Lender and such Lender’s participation in L/C Obligations and Swingline Loans at such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Revolving Facility</w:t>
      </w:r>
      <w:r>
        <w:rPr>
          <w:color w:val="000000"/>
        </w:rPr>
        <w:t xml:space="preserve">” </w:t>
      </w:r>
      <w:r>
        <w:rPr>
          <w:rFonts w:ascii="Times New Roman;serif" w:hAnsi="Times New Roman;serif"/>
          <w:b w:val="false"/>
          <w:color w:val="000000"/>
          <w:sz w:val="22"/>
        </w:rPr>
        <w:t>means, at any time, the aggregate amount of the Revolving Lenders’ Revolving Commitments at such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Revolving Lender</w:t>
      </w:r>
      <w:r>
        <w:rPr>
          <w:color w:val="000000"/>
        </w:rPr>
        <w:t xml:space="preserve">” </w:t>
      </w:r>
      <w:r>
        <w:rPr>
          <w:rFonts w:ascii="Times New Roman;serif" w:hAnsi="Times New Roman;serif"/>
          <w:b w:val="false"/>
          <w:color w:val="000000"/>
          <w:sz w:val="22"/>
        </w:rPr>
        <w:t>means, at any time, (a) so long as any Revolving Commitment is in effect, any Lender that has a Revolving Commitment at such time or (b) if the Revolving Commitments have terminated or expired, any Lender that has a Revolving Loan or a participation in L/C Obligations or Swingline Loans at such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Revolving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S&amp;P</w:t>
      </w:r>
      <w:r>
        <w:rPr>
          <w:color w:val="000000"/>
        </w:rPr>
        <w:t xml:space="preserve">” </w:t>
      </w:r>
      <w:r>
        <w:rPr>
          <w:rFonts w:ascii="Times New Roman;serif" w:hAnsi="Times New Roman;serif"/>
          <w:b w:val="false"/>
          <w:color w:val="000000"/>
          <w:sz w:val="22"/>
        </w:rPr>
        <w:t>means Standard &amp; Poor’s Financial Services LLC, a subsidiary of S&amp;P Global Inc., and any successor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Sale and Leaseback Transaction</w:t>
      </w:r>
      <w:r>
        <w:rPr>
          <w:color w:val="000000"/>
        </w:rPr>
        <w:t xml:space="preserve">” </w:t>
      </w:r>
      <w:r>
        <w:rPr>
          <w:rFonts w:ascii="Times New Roman;serif" w:hAnsi="Times New Roman;serif"/>
          <w:b w:val="false"/>
          <w:color w:val="000000"/>
          <w:sz w:val="22"/>
        </w:rPr>
        <w:t>means any arrangement, directly or indirectly, with any Person whereby a Person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Sanction</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s</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means economic or financial sanctions or trade embargoes enacted, administered or enforced by the United States Government (including, without limitation, OFAC), the United Nations Security Council, the European Union, His Majesty’s Treasury (“</w:t>
      </w:r>
      <w:r>
        <w:rPr>
          <w:rFonts w:ascii="Times New Roman;serif" w:hAnsi="Times New Roman;serif"/>
          <w:b w:val="false"/>
          <w:i/>
          <w:color w:val="000000"/>
          <w:sz w:val="22"/>
          <w:u w:val="single"/>
        </w:rPr>
        <w:t>HMT</w:t>
      </w:r>
      <w:r>
        <w:rPr>
          <w:color w:val="000000"/>
        </w:rPr>
        <w:t>”</w:t>
      </w:r>
      <w:r>
        <w:rPr>
          <w:rFonts w:ascii="Times New Roman;serif" w:hAnsi="Times New Roman;serif"/>
          <w:b w:val="false"/>
          <w:color w:val="000000"/>
          <w:sz w:val="22"/>
        </w:rPr>
        <w:t>) or other applicable Government Authority.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SEC</w:t>
      </w:r>
      <w:r>
        <w:rPr>
          <w:color w:val="000000"/>
        </w:rPr>
        <w:t xml:space="preserve">” </w:t>
      </w:r>
      <w:r>
        <w:rPr>
          <w:rFonts w:ascii="Times New Roman;serif" w:hAnsi="Times New Roman;serif"/>
          <w:b w:val="false"/>
          <w:color w:val="000000"/>
          <w:sz w:val="22"/>
        </w:rPr>
        <w:t>means the Securities and Exchange Commission, or any Governmental Authority succeeding to any of its principal functions.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Secured Cash Management Agreement</w:t>
      </w:r>
      <w:r>
        <w:rPr>
          <w:color w:val="000000"/>
        </w:rPr>
        <w:t xml:space="preserve">” </w:t>
      </w:r>
      <w:r>
        <w:rPr>
          <w:rFonts w:ascii="Times New Roman;serif" w:hAnsi="Times New Roman;serif"/>
          <w:b w:val="false"/>
          <w:color w:val="000000"/>
          <w:sz w:val="22"/>
        </w:rPr>
        <w:t>means any Cash Management Agreement between the any Loan Party and any of its Subsidiaries and any Cash Management Bank.</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Secured Hedge Agreement</w:t>
      </w:r>
      <w:r>
        <w:rPr>
          <w:color w:val="000000"/>
        </w:rPr>
        <w:t xml:space="preserve">” </w:t>
      </w:r>
      <w:r>
        <w:rPr>
          <w:rFonts w:ascii="Times New Roman;serif" w:hAnsi="Times New Roman;serif"/>
          <w:b w:val="false"/>
          <w:color w:val="000000"/>
          <w:sz w:val="22"/>
        </w:rPr>
        <w:t xml:space="preserve">means any Swap Contract required by or not prohibited under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VII</w:t>
      </w:r>
      <w:r>
        <w:rPr>
          <w:color w:val="000000"/>
        </w:rPr>
        <w:t xml:space="preserve"> </w:t>
      </w:r>
      <w:r>
        <w:rPr>
          <w:rFonts w:ascii="Times New Roman;serif" w:hAnsi="Times New Roman;serif"/>
          <w:b w:val="false"/>
          <w:color w:val="000000"/>
          <w:sz w:val="22"/>
        </w:rPr>
        <w:t>between any Loan Party or any of its Subsidiaries</w:t>
      </w:r>
      <w:r>
        <w:rPr>
          <w:color w:val="000000"/>
        </w:rPr>
        <w:t xml:space="preserve"> </w:t>
      </w:r>
      <w:r>
        <w:rPr>
          <w:rFonts w:ascii="Times New Roman;serif" w:hAnsi="Times New Roman;serif"/>
          <w:b w:val="false"/>
          <w:color w:val="000000"/>
          <w:sz w:val="22"/>
        </w:rPr>
        <w:t>and any Hedge Bank. Notwithstanding the foregoing and for the avoidance of doubt, no Permitted Bond Hedge Transaction or Permitted Warrant Transaction shall be considered a Secured Hedge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Secured Obligations</w:t>
      </w:r>
      <w:r>
        <w:rPr>
          <w:color w:val="000000"/>
        </w:rPr>
        <w:t xml:space="preserve">” </w:t>
      </w:r>
      <w:r>
        <w:rPr>
          <w:rFonts w:ascii="Times New Roman;serif" w:hAnsi="Times New Roman;serif"/>
          <w:b w:val="false"/>
          <w:color w:val="000000"/>
          <w:sz w:val="22"/>
        </w:rPr>
        <w:t>means all Obligations and all Additional Secured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701675"/>
                <wp:effectExtent l="0" t="0" r="0" b="0"/>
                <wp:wrapNone/>
                <wp:docPr id="184" name="Frame18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Secured Parties</w:t>
      </w:r>
      <w:r>
        <w:rPr>
          <w:color w:val="000000"/>
        </w:rPr>
        <w:t xml:space="preserve">” </w:t>
      </w:r>
      <w:r>
        <w:rPr>
          <w:rFonts w:ascii="Times New Roman;serif" w:hAnsi="Times New Roman;serif"/>
          <w:b w:val="false"/>
          <w:color w:val="000000"/>
          <w:sz w:val="22"/>
        </w:rPr>
        <w:t xml:space="preserve">means, collectively, the Administrative Agent, the Lenders, the L/C Issuers, each Hedge Bank that is party to a Secured Hedge Agreement, each Cash Management Bank that is party to a Secured Cash Management Agreement, and the Indemnitees and each co-agent or sub-agent appointed by the Administrative Agent from time to time pursuant to </w:t>
      </w:r>
      <w:r>
        <w:rPr>
          <w:rFonts w:ascii="Times New Roman;serif" w:hAnsi="Times New Roman;serif"/>
          <w:b w:val="false"/>
          <w:color w:val="000000"/>
          <w:sz w:val="22"/>
          <w:u w:val="single"/>
        </w:rPr>
        <w:t>Section 9.05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Secured Party Designation Notice</w:t>
      </w:r>
      <w:r>
        <w:rPr>
          <w:color w:val="000000"/>
        </w:rPr>
        <w:t xml:space="preserve">” </w:t>
      </w:r>
      <w:r>
        <w:rPr>
          <w:rFonts w:ascii="Times New Roman;serif" w:hAnsi="Times New Roman;serif"/>
          <w:b w:val="false"/>
          <w:color w:val="000000"/>
          <w:sz w:val="22"/>
        </w:rPr>
        <w:t xml:space="preserve">means a notice from any Lender or an Affiliate of a Lender substantially in the form of </w:t>
      </w:r>
      <w:r>
        <w:rPr>
          <w:rFonts w:ascii="Times New Roman;serif" w:hAnsi="Times New Roman;serif"/>
          <w:b w:val="false"/>
          <w:color w:val="000000"/>
          <w:sz w:val="22"/>
          <w:u w:val="single"/>
        </w:rPr>
        <w:t>Exhibit H</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Securities Act</w:t>
      </w:r>
      <w:r>
        <w:rPr>
          <w:color w:val="000000"/>
        </w:rPr>
        <w:t xml:space="preserve">” </w:t>
      </w:r>
      <w:r>
        <w:rPr>
          <w:rFonts w:ascii="Times New Roman;serif" w:hAnsi="Times New Roman;serif"/>
          <w:b w:val="false"/>
          <w:color w:val="000000"/>
          <w:sz w:val="22"/>
        </w:rPr>
        <w:t>means the Securities Act of 1933, including all amendments thereto and regulations promulgated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Security Agreement</w:t>
      </w:r>
      <w:r>
        <w:rPr>
          <w:color w:val="000000"/>
        </w:rPr>
        <w:t xml:space="preserve">” </w:t>
      </w:r>
      <w:r>
        <w:rPr>
          <w:rFonts w:ascii="Times New Roman;serif" w:hAnsi="Times New Roman;serif"/>
          <w:b w:val="false"/>
          <w:color w:val="000000"/>
          <w:sz w:val="22"/>
        </w:rPr>
        <w:t>means the security and pledge agreement, dated as of the Closing Date, executed in favor of the Administrative Agent by each of the Loan Parties.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Shareholders</w:t>
      </w:r>
      <w:r>
        <w:rPr>
          <w:color w:val="000000"/>
          <w:u w:val="single"/>
        </w:rPr>
        <w:t xml:space="preserve">’ </w:t>
      </w:r>
      <w:r>
        <w:rPr>
          <w:rFonts w:ascii="Times New Roman;serif" w:hAnsi="Times New Roman;serif"/>
          <w:b w:val="false"/>
          <w:i/>
          <w:color w:val="000000"/>
          <w:sz w:val="22"/>
          <w:u w:val="single"/>
        </w:rPr>
        <w:t>Equity</w:t>
      </w:r>
      <w:r>
        <w:rPr>
          <w:color w:val="000000"/>
        </w:rPr>
        <w:t xml:space="preserve">” </w:t>
      </w:r>
      <w:r>
        <w:rPr>
          <w:rFonts w:ascii="Times New Roman;serif" w:hAnsi="Times New Roman;serif"/>
          <w:b w:val="false"/>
          <w:color w:val="000000"/>
          <w:sz w:val="22"/>
        </w:rPr>
        <w:t>means, as of any date of determination, consolidated shareholders’ equity of the Combined Group as of such date, determined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Social Security Act</w:t>
      </w:r>
      <w:r>
        <w:rPr>
          <w:color w:val="000000"/>
        </w:rPr>
        <w:t xml:space="preserve">” </w:t>
      </w:r>
      <w:r>
        <w:rPr>
          <w:rFonts w:ascii="Times New Roman;serif" w:hAnsi="Times New Roman;serif"/>
          <w:b w:val="false"/>
          <w:color w:val="000000"/>
          <w:sz w:val="22"/>
        </w:rPr>
        <w:t>means the Social Security Act of 1965.</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SOFR</w:t>
      </w:r>
      <w:r>
        <w:rPr>
          <w:color w:val="000000"/>
        </w:rPr>
        <w:t xml:space="preserve">” </w:t>
      </w:r>
      <w:r>
        <w:rPr>
          <w:rFonts w:ascii="Times New Roman;serif" w:hAnsi="Times New Roman;serif"/>
          <w:b w:val="false"/>
          <w:color w:val="000000"/>
          <w:sz w:val="22"/>
        </w:rPr>
        <w:t>means the Secured Overnight Financing Rate as administered by the Federal Reserve Bank of New York (or a successor administrator).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Solvency Certificate</w:t>
      </w:r>
      <w:r>
        <w:rPr>
          <w:color w:val="000000"/>
        </w:rPr>
        <w:t xml:space="preserve">” </w:t>
      </w:r>
      <w:r>
        <w:rPr>
          <w:rFonts w:ascii="Times New Roman;serif" w:hAnsi="Times New Roman;serif"/>
          <w:b w:val="false"/>
          <w:color w:val="000000"/>
          <w:sz w:val="22"/>
        </w:rPr>
        <w:t xml:space="preserve">means a solvency certificate in substantially in the form of </w:t>
      </w:r>
      <w:r>
        <w:rPr>
          <w:rFonts w:ascii="Times New Roman;serif" w:hAnsi="Times New Roman;serif"/>
          <w:b w:val="false"/>
          <w:color w:val="000000"/>
          <w:sz w:val="22"/>
          <w:u w:val="single"/>
        </w:rPr>
        <w:t>Exhibit 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Solvent</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u w:val="single"/>
        </w:rPr>
        <w:t>Solvency</w:t>
      </w:r>
      <w:r>
        <w:rPr>
          <w:color w:val="000000"/>
        </w:rPr>
        <w:t xml:space="preserve">” </w:t>
      </w:r>
      <w:r>
        <w:rPr>
          <w:rFonts w:ascii="Times New Roman;serif" w:hAnsi="Times New Roman;serif"/>
          <w:b w:val="false"/>
          <w:color w:val="000000"/>
          <w:sz w:val="22"/>
        </w:rPr>
        <w:t>mean, with respect to any Person on any date of determination, that on such date (a) the amount of the “present fair saleable value” of the assets of such Person and its Subsidiaries will, as of such date, exceed the amount of all “liabilities of such Person and its Subsidiaries, contingent or otherwise,”, (b) the “present fair saleable value" of the assets of such Person and its Subsidiaries is not less than the amount that will be required to pay the probable liability of such Person and its Subsidiaries on its debts as they become absolute and matured, (c) such Person and its Subsidiaries will not have an unreasonably small amount of capital with which to conduct its business, and (d) such Person and its Subsidiaries on a consolidated basis have not incurred and do not intend to, and do not believe that they will, incur debts or liabilities beyond such Person’s and its Subsidiaries’ on a consolidated basis ability to pay as such debts and liabilities mature. For purposes of this definition, (i) “</w:t>
      </w:r>
      <w:r>
        <w:rPr>
          <w:rFonts w:ascii="Times New Roman;serif" w:hAnsi="Times New Roman;serif"/>
          <w:b w:val="false"/>
          <w:color w:val="000000"/>
          <w:sz w:val="22"/>
          <w:u w:val="single"/>
        </w:rPr>
        <w:t>debt</w:t>
      </w:r>
      <w:r>
        <w:rPr>
          <w:color w:val="000000"/>
        </w:rPr>
        <w:t xml:space="preserve">” </w:t>
      </w:r>
      <w:r>
        <w:rPr>
          <w:rFonts w:ascii="Times New Roman;serif" w:hAnsi="Times New Roman;serif"/>
          <w:b w:val="false"/>
          <w:color w:val="000000"/>
          <w:sz w:val="22"/>
        </w:rPr>
        <w:t>shall mean liability on a “claim,” (ii) “</w:t>
      </w:r>
      <w:r>
        <w:rPr>
          <w:rFonts w:ascii="Times New Roman;serif" w:hAnsi="Times New Roman;serif"/>
          <w:b w:val="false"/>
          <w:color w:val="000000"/>
          <w:sz w:val="22"/>
          <w:u w:val="single"/>
        </w:rPr>
        <w:t>claim</w:t>
      </w:r>
      <w:r>
        <w:rPr>
          <w:color w:val="000000"/>
        </w:rPr>
        <w:t xml:space="preserve">” </w:t>
      </w:r>
      <w:r>
        <w:rPr>
          <w:rFonts w:ascii="Times New Roman;serif" w:hAnsi="Times New Roman;serif"/>
          <w:b w:val="false"/>
          <w:color w:val="000000"/>
          <w:sz w:val="22"/>
        </w:rPr>
        <w:t>shall mean any (A) right to payment, whether or not such a right is reduced to judgment, liquidated, unliquidated, fixed, contingent, matured, unmatured, disputed, undisputed, legal, equitable, secured or unsecured or (B) right to an equitable remedy for breach of performance if such breach gives rise to a right to payment, whether or not such right to an equitable remedy is reduced to judgment, fixed, contingent, matured or unmatured, disputed, undisputed, secured or unsecured and (iii) such other quoted terms used in this definition shall be determined in accordance with applicable federal and state laws governing determinations of the insolvency of debtors.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Specified Loan Party</w:t>
      </w:r>
      <w:r>
        <w:rPr>
          <w:color w:val="000000"/>
        </w:rPr>
        <w:t xml:space="preserve">” </w:t>
      </w:r>
      <w:r>
        <w:rPr>
          <w:rFonts w:ascii="Times New Roman;serif" w:hAnsi="Times New Roman;serif"/>
          <w:b w:val="false"/>
          <w:color w:val="000000"/>
          <w:sz w:val="22"/>
        </w:rPr>
        <w:t xml:space="preserve">means any Loan Party that is not then an “eligible contract participant” under the Commodity Exchange Act (determined prior to giving effect to </w:t>
      </w:r>
      <w:r>
        <w:rPr>
          <w:rFonts w:ascii="Times New Roman;serif" w:hAnsi="Times New Roman;serif"/>
          <w:b w:val="false"/>
          <w:color w:val="000000"/>
          <w:sz w:val="22"/>
          <w:u w:val="single"/>
        </w:rPr>
        <w:t>Section 10.11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Specified Transaction</w:t>
      </w:r>
      <w:r>
        <w:rPr>
          <w:color w:val="000000"/>
        </w:rPr>
        <w:t xml:space="preserve">” </w:t>
      </w:r>
      <w:r>
        <w:rPr>
          <w:rFonts w:ascii="Times New Roman;serif" w:hAnsi="Times New Roman;serif"/>
          <w:b w:val="false"/>
          <w:color w:val="000000"/>
          <w:sz w:val="22"/>
        </w:rPr>
        <w:t>means (i) any Disposition of all the Equity Interests of any Person, (ii) any Disposition of all or substantially all of the assets of such Person (or a division or a line of business of such Person), (iii) any other Disposition permitted by this Agreement, (iv) any Investment that is permitted by this Agreement, or (v) any Acquisition that is permitted by this Agreement.</w:t>
      </w:r>
    </w:p>
    <w:p>
      <w:pPr>
        <w:pStyle w:val="TextBody"/>
        <w:bidi w:val="0"/>
        <w:spacing w:lineRule="auto" w:line="355" w:before="280" w:after="283"/>
        <w:ind w:left="0" w:right="0" w:firstLine="816"/>
        <w:jc w:val="both"/>
        <w:rPr/>
      </w:pPr>
      <w:r>
        <w:rPr>
          <w:color w:val="000000"/>
        </w:rPr>
        <w:t>“</w:t>
      </w:r>
      <w:r>
        <w:rPr>
          <w:rFonts w:ascii="Times New Roman;serif" w:hAnsi="Times New Roman;serif"/>
          <w:b w:val="false"/>
          <w:i/>
          <w:color w:val="000000"/>
          <w:sz w:val="22"/>
          <w:u w:val="single"/>
        </w:rPr>
        <w:t>Stock Transfer Restriction Agreements</w:t>
      </w:r>
      <w:r>
        <w:rPr>
          <w:color w:val="000000"/>
        </w:rPr>
        <w:t xml:space="preserve">” </w:t>
      </w:r>
      <w:r>
        <w:rPr>
          <w:rFonts w:ascii="Times New Roman;serif" w:hAnsi="Times New Roman;serif"/>
          <w:b w:val="false"/>
          <w:color w:val="000000"/>
          <w:sz w:val="22"/>
        </w:rPr>
        <w:t xml:space="preserve">means (a) those certain shareholders agreements among Borrower, a Managed Company and the Licensed Personnel which own such Managed Company, together with each stock power or other instrument of transfer attached thereto or referred to therein, in effect as of the Closing Date and delivered to Administrative Agent and (b) any other succession agreement, continuity agreement or equity transfer restriction agreement (including by execution of a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701675"/>
                <wp:effectExtent l="0" t="0" r="0" b="0"/>
                <wp:wrapNone/>
                <wp:docPr id="185" name="Frame18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55" w:before="280" w:after="283"/>
        <w:jc w:val="both"/>
        <w:rPr>
          <w:rFonts w:ascii="Times New Roman;serif" w:hAnsi="Times New Roman;serif"/>
          <w:b w:val="false"/>
          <w:color w:val="000000"/>
          <w:sz w:val="22"/>
        </w:rPr>
      </w:pPr>
      <w:r>
        <w:rPr>
          <w:rFonts w:ascii="Times New Roman;serif" w:hAnsi="Times New Roman;serif"/>
          <w:b w:val="false"/>
          <w:color w:val="000000"/>
          <w:sz w:val="22"/>
        </w:rPr>
        <w:t>joinder to an existing succession agreement, continuity agreement or stock transfer restriction agreement) similar to the shareholders agreements, stock powers and instruments of transfer described in clause (a) entered into by and between or among Borrower and one or more Managed Companies and/or Licensed Personnel following the Closing Date, in each case of clause (a) and (b), as the same may be amended, restated or otherwise modified from time to time as permitted by the terms hereof.</w:t>
      </w:r>
    </w:p>
    <w:p>
      <w:pPr>
        <w:pStyle w:val="TextBody"/>
        <w:bidi w:val="0"/>
        <w:spacing w:lineRule="auto" w:line="355" w:before="280" w:after="283"/>
        <w:ind w:left="0" w:right="0" w:firstLine="816"/>
        <w:jc w:val="both"/>
        <w:rPr/>
      </w:pPr>
      <w:r>
        <w:rPr>
          <w:color w:val="000000"/>
        </w:rPr>
        <w:t>“</w:t>
      </w:r>
      <w:r>
        <w:rPr>
          <w:rFonts w:ascii="Times New Roman;serif" w:hAnsi="Times New Roman;serif"/>
          <w:b w:val="false"/>
          <w:i/>
          <w:color w:val="000000"/>
          <w:sz w:val="22"/>
          <w:u w:val="single"/>
        </w:rPr>
        <w:t>Subordinated Indebtedness</w:t>
      </w:r>
      <w:r>
        <w:rPr>
          <w:color w:val="000000"/>
        </w:rPr>
        <w:t xml:space="preserve">” </w:t>
      </w:r>
      <w:r>
        <w:rPr>
          <w:rFonts w:ascii="Times New Roman;serif" w:hAnsi="Times New Roman;serif"/>
          <w:b w:val="false"/>
          <w:color w:val="000000"/>
          <w:sz w:val="22"/>
        </w:rPr>
        <w:t>means all Indebtedness of a Person that is subordinated to the payment in full of the Secured Obligations pursuant to a Subordination Agreement. For the avoidance of doubt, no Permitted Convertible Indebtedness will be considered Subordinated Indebtedness, unless such Permitted Convertible Indebtedness is expressly contractually subordinated to the Secured Obligations.</w:t>
      </w:r>
    </w:p>
    <w:p>
      <w:pPr>
        <w:pStyle w:val="TextBody"/>
        <w:bidi w:val="0"/>
        <w:spacing w:lineRule="auto" w:line="355" w:before="280" w:after="283"/>
        <w:ind w:left="0" w:right="0" w:firstLine="816"/>
        <w:jc w:val="both"/>
        <w:rPr/>
      </w:pPr>
      <w:r>
        <w:rPr>
          <w:color w:val="000000"/>
        </w:rPr>
        <w:t>“</w:t>
      </w:r>
      <w:r>
        <w:rPr>
          <w:rFonts w:ascii="Times New Roman;serif" w:hAnsi="Times New Roman;serif"/>
          <w:b w:val="false"/>
          <w:i/>
          <w:color w:val="000000"/>
          <w:sz w:val="22"/>
          <w:u w:val="single"/>
        </w:rPr>
        <w:t>Subordination Agreement</w:t>
      </w:r>
      <w:r>
        <w:rPr>
          <w:color w:val="000000"/>
        </w:rPr>
        <w:t xml:space="preserve">” </w:t>
      </w:r>
      <w:r>
        <w:rPr>
          <w:rFonts w:ascii="Times New Roman;serif" w:hAnsi="Times New Roman;serif"/>
          <w:b w:val="false"/>
          <w:color w:val="000000"/>
          <w:sz w:val="22"/>
        </w:rPr>
        <w:t>means an intercreditor and/or subordination agreement in form and substance satisfactory to Administrative Agent in its reasonable discretion by and among one or more of the Loan Parties, a subordinating creditor and Administrative Agent, on behalf of Secured Parties, pursuant to which Subordinated Indebtedness is subordinated to the prior payment and satisfaction of the Secured Obligations and the Liens securing such Subordinated Indebtedness, if any, granted by any Loan Party to such subordinated creditor are subordinated to the Liens created hereunder and under any other Loan Document.</w:t>
      </w:r>
    </w:p>
    <w:p>
      <w:pPr>
        <w:pStyle w:val="TextBody"/>
        <w:bidi w:val="0"/>
        <w:spacing w:lineRule="auto" w:line="355" w:before="280" w:after="283"/>
        <w:ind w:left="0" w:right="0" w:firstLine="816"/>
        <w:jc w:val="both"/>
        <w:rPr/>
      </w:pPr>
      <w:r>
        <w:rPr>
          <w:color w:val="000000"/>
        </w:rPr>
        <w:t>“</w:t>
      </w:r>
      <w:r>
        <w:rPr>
          <w:rFonts w:ascii="Times New Roman;serif" w:hAnsi="Times New Roman;serif"/>
          <w:b w:val="false"/>
          <w:i/>
          <w:color w:val="000000"/>
          <w:sz w:val="22"/>
          <w:u w:val="single"/>
        </w:rPr>
        <w:t>Subsidiary</w:t>
      </w:r>
      <w:r>
        <w:rPr>
          <w:color w:val="000000"/>
        </w:rPr>
        <w:t xml:space="preserve">” </w:t>
      </w:r>
      <w:r>
        <w:rPr>
          <w:rFonts w:ascii="Times New Roman;serif" w:hAnsi="Times New Roman;serif"/>
          <w:b w:val="false"/>
          <w:color w:val="000000"/>
          <w:sz w:val="22"/>
        </w:rPr>
        <w:t xml:space="preserve">means, with respect to any Person (the </w:t>
      </w:r>
      <w:r>
        <w:rPr>
          <w:color w:val="000000"/>
        </w:rPr>
        <w:t>“</w:t>
      </w:r>
      <w:r>
        <w:rPr>
          <w:rFonts w:ascii="Times New Roman;serif" w:hAnsi="Times New Roman;serif"/>
          <w:b w:val="false"/>
          <w:i/>
          <w:color w:val="000000"/>
          <w:sz w:val="22"/>
        </w:rPr>
        <w:t>parent”</w:t>
      </w:r>
      <w:r>
        <w:rPr>
          <w:rFonts w:ascii="Times New Roman;serif" w:hAnsi="Times New Roman;serif"/>
          <w:b w:val="false"/>
          <w:color w:val="000000"/>
          <w:sz w:val="22"/>
        </w:rPr>
        <w:t xml:space="preserve">) at any date, any corporation, limited liability company, partnership, association or other entity (a) of which securities or other ownership interests representing more than 50% of the Equity Interests or more than 50% of the Voting Stock or, in the case of a partnership, more than 50% of the general partnership interests are, as of such date, owned, controlled or held by the parent and/or one or more subsidiaries of the parent or (b) that is, as of such date, otherwise Controlled by the parent and/or one or more subsidiaries of the parent;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in the case of this clause (b), any professional corporation or professional practice entity that is a Managed Company shall not be considered a Subsidiary. Unless the context requires otherwise, “Subsidiary” refers to a Subsidiary of Parent.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00"/>
        </w:rPr>
        <w:t>“</w:t>
      </w:r>
      <w:r>
        <w:rPr>
          <w:rFonts w:ascii="Times New Roman;serif" w:hAnsi="Times New Roman;serif"/>
          <w:b w:val="false"/>
          <w:i/>
          <w:color w:val="000000"/>
          <w:sz w:val="22"/>
          <w:u w:val="single"/>
        </w:rPr>
        <w:t>Successor Rate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3.03(b)</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Supported QFC</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11.21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Swap Contract</w:t>
      </w:r>
      <w:r>
        <w:rPr>
          <w:color w:val="000000"/>
        </w:rPr>
        <w:t xml:space="preserve">” </w:t>
      </w:r>
      <w:r>
        <w:rPr>
          <w:rFonts w:ascii="Times New Roman;serif" w:hAnsi="Times New Roman;serif"/>
          <w:b w:val="false"/>
          <w:color w:val="000000"/>
          <w:sz w:val="22"/>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erif" w:hAnsi="Times New Roman;serif"/>
          <w:b w:val="false"/>
          <w:i/>
          <w:color w:val="000000"/>
          <w:sz w:val="22"/>
          <w:u w:val="single"/>
        </w:rPr>
        <w:t>Master Agreement</w:t>
      </w:r>
      <w:r>
        <w:rPr>
          <w:color w:val="000000"/>
        </w:rPr>
        <w:t>”</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701675"/>
                <wp:effectExtent l="0" t="0" r="0" b="0"/>
                <wp:wrapNone/>
                <wp:docPr id="186" name="Frame18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including any such obligations or liabilities under any Master Agreement, (c) any Permitted Bond Hedge Transaction, and (d) any Permitted Warrant Transaction.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Swap Obligations</w:t>
      </w:r>
      <w:r>
        <w:rPr>
          <w:color w:val="000000"/>
        </w:rPr>
        <w:t xml:space="preserve">” </w:t>
      </w:r>
      <w:r>
        <w:rPr>
          <w:rFonts w:ascii="Times New Roman;serif" w:hAnsi="Times New Roman;serif"/>
          <w:b w:val="false"/>
          <w:color w:val="000000"/>
          <w:sz w:val="22"/>
        </w:rPr>
        <w:t>means with respect to any Guarantor any obligation to pay or perform under any agreement, contract or transaction that constitutes a “swap” within the meaning of Section 1a(47) of the Commodity Exchange 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Swap Termination Value</w:t>
      </w:r>
      <w:r>
        <w:rPr>
          <w:color w:val="000000"/>
        </w:rPr>
        <w:t xml:space="preserve">” </w:t>
      </w:r>
      <w:r>
        <w:rPr>
          <w:rFonts w:ascii="Times New Roman;serif" w:hAnsi="Times New Roman;serif"/>
          <w:b w:val="false"/>
          <w:color w:val="000000"/>
          <w:sz w:val="22"/>
        </w:rPr>
        <w:t xml:space="preserve">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serif" w:hAnsi="Times New Roman;serif"/>
          <w:b w:val="false"/>
          <w:color w:val="000000"/>
          <w:sz w:val="22"/>
          <w:u w:val="single"/>
        </w:rPr>
        <w:t>clause (a)</w:t>
      </w:r>
      <w:r>
        <w:rPr>
          <w:rFonts w:ascii="Times New Roman;serif" w:hAnsi="Times New Roman;serif"/>
          <w:b w:val="false"/>
          <w:color w:val="000000"/>
          <w:sz w:val="22"/>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Swingline Borrowing</w:t>
      </w:r>
      <w:r>
        <w:rPr>
          <w:color w:val="000000"/>
        </w:rPr>
        <w:t xml:space="preserve">” </w:t>
      </w:r>
      <w:r>
        <w:rPr>
          <w:rFonts w:ascii="Times New Roman;serif" w:hAnsi="Times New Roman;serif"/>
          <w:b w:val="false"/>
          <w:color w:val="000000"/>
          <w:sz w:val="22"/>
        </w:rPr>
        <w:t xml:space="preserve">means a borrowing of a Swingline Loan pursuant to </w:t>
      </w:r>
      <w:r>
        <w:rPr>
          <w:rFonts w:ascii="Times New Roman;serif" w:hAnsi="Times New Roman;serif"/>
          <w:b w:val="false"/>
          <w:color w:val="000000"/>
          <w:sz w:val="22"/>
          <w:u w:val="single"/>
        </w:rPr>
        <w:t>Section 2.04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Swingline Commitment</w:t>
      </w:r>
      <w:r>
        <w:rPr>
          <w:color w:val="000000"/>
        </w:rPr>
        <w:t xml:space="preserve">” </w:t>
      </w:r>
      <w:r>
        <w:rPr>
          <w:rFonts w:ascii="Times New Roman;serif" w:hAnsi="Times New Roman;serif"/>
          <w:b w:val="false"/>
          <w:color w:val="000000"/>
          <w:sz w:val="22"/>
        </w:rPr>
        <w:t xml:space="preserve">means, as to the Swingline Lender (a) the amount set forth opposite such Lender’s name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 xml:space="preserve">hereof or (b) if such Lender has entered into an Assignment and Assumption or has otherwise assumed a Swingline Commitment after the Closing Date, the amount set forth for such Lender as its Swingline Commitment in the Register maintained by the Administrative Agent pursuant to </w:t>
      </w:r>
      <w:r>
        <w:rPr>
          <w:rFonts w:ascii="Times New Roman;serif" w:hAnsi="Times New Roman;serif"/>
          <w:b w:val="false"/>
          <w:color w:val="000000"/>
          <w:sz w:val="22"/>
          <w:u w:val="single"/>
        </w:rPr>
        <w:t>Section 11.06(c</w:t>
      </w:r>
      <w:r>
        <w:rPr>
          <w:rFonts w:ascii="Times New Roman;serif" w:hAnsi="Times New Roman;serif"/>
          <w:b w:val="false"/>
          <w:color w:val="000000"/>
          <w:sz w:val="22"/>
        </w:rPr>
        <w:t>). The Swingline Commitment of the Swingline Lender may be modified from time to time by agreement between the Swingline Lender and the Borrower, and notified to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Swingline Lender</w:t>
      </w:r>
      <w:r>
        <w:rPr>
          <w:color w:val="000000"/>
        </w:rPr>
        <w:t xml:space="preserve">” </w:t>
      </w:r>
      <w:r>
        <w:rPr>
          <w:rFonts w:ascii="Times New Roman;serif" w:hAnsi="Times New Roman;serif"/>
          <w:b w:val="false"/>
          <w:color w:val="000000"/>
          <w:sz w:val="22"/>
        </w:rPr>
        <w:t>means Citibank, in its capacity as provider of Swingline Loans, or any successor swingline lender 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Swingline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2.04(a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Swingline Loan Notice</w:t>
      </w:r>
      <w:r>
        <w:rPr>
          <w:color w:val="000000"/>
        </w:rPr>
        <w:t xml:space="preserve">” </w:t>
      </w:r>
      <w:r>
        <w:rPr>
          <w:rFonts w:ascii="Times New Roman;serif" w:hAnsi="Times New Roman;serif"/>
          <w:b w:val="false"/>
          <w:color w:val="000000"/>
          <w:sz w:val="22"/>
        </w:rPr>
        <w:t xml:space="preserve">means a notice of a Swingline Borrowing pursuant to </w:t>
      </w:r>
      <w:r>
        <w:rPr>
          <w:rFonts w:ascii="Times New Roman;serif" w:hAnsi="Times New Roman;serif"/>
          <w:b w:val="false"/>
          <w:color w:val="000000"/>
          <w:sz w:val="22"/>
          <w:u w:val="single"/>
        </w:rPr>
        <w:t>Section 2.04(b</w:t>
      </w:r>
      <w:r>
        <w:rPr>
          <w:rFonts w:ascii="Times New Roman;serif" w:hAnsi="Times New Roman;serif"/>
          <w:b w:val="false"/>
          <w:color w:val="000000"/>
          <w:sz w:val="22"/>
        </w:rPr>
        <w:t xml:space="preserve">), which shall be substantially in the form of </w:t>
      </w:r>
      <w:r>
        <w:rPr>
          <w:rFonts w:ascii="Times New Roman;serif" w:hAnsi="Times New Roman;serif"/>
          <w:b w:val="false"/>
          <w:color w:val="000000"/>
          <w:sz w:val="22"/>
          <w:u w:val="single"/>
        </w:rPr>
        <w:t>Exhibit J</w:t>
      </w:r>
      <w:r>
        <w:rPr>
          <w:color w:val="000000"/>
        </w:rPr>
        <w:t xml:space="preserve"> </w:t>
      </w:r>
      <w:r>
        <w:rPr>
          <w:rFonts w:ascii="Times New Roman;serif" w:hAnsi="Times New Roman;serif"/>
          <w:b w:val="false"/>
          <w:color w:val="000000"/>
          <w:sz w:val="22"/>
        </w:rPr>
        <w:t>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Swingline Sublimit</w:t>
      </w:r>
      <w:r>
        <w:rPr>
          <w:color w:val="000000"/>
        </w:rPr>
        <w:t xml:space="preserve">” </w:t>
      </w:r>
      <w:r>
        <w:rPr>
          <w:rFonts w:ascii="Times New Roman;serif" w:hAnsi="Times New Roman;serif"/>
          <w:b w:val="false"/>
          <w:color w:val="000000"/>
          <w:sz w:val="22"/>
        </w:rPr>
        <w:t>means an amount equal to the lesser of (a) $5,000,000 and (b) the Revolving Facility. The Swingline Sublimit is part of, and not in addition to, the Revolving Facility.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Synthetic Debt</w:t>
      </w:r>
      <w:r>
        <w:rPr>
          <w:color w:val="000000"/>
        </w:rPr>
        <w:t xml:space="preserve">” </w:t>
      </w:r>
      <w:r>
        <w:rPr>
          <w:rFonts w:ascii="Times New Roman;serif" w:hAnsi="Times New Roman;serif"/>
          <w:b w:val="false"/>
          <w:color w:val="000000"/>
          <w:sz w:val="22"/>
        </w:rPr>
        <w:t>means, with respect to any Person as of any date of determination thereof, all obligations of such Person in respect of transactions entered into by such Person that are intended to function primarily as a borrowing of funds but are not otherwise included in the definition of “Indebtedness” or as a liability on the consolidated balance sheet of such Person and its Subsidiaries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Synthetic Lease Obligation</w:t>
      </w:r>
      <w:r>
        <w:rPr>
          <w:color w:val="000000"/>
        </w:rPr>
        <w:t xml:space="preserve">” </w:t>
      </w:r>
      <w:r>
        <w:rPr>
          <w:rFonts w:ascii="Times New Roman;serif" w:hAnsi="Times New Roman;serif"/>
          <w:b w:val="false"/>
          <w:color w:val="000000"/>
          <w:sz w:val="22"/>
        </w:rPr>
        <w:t>means the monetary obligation of a Person under (a) a so-called synthetic, off-balance sheet or tax retention lease, or (b) an agreement for the use or possession of property (including Sale and Leaseback Transactions), in each case under this clause (b), creating obligations that do not appear on the balance sheet of such Person but which, upon the application of any Debtor Relief Laws to such Person, would be characterized as the indebtedness of such Person (without regard to accounting treatment).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Target</w:t>
      </w:r>
      <w:r>
        <w:rPr>
          <w:color w:val="000000"/>
        </w:rPr>
        <w:t xml:space="preserve">” </w:t>
      </w:r>
      <w:r>
        <w:rPr>
          <w:rFonts w:ascii="Times New Roman;serif" w:hAnsi="Times New Roman;serif"/>
          <w:b w:val="false"/>
          <w:color w:val="000000"/>
          <w:sz w:val="22"/>
        </w:rPr>
        <w:t>has the meaning set forth in the definition of “Permitted Acquisition.”</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701675"/>
                <wp:effectExtent l="0" t="0" r="0" b="0"/>
                <wp:wrapNone/>
                <wp:docPr id="187" name="Frame18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Taxes</w:t>
      </w:r>
      <w:r>
        <w:rPr>
          <w:color w:val="000000"/>
        </w:rPr>
        <w:t xml:space="preserve">” </w:t>
      </w:r>
      <w:r>
        <w:rPr>
          <w:rFonts w:ascii="Times New Roman;serif" w:hAnsi="Times New Roman;serif"/>
          <w:b w:val="false"/>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2"/>
          <w:u w:val="single"/>
        </w:rPr>
        <w:t>Term SOFR</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(a)    for any Interest Period with respect to a Term SOFR Loan, the rate per annum equal to the Term SOFR Screen Rate on the day (such day, the “</w:t>
      </w:r>
      <w:r>
        <w:rPr>
          <w:rFonts w:ascii="Times New Roman;serif" w:hAnsi="Times New Roman;serif"/>
          <w:b w:val="false"/>
          <w:color w:val="000000"/>
          <w:sz w:val="22"/>
          <w:u w:val="single"/>
        </w:rPr>
        <w:t>Periodic Term SOFR Determination Day</w:t>
      </w:r>
      <w:r>
        <w:rPr>
          <w:color w:val="000000"/>
        </w:rPr>
        <w:t>”</w:t>
      </w:r>
      <w:r>
        <w:rPr>
          <w:rFonts w:ascii="Times New Roman;serif" w:hAnsi="Times New Roman;serif"/>
          <w:b w:val="false"/>
          <w:color w:val="000000"/>
          <w:sz w:val="22"/>
        </w:rPr>
        <w:t>) that is two U.S. Government Securities Business Days prior to the commencement of such Interest Period with a term equivalent to such Interest Period; provided that if the rate is not published prior to 5:00 p.m. on such determination date then Term SOFR means the Term SOFR Screen Rate on the first U.S. Government Securities Business Day immediately prior thereto so long as such first preceding U.S. Government Securities Business Day is not more than three (3) U.S. Government Securities Business Days prior to such Periodic Term SOFR Determination Day;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(b)    for any interest calculation with respect to a Base Rate Loan on any date, the rate per annum equal to the Term SOFR Screen Rate with a term of one month on the day (such day, the “</w:t>
      </w:r>
      <w:r>
        <w:rPr>
          <w:rFonts w:ascii="Times New Roman;serif" w:hAnsi="Times New Roman;serif"/>
          <w:b w:val="false"/>
          <w:color w:val="000000"/>
          <w:sz w:val="22"/>
          <w:u w:val="single"/>
        </w:rPr>
        <w:t>Base Term SOFR Determination Day</w:t>
      </w:r>
      <w:r>
        <w:rPr>
          <w:color w:val="000000"/>
        </w:rPr>
        <w:t>”</w:t>
      </w:r>
      <w:r>
        <w:rPr>
          <w:rFonts w:ascii="Times New Roman;serif" w:hAnsi="Times New Roman;serif"/>
          <w:b w:val="false"/>
          <w:color w:val="000000"/>
          <w:sz w:val="22"/>
        </w:rPr>
        <w:t>) that is two U.S. Government Securities Business Days prior to such day; provided that if the rate is not published prior to 5:00 p.m. on such determination date then Term SOFR means the Term SOFR Screen Rate on the first U.S. Government Securities Business Day immediately prior to such determination date so long as such first preceding U.S. Government Securities Business Day is not more than three (3) U.S. Government Securities Business Days prior to such Base Term SOFR Determination Day;</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Term SOFR determined in accordance with either of the foregoing provisions (a) or (b) of this definition would otherwise be less than zero, the Term SOFR shall be deemed zero for purposes of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Term SOFR Loan</w:t>
      </w:r>
      <w:r>
        <w:rPr>
          <w:color w:val="000000"/>
        </w:rPr>
        <w:t xml:space="preserve">” </w:t>
      </w:r>
      <w:r>
        <w:rPr>
          <w:rFonts w:ascii="Times New Roman;serif" w:hAnsi="Times New Roman;serif"/>
          <w:b w:val="false"/>
          <w:color w:val="000000"/>
          <w:sz w:val="22"/>
        </w:rPr>
        <w:t>means a Loan that bears interest at a rate based on clause (a) of the definition of Term SOFR.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Term SOFR Screen Rate</w:t>
      </w:r>
      <w:r>
        <w:rPr>
          <w:color w:val="000000"/>
        </w:rPr>
        <w:t xml:space="preserve">” </w:t>
      </w:r>
      <w:r>
        <w:rPr>
          <w:rFonts w:ascii="Times New Roman;serif" w:hAnsi="Times New Roman;serif"/>
          <w:b w:val="false"/>
          <w:color w:val="000000"/>
          <w:sz w:val="22"/>
        </w:rPr>
        <w:t>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Third-Party Payor</w:t>
      </w:r>
      <w:r>
        <w:rPr>
          <w:color w:val="000000"/>
        </w:rPr>
        <w:t xml:space="preserve">” </w:t>
      </w:r>
      <w:r>
        <w:rPr>
          <w:rFonts w:ascii="Times New Roman;serif" w:hAnsi="Times New Roman;serif"/>
          <w:b w:val="false"/>
          <w:color w:val="000000"/>
          <w:sz w:val="22"/>
        </w:rPr>
        <w:t>means any insurance company, managed care organization, health plan or program, employer, self-insurance plan, managed care plan, or other payor that provides or administers health benefits or payments for healthcare services, whether private, commercial or a Government Reimbursement Program and fiscal intermediaries or contractors acting on behalf of any of the foregoing.</w:t>
      </w:r>
    </w:p>
    <w:p>
      <w:pPr>
        <w:pStyle w:val="TextBody"/>
        <w:bidi w:val="0"/>
        <w:spacing w:lineRule="auto" w:line="240" w:before="280" w:after="240"/>
        <w:ind w:left="0" w:right="0" w:firstLine="720"/>
        <w:jc w:val="both"/>
        <w:rPr/>
      </w:pPr>
      <w:r>
        <w:rPr>
          <w:color w:val="000000"/>
        </w:rPr>
        <w:t>“</w:t>
      </w:r>
      <w:r>
        <w:rPr>
          <w:rFonts w:ascii="Times New Roman;serif" w:hAnsi="Times New Roman;serif"/>
          <w:b w:val="false"/>
          <w:i/>
          <w:color w:val="000000"/>
          <w:sz w:val="22"/>
          <w:u w:val="single"/>
        </w:rPr>
        <w:t>Third Party Funds</w:t>
      </w:r>
      <w:r>
        <w:rPr>
          <w:color w:val="000000"/>
        </w:rPr>
        <w:t xml:space="preserve">” </w:t>
      </w:r>
      <w:r>
        <w:rPr>
          <w:rFonts w:ascii="Times New Roman;serif" w:hAnsi="Times New Roman;serif"/>
          <w:b w:val="false"/>
          <w:color w:val="000000"/>
          <w:sz w:val="22"/>
        </w:rPr>
        <w:t>means any segregated accounts or funds, or any portion thereof, received by Parent or any of its Subsidiaries as agent on behalf of third parties in accordance with a written agreement that imposes a duty upon Parent or one or more of its Subsidiaries to collect and remit those funds to such third parties.</w:t>
      </w:r>
      <w:r>
        <w:rPr>
          <w:color w:val="000000"/>
        </w:rPr>
        <w:t xml:space="preserve"> </w:t>
      </w:r>
    </w:p>
    <w:p>
      <w:pPr>
        <w:pStyle w:val="TextBody"/>
        <w:bidi w:val="0"/>
        <w:spacing w:lineRule="auto" w:line="240" w:before="280" w:after="240"/>
        <w:ind w:left="0" w:right="0" w:firstLine="720"/>
        <w:jc w:val="both"/>
        <w:rPr/>
      </w:pPr>
      <w:r>
        <w:rPr>
          <w:color w:val="000000"/>
        </w:rPr>
        <w:t>“</w:t>
      </w:r>
      <w:r>
        <w:rPr>
          <w:rFonts w:ascii="Times New Roman;serif" w:hAnsi="Times New Roman;serif"/>
          <w:b w:val="false"/>
          <w:i/>
          <w:color w:val="000000"/>
          <w:sz w:val="22"/>
          <w:u w:val="single"/>
        </w:rPr>
        <w:t>Third Party Payor Programs</w:t>
      </w:r>
      <w:r>
        <w:rPr>
          <w:color w:val="000000"/>
        </w:rPr>
        <w:t xml:space="preserve">” </w:t>
      </w:r>
      <w:r>
        <w:rPr>
          <w:rFonts w:ascii="Times New Roman;serif" w:hAnsi="Times New Roman;serif"/>
          <w:b w:val="false"/>
          <w:color w:val="000000"/>
          <w:sz w:val="22"/>
        </w:rPr>
        <w:t>means all health care payment and reimbursement programs with respect to a Third-Party Payor in which Parent, its Subsidiaries (including any Health Plan Subsidiary) or any Managed Company participates.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Threshold Amount</w:t>
      </w:r>
      <w:r>
        <w:rPr>
          <w:color w:val="000000"/>
        </w:rPr>
        <w:t xml:space="preserve">” </w:t>
      </w:r>
      <w:r>
        <w:rPr>
          <w:rFonts w:ascii="Times New Roman;serif" w:hAnsi="Times New Roman;serif"/>
          <w:b w:val="false"/>
          <w:color w:val="000000"/>
          <w:sz w:val="22"/>
        </w:rPr>
        <w:t>means $25,000,000.</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701675"/>
                <wp:effectExtent l="0" t="0" r="0" b="0"/>
                <wp:wrapNone/>
                <wp:docPr id="188" name="Frame18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Total Revolving Exposure</w:t>
      </w:r>
      <w:r>
        <w:rPr>
          <w:color w:val="000000"/>
        </w:rPr>
        <w:t xml:space="preserve">” </w:t>
      </w:r>
      <w:r>
        <w:rPr>
          <w:rFonts w:ascii="Times New Roman;serif" w:hAnsi="Times New Roman;serif"/>
          <w:b w:val="false"/>
          <w:color w:val="000000"/>
          <w:sz w:val="22"/>
        </w:rPr>
        <w:t>means, as to any Revolving Lender at any time, the unused Commitments and Revolving Exposure of such Revolving Lender at such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Total Revolving Outstandings</w:t>
      </w:r>
      <w:r>
        <w:rPr>
          <w:color w:val="000000"/>
        </w:rPr>
        <w:t xml:space="preserve">” </w:t>
      </w:r>
      <w:r>
        <w:rPr>
          <w:rFonts w:ascii="Times New Roman;serif" w:hAnsi="Times New Roman;serif"/>
          <w:b w:val="false"/>
          <w:color w:val="000000"/>
          <w:sz w:val="22"/>
        </w:rPr>
        <w:t>means the aggregate Outstanding Amount of all Revolving Loans, Swingline Loans and L/C Obligations.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Trade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11.06(g)(i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TRICARE</w:t>
      </w:r>
      <w:r>
        <w:rPr>
          <w:color w:val="000000"/>
        </w:rPr>
        <w:t xml:space="preserve">” </w:t>
      </w:r>
      <w:r>
        <w:rPr>
          <w:rFonts w:ascii="Times New Roman;serif" w:hAnsi="Times New Roman;serif"/>
          <w:b w:val="false"/>
          <w:color w:val="000000"/>
          <w:sz w:val="22"/>
        </w:rPr>
        <w:t>means the Civilian Health and Medical Program of the Uniformed Service, a program of medical benefits covering former and active members of the uniformed services and certain of their dependents, financed and administered by the United States Departments of Defense, Health and Human Services and Transportation and established pursuant to 10 USC §§ 1071-1106, and all regulations promulgated thereunder including all federal statutes (whether set forth in 10 USC §§ 1071-1106 or elsewhere) affecting TRICARE as may be amended,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Type</w:t>
      </w:r>
      <w:r>
        <w:rPr>
          <w:color w:val="000000"/>
        </w:rPr>
        <w:t xml:space="preserve">” </w:t>
      </w:r>
      <w:r>
        <w:rPr>
          <w:rFonts w:ascii="Times New Roman;serif" w:hAnsi="Times New Roman;serif"/>
          <w:b w:val="false"/>
          <w:color w:val="000000"/>
          <w:sz w:val="22"/>
        </w:rPr>
        <w:t>means, with respect to a Loan, its character as a Base Rate Loan or a Term SOFR Loan.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UCC</w:t>
      </w:r>
      <w:r>
        <w:rPr>
          <w:color w:val="000000"/>
        </w:rPr>
        <w:t xml:space="preserve">” </w:t>
      </w:r>
      <w:r>
        <w:rPr>
          <w:rFonts w:ascii="Times New Roman;serif" w:hAnsi="Times New Roman;serif"/>
          <w:b w:val="false"/>
          <w:color w:val="000000"/>
          <w:sz w:val="22"/>
        </w:rPr>
        <w:t xml:space="preserve">means the Uniform Commercial Code as in effect in the State of New York;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perfection or the effect of perfection or non-perfection or the priority of any security interest in any Collateral is governed by the Uniform Commercial Code as in effect in a jurisdiction other than the State of New York, “</w:t>
      </w:r>
      <w:r>
        <w:rPr>
          <w:rFonts w:ascii="Times New Roman;serif" w:hAnsi="Times New Roman;serif"/>
          <w:b w:val="false"/>
          <w:i/>
          <w:color w:val="000000"/>
          <w:sz w:val="22"/>
          <w:u w:val="single"/>
        </w:rPr>
        <w:t>UCC</w:t>
      </w:r>
      <w:r>
        <w:rPr>
          <w:color w:val="000000"/>
        </w:rPr>
        <w:t xml:space="preserve">” </w:t>
      </w:r>
      <w:r>
        <w:rPr>
          <w:rFonts w:ascii="Times New Roman;serif" w:hAnsi="Times New Roman;serif"/>
          <w:b w:val="false"/>
          <w:color w:val="000000"/>
          <w:sz w:val="22"/>
        </w:rPr>
        <w:t>means the Uniform Commercial Code as in effect from time to time in such other jurisdiction for purposes of the provisions hereof relating to such perfection, effect of perfection or non-perfection or priority.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UK Financial Institution</w:t>
      </w:r>
      <w:r>
        <w:rPr>
          <w:color w:val="000000"/>
        </w:rPr>
        <w:t xml:space="preserve">” </w:t>
      </w:r>
      <w:r>
        <w:rPr>
          <w:rFonts w:ascii="Times New Roman;serif" w:hAnsi="Times New Roman;serif"/>
          <w:b w:val="false"/>
          <w:color w:val="000000"/>
          <w:sz w:val="22"/>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UK Resolution Authority</w:t>
      </w:r>
      <w:r>
        <w:rPr>
          <w:color w:val="000000"/>
        </w:rPr>
        <w:t xml:space="preserve">” </w:t>
      </w:r>
      <w:r>
        <w:rPr>
          <w:rFonts w:ascii="Times New Roman;serif" w:hAnsi="Times New Roman;serif"/>
          <w:b w:val="false"/>
          <w:color w:val="000000"/>
          <w:sz w:val="22"/>
        </w:rPr>
        <w:t>means the Bank of England or any other public administrative authority having responsibility for the resolution of any UK Financial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United States</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u w:val="single"/>
        </w:rPr>
        <w:t>U</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S</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mean the United States of America.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Unreimbursed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2.03(f</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U.S. Government Securities Business Day</w:t>
      </w:r>
      <w:r>
        <w:rPr>
          <w:color w:val="000000"/>
        </w:rPr>
        <w:t xml:space="preserve">” </w:t>
      </w:r>
      <w:r>
        <w:rPr>
          <w:rFonts w:ascii="Times New Roman;serif" w:hAnsi="Times New Roman;serif"/>
          <w:b w:val="false"/>
          <w:color w:val="000000"/>
          <w:sz w:val="22"/>
        </w:rPr>
        <w:t>means any Business Day, except any Business Day on which any of the Securities Industry and Financial Markets Association, the New York Stock Exchange or the Federal Reserve Bank of New York recommends that the fixed income departments of its members be closed for the entire day for purposes of trading in United States government securities.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U</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S</w:t>
      </w:r>
      <w:r>
        <w:rPr>
          <w:rFonts w:ascii="Times New Roman;serif" w:hAnsi="Times New Roman;serif"/>
          <w:b w:val="false"/>
          <w:color w:val="000000"/>
          <w:sz w:val="22"/>
          <w:u w:val="single"/>
        </w:rPr>
        <w:t xml:space="preserve">. </w:t>
      </w:r>
      <w:r>
        <w:rPr>
          <w:rFonts w:ascii="Times New Roman;serif" w:hAnsi="Times New Roman;serif"/>
          <w:b w:val="false"/>
          <w:i/>
          <w:color w:val="000000"/>
          <w:sz w:val="22"/>
          <w:u w:val="single"/>
        </w:rPr>
        <w:t>Loan Party</w:t>
      </w:r>
      <w:r>
        <w:rPr>
          <w:color w:val="000000"/>
        </w:rPr>
        <w:t xml:space="preserve">” </w:t>
      </w:r>
      <w:r>
        <w:rPr>
          <w:rFonts w:ascii="Times New Roman;serif" w:hAnsi="Times New Roman;serif"/>
          <w:b w:val="false"/>
          <w:color w:val="000000"/>
          <w:sz w:val="22"/>
        </w:rPr>
        <w:t>means any Loan Party that is organized under the laws of the United States, any state thereof or the District of Columbia.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U</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S</w:t>
      </w:r>
      <w:r>
        <w:rPr>
          <w:rFonts w:ascii="Times New Roman;serif" w:hAnsi="Times New Roman;serif"/>
          <w:b w:val="false"/>
          <w:color w:val="000000"/>
          <w:sz w:val="22"/>
          <w:u w:val="single"/>
        </w:rPr>
        <w:t xml:space="preserve">. </w:t>
      </w:r>
      <w:r>
        <w:rPr>
          <w:rFonts w:ascii="Times New Roman;serif" w:hAnsi="Times New Roman;serif"/>
          <w:b w:val="false"/>
          <w:i/>
          <w:color w:val="000000"/>
          <w:sz w:val="22"/>
          <w:u w:val="single"/>
        </w:rPr>
        <w:t>Person</w:t>
      </w:r>
      <w:r>
        <w:rPr>
          <w:color w:val="000000"/>
        </w:rPr>
        <w:t xml:space="preserve">” </w:t>
      </w:r>
      <w:r>
        <w:rPr>
          <w:rFonts w:ascii="Times New Roman;serif" w:hAnsi="Times New Roman;serif"/>
          <w:b w:val="false"/>
          <w:color w:val="000000"/>
          <w:sz w:val="22"/>
        </w:rPr>
        <w:t>means any Person that is a “United States person” as defined in Section 7701(a)(30) of the Code.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U.S. Special Resolution Regimes</w:t>
      </w:r>
      <w:r>
        <w:rPr>
          <w:color w:val="000000"/>
        </w:rPr>
        <w:t xml:space="preserve">” </w:t>
      </w:r>
      <w:r>
        <w:rPr>
          <w:rFonts w:ascii="Times New Roman;serif" w:hAnsi="Times New Roman;serif"/>
          <w:b w:val="false"/>
          <w:color w:val="000000"/>
          <w:sz w:val="22"/>
        </w:rPr>
        <w:t>has the meaning specified in Section 11.21.</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U</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S</w:t>
      </w:r>
      <w:r>
        <w:rPr>
          <w:rFonts w:ascii="Times New Roman;serif" w:hAnsi="Times New Roman;serif"/>
          <w:b w:val="false"/>
          <w:color w:val="000000"/>
          <w:sz w:val="22"/>
          <w:u w:val="single"/>
        </w:rPr>
        <w:t xml:space="preserve">. </w:t>
      </w:r>
      <w:r>
        <w:rPr>
          <w:rFonts w:ascii="Times New Roman;serif" w:hAnsi="Times New Roman;serif"/>
          <w:b w:val="false"/>
          <w:i/>
          <w:color w:val="000000"/>
          <w:sz w:val="22"/>
          <w:u w:val="single"/>
        </w:rPr>
        <w:t>Tax</w:t>
      </w:r>
      <w:r>
        <w:rPr>
          <w:color w:val="000000"/>
          <w:u w:val="single"/>
        </w:rPr>
        <w:t xml:space="preserve"> </w:t>
      </w:r>
      <w:r>
        <w:rPr>
          <w:rFonts w:ascii="Times New Roman;serif" w:hAnsi="Times New Roman;serif"/>
          <w:b w:val="false"/>
          <w:i/>
          <w:color w:val="000000"/>
          <w:sz w:val="22"/>
          <w:u w:val="single"/>
        </w:rPr>
        <w:t>Compliance Certificate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3.01(f)(ii)(B)(3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Voting Stock</w:t>
      </w:r>
      <w:r>
        <w:rPr>
          <w:color w:val="000000"/>
        </w:rPr>
        <w:t xml:space="preserve">” </w:t>
      </w:r>
      <w:r>
        <w:rPr>
          <w:rFonts w:ascii="Times New Roman;serif" w:hAnsi="Times New Roman;serif"/>
          <w:b w:val="false"/>
          <w:color w:val="000000"/>
          <w:sz w:val="22"/>
        </w:rPr>
        <w:t>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701675"/>
                <wp:effectExtent l="0" t="0" r="0" b="0"/>
                <wp:wrapNone/>
                <wp:docPr id="189" name="Frame18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Weighted Average Life to Maturity</w:t>
      </w:r>
      <w:r>
        <w:rPr>
          <w:color w:val="000000"/>
        </w:rPr>
        <w:t xml:space="preserve">” </w:t>
      </w:r>
      <w:r>
        <w:rPr>
          <w:rFonts w:ascii="Times New Roman;serif" w:hAnsi="Times New Roman;serif"/>
          <w:b w:val="false"/>
          <w:color w:val="000000"/>
          <w:sz w:val="22"/>
        </w:rPr>
        <w:t>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 in each case of clauses (a) and (b).</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2"/>
          <w:u w:val="single"/>
        </w:rPr>
        <w:t>Write</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Down and Conversion Powers</w:t>
      </w:r>
      <w:r>
        <w:rPr>
          <w:color w:val="000000"/>
        </w:rPr>
        <w:t xml:space="preserve">” </w:t>
      </w:r>
      <w:r>
        <w:rPr>
          <w:rFonts w:ascii="Times New Roman;serif" w:hAnsi="Times New Roman;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240"/>
        <w:ind w:left="0" w:right="0" w:firstLine="720"/>
        <w:jc w:val="both"/>
        <w:rPr/>
      </w:pPr>
      <w:r>
        <w:rPr>
          <w:rFonts w:ascii="Times New Roman;serif" w:hAnsi="Times New Roman;serif"/>
          <w:b/>
          <w:color w:val="000000"/>
          <w:sz w:val="22"/>
        </w:rPr>
        <w:t>1.02</w:t>
      </w:r>
      <w:r>
        <w:rPr>
          <w:rFonts w:ascii="Times New Roman;serif" w:hAnsi="Times New Roman;serif"/>
          <w:b/>
          <w:color w:val="000000"/>
          <w:sz w:val="22"/>
          <w:u w:val="single"/>
        </w:rPr>
        <w:t>Other Interpretive Provisions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reference to this Agreement and each other Loan Document, unless otherwise specified herein or in such other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In the computation of periods of time from a specified date to a later specified date, the word “from” means “from and including;” the words “to” and “until” each mean “to but excluding;” and the word “through” means “to and including.”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Section headings herein and in the other Loan Documents are included for convenience of reference only and shall not affect the interpretation of this Agreement or any other Loan Document.</w:t>
      </w:r>
    </w:p>
    <w:p>
      <w:pPr>
        <w:pStyle w:val="TextBody"/>
        <w:bidi w:val="0"/>
        <w:spacing w:lineRule="auto" w:line="240" w:before="0" w:after="240"/>
        <w:ind w:left="0" w:right="0" w:firstLine="720"/>
        <w:jc w:val="both"/>
        <w:rPr/>
      </w:pPr>
      <w:r>
        <w:rPr>
          <w:rFonts w:ascii="Times New Roman;serif" w:hAnsi="Times New Roman;serif"/>
          <w:b/>
          <w:color w:val="000000"/>
          <w:sz w:val="22"/>
        </w:rPr>
        <w:t>1.03</w:t>
      </w:r>
      <w:r>
        <w:rPr>
          <w:rFonts w:ascii="Times New Roman;serif" w:hAnsi="Times New Roman;serif"/>
          <w:b/>
          <w:color w:val="000000"/>
          <w:sz w:val="22"/>
          <w:u w:val="single"/>
        </w:rPr>
        <w:t>Accounting Terms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Generally</w:t>
      </w:r>
      <w:r>
        <w:rPr>
          <w:rFonts w:ascii="Times New Roman;serif" w:hAnsi="Times New Roman;serif"/>
          <w:b w:val="false"/>
          <w:color w:val="000000"/>
          <w:sz w:val="22"/>
        </w:rPr>
        <w:t xml:space="preserve">. All accounting terms not specifically or completely defined herein shall be construed in conformity with, and all financial data (including financial ratios and other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701675"/>
                <wp:effectExtent l="0" t="0" r="0" b="0"/>
                <wp:wrapNone/>
                <wp:docPr id="190" name="Frame18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Indebtedness of the Parent, its Subsidiaries and the Managed Companies shall be deemed to be carried at 100% of the outstanding principal amount thereof, and the effects of FASB ASC 825 and FASB ASC 470–20 on financial liabilities shall be disregarded. For the avoidance of doubt, and without limitation of the foregoing, Permitted Convertible Indebtedness shall at all times prior to the repurchase, conversion (or exchange, as the case may be) or payment thereof be valued at the full stated principal amount thereof and shall not include any reduction or appreciation in value of the shares and/or cash deliverable upon conversion thereof (or exchange therefor,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Changes in GAAP</w:t>
      </w:r>
      <w:r>
        <w:rPr>
          <w:rFonts w:ascii="Times New Roman;serif" w:hAnsi="Times New Roman;serif"/>
          <w:b w:val="false"/>
          <w:color w:val="000000"/>
          <w:sz w:val="22"/>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until such an amendment shall have been executed and delivered by the Administrative Agent, the Required Lenders and the Borrower, (i) such ratio or requirement shall continue to be computed in accordance with GAAP prior to such change therein and (ii) the Loan Parties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anything to the contrary contained in the definition of “Capitalized Lease” or otherwise contained herein,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however</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all financial statements delivered to the Administrative Agent and the Lenders shall be in accordance with GAAP as required hereunder, and at the Administrative Agent’s request, the Loan Parties shall provide a schedule showing the modifications necessary to reconcile the adjustments made pursuant to this sentence with such financial statements. For the avoidance of doubt, for purposes of financial statement deliveries and any financial calculations under the Loan Documents, all references to the consolidated financial statements of, and all computations of amounts and ratios referred to in the Loan Documents on a consolidated basis in respect of, the Combined Group shall include the consolidation of each Managed Company to the extent permitted or required to be consolidated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Consolidation of Variable Interest Entities</w:t>
      </w:r>
      <w:r>
        <w:rPr>
          <w:rFonts w:ascii="Times New Roman;serif" w:hAnsi="Times New Roman;serif"/>
          <w:b w:val="false"/>
          <w:color w:val="000000"/>
          <w:sz w:val="22"/>
        </w:rPr>
        <w:t>. All references herein to consolidated financial statements of the Parent and its Subsidiaries or to the determination of any amount for the Parent and its Subsidiaries on a consolidated basis or any similar reference shall, in each case, be deemed to include each variable interest entity that the Parent is required to consolidate pursuant to FASB ASC 810 as if such variable interest entity were a Subsidiary as defined herein.</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Divisions</w:t>
      </w:r>
      <w:r>
        <w:rPr>
          <w:rFonts w:ascii="Times New Roman;serif" w:hAnsi="Times New Roman;serif"/>
          <w:b w:val="false"/>
          <w:color w:val="000000"/>
          <w:sz w:val="22"/>
        </w:rPr>
        <w:t>.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701675"/>
                <wp:effectExtent l="0" t="0" r="0" b="0"/>
                <wp:wrapNone/>
                <wp:docPr id="191" name="Frame19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1.04</w:t>
      </w:r>
      <w:r>
        <w:rPr>
          <w:rFonts w:ascii="Times New Roman;serif" w:hAnsi="Times New Roman;serif"/>
          <w:b/>
          <w:color w:val="000000"/>
          <w:sz w:val="22"/>
          <w:u w:val="single"/>
        </w:rPr>
        <w:t>Rounding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financial ratios required to be maintained by the Combined Group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lineRule="auto" w:line="240" w:before="0" w:after="240"/>
        <w:ind w:left="0" w:right="0" w:firstLine="720"/>
        <w:jc w:val="both"/>
        <w:rPr/>
      </w:pPr>
      <w:r>
        <w:rPr>
          <w:rFonts w:ascii="Times New Roman;serif" w:hAnsi="Times New Roman;serif"/>
          <w:b/>
          <w:color w:val="000000"/>
          <w:sz w:val="22"/>
        </w:rPr>
        <w:t>1.05</w:t>
      </w:r>
      <w:r>
        <w:rPr>
          <w:rFonts w:ascii="Times New Roman;serif" w:hAnsi="Times New Roman;serif"/>
          <w:b/>
          <w:color w:val="000000"/>
          <w:sz w:val="22"/>
          <w:u w:val="single"/>
        </w:rPr>
        <w:t>Times of Day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specified, all references herein to times of day shall be references to Eastern time (daylight or standard, as applicable).</w:t>
      </w:r>
    </w:p>
    <w:p>
      <w:pPr>
        <w:pStyle w:val="TextBody"/>
        <w:bidi w:val="0"/>
        <w:spacing w:lineRule="auto" w:line="240" w:before="0" w:after="240"/>
        <w:ind w:left="0" w:right="0" w:firstLine="720"/>
        <w:jc w:val="both"/>
        <w:rPr/>
      </w:pPr>
      <w:r>
        <w:rPr>
          <w:rFonts w:ascii="Times New Roman;serif" w:hAnsi="Times New Roman;serif"/>
          <w:b/>
          <w:color w:val="000000"/>
          <w:sz w:val="22"/>
        </w:rPr>
        <w:t>1.06</w:t>
      </w:r>
      <w:r>
        <w:rPr>
          <w:rFonts w:ascii="Times New Roman;serif" w:hAnsi="Times New Roman;serif"/>
          <w:b/>
          <w:color w:val="000000"/>
          <w:sz w:val="22"/>
          <w:u w:val="single"/>
        </w:rPr>
        <w:t>Letter of Credit Amounts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Unless otherwise specified herein, the amount of a Letter of Credit at any time shall be deemed to be the stated amount of such Letter of Credit in effect at such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lineRule="auto" w:line="240" w:before="0" w:after="240"/>
        <w:ind w:left="0" w:right="0" w:firstLine="720"/>
        <w:jc w:val="both"/>
        <w:rPr/>
      </w:pPr>
      <w:r>
        <w:rPr>
          <w:rFonts w:ascii="Times New Roman;serif" w:hAnsi="Times New Roman;serif"/>
          <w:b/>
          <w:color w:val="000000"/>
          <w:sz w:val="22"/>
        </w:rPr>
        <w:t>1.07</w:t>
      </w:r>
      <w:r>
        <w:rPr>
          <w:rFonts w:ascii="Times New Roman;serif" w:hAnsi="Times New Roman;serif"/>
          <w:b/>
          <w:color w:val="000000"/>
          <w:sz w:val="22"/>
          <w:u w:val="single"/>
        </w:rPr>
        <w:t>Interest Rates</w:t>
      </w:r>
      <w:r>
        <w:rPr>
          <w:rFonts w:ascii="Times New Roman;serif" w:hAnsi="Times New Roman;serif"/>
          <w:b/>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Administrative Agent does not warrant or accept any responsibility for, and shall not have any liability with respect to, (a) the continuation of, administration of, submission of, calculation of or any other matter related to the Term SOFR Screen Rate or Term SOFR, or any component definition thereof or rates referred to in the definition thereof, or with respect to any alternative, successor or replacement rate thereto (including any Successor Rate), including whether the composition or characteristics of any such alternative, successor or replacement rate (including any Successor Rate), as it may or may not be adjusted pursuant to </w:t>
      </w:r>
      <w:r>
        <w:rPr>
          <w:rFonts w:ascii="Times New Roman;serif" w:hAnsi="Times New Roman;serif"/>
          <w:b w:val="false"/>
          <w:color w:val="000000"/>
          <w:sz w:val="22"/>
          <w:u w:val="single"/>
        </w:rPr>
        <w:t>Section 3.03</w:t>
      </w:r>
      <w:r>
        <w:rPr>
          <w:rFonts w:ascii="Times New Roman;serif" w:hAnsi="Times New Roman;serif"/>
          <w:b w:val="false"/>
          <w:color w:val="000000"/>
          <w:sz w:val="22"/>
        </w:rPr>
        <w:t>, will be similar to, or produce the same value or economic equivalence of, or have the same volume or liquidity as, the Term SOFR Screen Rate, Term SOFR or any other Successor Rate prior to its discontinuance or unavailability, or (b) the effect, implementation or composition of any Conforming Changes. The Administrative Agent and its Affiliates or other related entities may engage in transactions that affect the calculation of the Term SOFR Screen Rate, Term SOFR, any alternative, successor or replacement rate (including any Successor Rate) or any relevant adjustments thereto and such transactions may be adverse to the Borrower. The Administrative Agent may select information sources or services in its reasonable discretion to ascertain the Term SOFR Screen Rate or Term SOFR, or any other Successor Rate,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40" w:before="0" w:after="240"/>
        <w:ind w:left="0" w:right="0" w:firstLine="720"/>
        <w:jc w:val="both"/>
        <w:rPr/>
      </w:pPr>
      <w:r>
        <w:rPr>
          <w:rFonts w:ascii="Times New Roman;serif" w:hAnsi="Times New Roman;serif"/>
          <w:b/>
          <w:color w:val="000000"/>
          <w:sz w:val="22"/>
        </w:rPr>
        <w:t>1.08</w:t>
      </w:r>
      <w:r>
        <w:rPr>
          <w:rFonts w:ascii="Times New Roman;serif" w:hAnsi="Times New Roman;serif"/>
          <w:b/>
          <w:color w:val="000000"/>
          <w:sz w:val="22"/>
          <w:u w:val="single"/>
        </w:rPr>
        <w:t>UCC Terms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701675"/>
                <wp:effectExtent l="0" t="0" r="0" b="0"/>
                <wp:wrapNone/>
                <wp:docPr id="192" name="Frame19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1.09</w:t>
      </w:r>
      <w:r>
        <w:rPr>
          <w:rFonts w:ascii="Times New Roman;serif" w:hAnsi="Times New Roman;serif"/>
          <w:b/>
          <w:color w:val="000000"/>
          <w:sz w:val="22"/>
          <w:u w:val="single"/>
        </w:rPr>
        <w:t>Limited Condition Trans</w:t>
      </w:r>
      <w:r>
        <w:rPr>
          <w:rFonts w:ascii="Times New Roman;serif" w:hAnsi="Times New Roman;serif"/>
          <w:b/>
          <w:color w:val="000000"/>
          <w:sz w:val="22"/>
        </w:rPr>
        <w:t>actions</w:t>
      </w:r>
      <w:r>
        <w:rPr>
          <w:rFonts w:ascii="Times New Roman;serif" w:hAnsi="Times New Roman;serif"/>
          <w:b w:val="false"/>
          <w:color w:val="000000"/>
          <w:sz w:val="22"/>
        </w:rPr>
        <w:t>. In the event that the Borrower notifies the Administrative Agent in writing that any proposed Acquisition, Investment or redemption, repurchase, defeasance, satisfaction and discharge or repayment of Indebtedness is a Limited Condition Transaction and that the Borrower wishes to test the conditions to such Limited Condition Transaction and any Indebtedness (other than Revolving Loans or Swingline Loans) being incurred substantially concurrently with such Limited Condition Transaction that is to be used to finance such Limited Condition Transaction and any related transaction costs and expenses incurred in connection with such Limited Condition Transaction in accordance with this Section (such notification, a “</w:t>
      </w:r>
      <w:r>
        <w:rPr>
          <w:rFonts w:ascii="Times New Roman;serif" w:hAnsi="Times New Roman;serif"/>
          <w:b w:val="false"/>
          <w:color w:val="000000"/>
          <w:sz w:val="22"/>
          <w:u w:val="single"/>
        </w:rPr>
        <w:t>LCT Election</w:t>
      </w:r>
      <w:r>
        <w:rPr>
          <w:color w:val="000000"/>
        </w:rPr>
        <w:t>”</w:t>
      </w:r>
      <w:r>
        <w:rPr>
          <w:rFonts w:ascii="Times New Roman;serif" w:hAnsi="Times New Roman;serif"/>
          <w:b w:val="false"/>
          <w:color w:val="000000"/>
          <w:sz w:val="22"/>
        </w:rPr>
        <w:t>), then, at the option of the Borrower, the following provisions shall apply:</w:t>
      </w:r>
    </w:p>
    <w:p>
      <w:pPr>
        <w:pStyle w:val="TextBody"/>
        <w:bidi w:val="0"/>
        <w:spacing w:lineRule="auto" w:line="288" w:before="0" w:after="0"/>
        <w:ind w:left="0" w:right="0" w:firstLine="720"/>
        <w:jc w:val="left"/>
        <w:rPr/>
      </w:pPr>
      <w:r>
        <w:rPr>
          <w:rFonts w:ascii="Times New Roman;serif" w:hAnsi="Times New Roman;serif"/>
          <w:b w:val="false"/>
          <w:color w:val="000000"/>
          <w:sz w:val="22"/>
        </w:rPr>
        <w:t>(a)    if agreed to by the applicable lenders providing such Indebtedness, any condition to such Limited Condition Transaction or such Indebtedness that requires that no Default or Event of Default shall have occurred and be continuing at the time of such Limited Condition Transaction or the incurrence of such Indebtedness, shall be satisfied if (i) no Default or Event of Default shall have occurred and be continuing at the time of the execution of the definitive agreements governing such Limited Condition Transaction (such date, the “</w:t>
      </w:r>
      <w:r>
        <w:rPr>
          <w:rFonts w:ascii="Times New Roman;serif" w:hAnsi="Times New Roman;serif"/>
          <w:b w:val="false"/>
          <w:color w:val="000000"/>
          <w:sz w:val="22"/>
          <w:u w:val="single"/>
        </w:rPr>
        <w:t>LCT Test Date</w:t>
      </w:r>
      <w:r>
        <w:rPr>
          <w:color w:val="000000"/>
        </w:rPr>
        <w:t>”</w:t>
      </w:r>
      <w:r>
        <w:rPr>
          <w:rFonts w:ascii="Times New Roman;serif" w:hAnsi="Times New Roman;serif"/>
          <w:b w:val="false"/>
          <w:color w:val="000000"/>
          <w:sz w:val="22"/>
        </w:rPr>
        <w:t xml:space="preserve">) and (ii) no Event of Default under any of </w:t>
      </w: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shall have occurred and be continuing both immediately before and immediately after giving effect to such Limited Condition Transaction and any Indebtedness incurred in connection therewith; </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any financial ratio test (including any such test calculated in determining amounts under baskets) or financial condition to such Limited Condition Transaction or such Indebtedness shall be tested on the LCT Test Date;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except as provided in the next sentence, if the Borrower has made an LCT Election, then in connection with any subsequent calculation of any ratio or basket on or following the relevant LCT Test Date with respect to such Limited Condition Transaction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required to be satisfied on a pro forma basis assuming such Limited Condition Transaction and other transactions in connection therewith (including the incurrence or assumption of Indebtedness and the use of proceeds thereof) have been consummated. Notwithstanding the foregoing, any calculation of a ratio in connection with (x) determining the Applicable Rate and determining whether or not the Borrower is in compliance with the financial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 xml:space="preserve">shall, in each case be calculated assuming such Limited Condition Transaction and other transactions in connection therewith (including the incurrence or assumption of Indebtedness) have not been consummated and (y) determining whether the Borrower or its Subsidiaries may make a Restricted Payment shall be calculated (1) on a pro forma basis assuming such Limited Condition Transaction and other transactions in connection therewith (including the incurrence or assumption of Indebtedness and the use of proceeds thereof) have been consummated and (2) assuming such Limited Condition Transaction and other transactions in connection therewith (including the incurrence or assumption of Indebtedness and the use of proceeds thereof) have not been consummated. For the avoidance of doubt, if the Borrower has made an LCT Election and any of the ratios or baskets for which compliance was determined or tested as of the LCT Test Date are exceeded as a result of fluctuations in any such ratio or basket (including due to fluctuations of the target of any Limited Condition Transaction) after the LCT Test Date, but at or prior to the consummation of the Limited Condition Transaction, such basket or ratio will not be deemed to have been exceeded as a result of such fluctuations;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701675"/>
                <wp:effectExtent l="0" t="0" r="0" b="0"/>
                <wp:wrapNone/>
                <wp:docPr id="193" name="Frame19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 xml:space="preserve">(d)    with respect to any incurrence of Indebtedness, the proceeds of which are being used to finance a substantially concurrent Acquisition (and the related transaction costs) that is a Limited Condition Transaction subject to customary “funds certain provisions”, any requirement under this Agreement or any other Loan Document that the representations and warranties be true and correct as a condition precedent to such Acquisition or the incurrence and the availability of such Indebtedness may, if agreed to by the applicable lenders providing such Indebtedness, be limited to those representations and warranties, the accuracy of which is customarily included as a condition precedent to the incurrence or availability of third party acquisition financings that are subject to customary “funds certain provisions” (including, without limitation, certain specified representations and warranties under this Agreement and the representations and warranties under the relevant agreement governing such Acquisition that are material to the lenders providing such Indebtedness to the extent that the Borrower or its applicable Subsidiary has the right to terminate its obligations under such agreement or otherwise decline to close such Acquisition as a result of the failure of such representations and warranties to be true and correct), so long as all representations and warranties in this Agreement and the other Loan Documents are true and correct at the time of execution of the relevant agreement governing such Acquisition; and </w:t>
      </w:r>
    </w:p>
    <w:p>
      <w:pPr>
        <w:pStyle w:val="TextBody"/>
        <w:bidi w:val="0"/>
        <w:spacing w:lineRule="auto" w:line="288" w:before="0" w:after="240"/>
        <w:jc w:val="both"/>
        <w:rPr/>
      </w:pPr>
      <w:r>
        <w:rPr>
          <w:color w:val="000000"/>
        </w:rPr>
        <w:t>    </w:t>
      </w:r>
      <w:r>
        <w:rPr>
          <w:rFonts w:ascii="Times New Roman;serif" w:hAnsi="Times New Roman;serif"/>
          <w:b w:val="false"/>
          <w:color w:val="000000"/>
          <w:sz w:val="22"/>
        </w:rPr>
        <w:t xml:space="preserve">(e)    notwithstanding anything to the contrary in this Agreement or any other Loan Document, so long as no Default or Event of Default has occurred or would result therefrom, the Borrower may, upon at least two (2) Business Days’ (or such later time as agreed to by the Administrative Agent, in its sole discretion) written notice to the Administrative Agent, revoke any LCT Election made under this </w:t>
      </w:r>
      <w:r>
        <w:rPr>
          <w:rFonts w:ascii="Times New Roman;serif" w:hAnsi="Times New Roman;serif"/>
          <w:b w:val="false"/>
          <w:color w:val="000000"/>
          <w:sz w:val="22"/>
          <w:u w:val="single"/>
        </w:rPr>
        <w:t>Section 1.09</w:t>
      </w:r>
      <w:r>
        <w:rPr>
          <w:rFonts w:ascii="Times New Roman;serif" w:hAnsi="Times New Roman;serif"/>
          <w:b w:val="false"/>
          <w:color w:val="000000"/>
          <w:sz w:val="22"/>
        </w:rPr>
        <w:t>.</w:t>
      </w:r>
    </w:p>
    <w:p>
      <w:pPr>
        <w:pStyle w:val="TextBody"/>
        <w:bidi w:val="0"/>
        <w:spacing w:lineRule="auto" w:line="240" w:before="0" w:after="240"/>
        <w:jc w:val="center"/>
        <w:rPr/>
      </w:pPr>
      <w:r>
        <w:rPr>
          <w:rFonts w:ascii="Times New Roman;serif" w:hAnsi="Times New Roman;serif"/>
          <w:b/>
          <w:color w:val="000000"/>
          <w:sz w:val="22"/>
        </w:rPr>
        <w:t>Article II</w:t>
      </w:r>
      <w:r>
        <w:rPr>
          <w:rFonts w:ascii="Times New Roman;serif" w:hAnsi="Times New Roman;serif"/>
          <w:b/>
          <w:color w:val="000000"/>
          <w:sz w:val="22"/>
        </w:rPr>
        <w:br/>
        <w:br/>
      </w:r>
      <w:r>
        <w:rPr>
          <w:rFonts w:ascii="Times New Roman;serif" w:hAnsi="Times New Roman;serif"/>
          <w:b/>
          <w:color w:val="000000"/>
          <w:sz w:val="22"/>
          <w:u w:val="single"/>
        </w:rPr>
        <w:t>COMMITMENTS AND CREDIT EXTENSIONS</w:t>
      </w:r>
    </w:p>
    <w:p>
      <w:pPr>
        <w:pStyle w:val="TextBody"/>
        <w:bidi w:val="0"/>
        <w:spacing w:lineRule="auto" w:line="240" w:before="0" w:after="240"/>
        <w:ind w:left="0" w:right="0" w:firstLine="720"/>
        <w:jc w:val="both"/>
        <w:rPr/>
      </w:pPr>
      <w:r>
        <w:rPr>
          <w:rFonts w:ascii="Times New Roman;serif" w:hAnsi="Times New Roman;serif"/>
          <w:b/>
          <w:color w:val="000000"/>
          <w:sz w:val="22"/>
        </w:rPr>
        <w:t>2.01</w:t>
      </w:r>
      <w:r>
        <w:rPr>
          <w:rFonts w:ascii="Times New Roman;serif" w:hAnsi="Times New Roman;serif"/>
          <w:b/>
          <w:color w:val="000000"/>
          <w:sz w:val="22"/>
          <w:u w:val="single"/>
        </w:rPr>
        <w:t>Loans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Subject to the terms and conditions set forth herein, each Revolving Lender severally agrees to make loans (each such loan, a “</w:t>
      </w:r>
      <w:r>
        <w:rPr>
          <w:rFonts w:ascii="Times New Roman;serif" w:hAnsi="Times New Roman;serif"/>
          <w:b w:val="false"/>
          <w:i/>
          <w:color w:val="000000"/>
          <w:sz w:val="22"/>
          <w:u w:val="single"/>
        </w:rPr>
        <w:t>Revolving Loan</w:t>
      </w:r>
      <w:r>
        <w:rPr>
          <w:color w:val="000000"/>
        </w:rPr>
        <w:t>”</w:t>
      </w:r>
      <w:r>
        <w:rPr>
          <w:rFonts w:ascii="Times New Roman;serif" w:hAnsi="Times New Roman;serif"/>
          <w:b w:val="false"/>
          <w:color w:val="000000"/>
          <w:sz w:val="22"/>
        </w:rPr>
        <w:t xml:space="preserve">) to the Borrower, in Dollars, from time to time, on any Business Day during the Availability Period, in an aggregate amount not to exceed at any time outstanding the amount of such Lender’s Revolving Commitment;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after giving effect to any Revolving Borrowing, (i) the Total Revolving Outstandings shall not exceed the Revolving Facility, and (ii) the Revolving Exposure of any Lender shall not exceed such Revolving Lender’s Revolving Commitment. Within the limits of each Revolving Lender’s Revolving Commitment, and subject to the other terms and conditions hereof, the Borrower may borrow Revolving Loans, prepay under </w:t>
      </w:r>
      <w:r>
        <w:rPr>
          <w:rFonts w:ascii="Times New Roman;serif" w:hAnsi="Times New Roman;serif"/>
          <w:b w:val="false"/>
          <w:color w:val="000000"/>
          <w:sz w:val="22"/>
          <w:u w:val="single"/>
        </w:rPr>
        <w:t>Section 2.05</w:t>
      </w:r>
      <w:r>
        <w:rPr>
          <w:rFonts w:ascii="Times New Roman;serif" w:hAnsi="Times New Roman;serif"/>
          <w:b w:val="false"/>
          <w:color w:val="000000"/>
          <w:sz w:val="22"/>
        </w:rPr>
        <w:t xml:space="preserve">, and reborrow under this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Revolving Loans may be Base Rate Loans or Term SOFR Loans, as further provided herein;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Revolving Borrowings made on the Closing Date shall be made as Base Rate Loans unless the Borrower delivers a Funding Indemnity Letter not less than three (3) Business Days (or such shorter period as agreed by the Administrative Agent) prior to the date of such Revolving Borrowing. </w:t>
      </w:r>
    </w:p>
    <w:p>
      <w:pPr>
        <w:pStyle w:val="TextBody"/>
        <w:bidi w:val="0"/>
        <w:spacing w:lineRule="auto" w:line="240" w:before="0" w:after="240"/>
        <w:ind w:left="0" w:right="0" w:firstLine="720"/>
        <w:jc w:val="both"/>
        <w:rPr/>
      </w:pPr>
      <w:r>
        <w:rPr>
          <w:rFonts w:ascii="Times New Roman;serif" w:hAnsi="Times New Roman;serif"/>
          <w:b/>
          <w:color w:val="000000"/>
          <w:sz w:val="22"/>
        </w:rPr>
        <w:t>2.02</w:t>
      </w:r>
      <w:r>
        <w:rPr>
          <w:rFonts w:ascii="Times New Roman;serif" w:hAnsi="Times New Roman;serif"/>
          <w:b/>
          <w:color w:val="000000"/>
          <w:sz w:val="22"/>
          <w:u w:val="single"/>
        </w:rPr>
        <w:t>Borrowings, Conversions and Continuations of Loans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Notice of Borrowing</w:t>
      </w:r>
      <w:r>
        <w:rPr>
          <w:rFonts w:ascii="Times New Roman;serif" w:hAnsi="Times New Roman;serif"/>
          <w:b w:val="false"/>
          <w:color w:val="000000"/>
          <w:sz w:val="22"/>
        </w:rPr>
        <w:t xml:space="preserve">. Each Borrowing, each conversion of Loans from one Type to the other, and each continuation of Term SOFR Loans shall be made upon the Borrower’s irrevocable notice to the Administrative Agent, which may be given by (A) telephone or (B) a Loan Notice;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telephonic notice must be confirmed immediately by delivery to the Administrative Agent of a Loan Notice. Each such Loan Notice must be received by the Administrative Agent not later than 12:00 p.m. (i) three (3) U.S. Government Securities Business Days prior to the requested date of any Borrowing of,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701675"/>
                <wp:effectExtent l="0" t="0" r="0" b="0"/>
                <wp:wrapNone/>
                <wp:docPr id="194" name="Frame19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conversion to or continuation of Term SOFR Loans or of any conversion of Term SOFR Loans to Base Rate Loans, and (ii) on the requested date of any Borrowing of Base Rate Loans. Each Borrowing of, conversion to or continuation of Term SOFR Loans shall be in a principal amount of $5,000,000 or a whole multiple of $1,000,000</w:t>
      </w:r>
      <w:r>
        <w:rPr>
          <w:color w:val="000000"/>
        </w:rPr>
        <w:t xml:space="preserve"> </w:t>
      </w:r>
      <w:r>
        <w:rPr>
          <w:rFonts w:ascii="Times New Roman;serif" w:hAnsi="Times New Roman;serif"/>
          <w:b w:val="false"/>
          <w:color w:val="000000"/>
          <w:sz w:val="22"/>
        </w:rPr>
        <w:t xml:space="preserve">in excess thereof, or if the remaining amount available under the Revolving Facility is less than $5,000,000, the entire unused balance of the Revolving Facility. Except as provided in </w:t>
      </w:r>
      <w:r>
        <w:rPr>
          <w:rFonts w:ascii="Times New Roman;serif" w:hAnsi="Times New Roman;serif"/>
          <w:b w:val="false"/>
          <w:color w:val="000000"/>
          <w:sz w:val="22"/>
          <w:u w:val="single"/>
        </w:rPr>
        <w:t>Sections 2.03(f)</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2.04(c)</w:t>
      </w:r>
      <w:r>
        <w:rPr>
          <w:rFonts w:ascii="Times New Roman;serif" w:hAnsi="Times New Roman;serif"/>
          <w:b w:val="false"/>
          <w:color w:val="000000"/>
          <w:sz w:val="22"/>
        </w:rPr>
        <w:t>, each Borrowing of or conversion to Base Rate Loans shall be in a principal amount of $500,000 or a whole multiple of $100,000 in excess thereof, or if the remaining amount available under the Revolving Facility is less than $500,000, the entire unused balance of the Revolving Facility. Each Loan Notice and each telephonic notice shall specify (i) whether the Borrower is requesting a Borrowing, a conversion of Loans from one Type to the other, or a continuation of Term SOFR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w:t>
      </w:r>
      <w:r>
        <w:rPr>
          <w:color w:val="000000"/>
        </w:rPr>
        <w:t xml:space="preserve"> </w:t>
      </w:r>
      <w:r>
        <w:rPr>
          <w:rFonts w:ascii="Times New Roman;serif" w:hAnsi="Times New Roman;serif"/>
          <w:b w:val="false"/>
          <w:color w:val="000000"/>
          <w:sz w:val="22"/>
        </w:rPr>
        <w:t xml:space="preserve">shall be effective as of the last day of the Interest Period then in effect with respect to the applicable Term SOFR Loans. If the Borrower requests a Borrowing of, conversion to, or continuation of Loans in any such Loan Notice, but fails to specify an Interest Period, it will be deemed to have specified an Interest Period of one month.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Advances</w:t>
      </w:r>
      <w:r>
        <w:rPr>
          <w:rFonts w:ascii="Times New Roman;serif" w:hAnsi="Times New Roman;serif"/>
          <w:b w:val="false"/>
          <w:color w:val="000000"/>
          <w:sz w:val="22"/>
        </w:rPr>
        <w:t xml:space="preserve">. 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described in the preceding subsection. In the case of a Borrowing, each Lender shall make the amount of its Loan available to the Administrative Agent in immediately available funds at the Administrative Agent’s Office not later than 1:00 p.m. on the Business Day specified in the applicable Loan Notice. Upon satisfaction (or waiver pursuant to Section 11.01(a)) of the applicable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(and, if such Borrowing is the initial Credit Extension, </w:t>
      </w:r>
      <w:r>
        <w:rPr>
          <w:rFonts w:ascii="Times New Roman;serif" w:hAnsi="Times New Roman;serif"/>
          <w:b w:val="false"/>
          <w:color w:val="000000"/>
          <w:sz w:val="22"/>
          <w:u w:val="single"/>
        </w:rPr>
        <w:t>Section 4.01</w:t>
      </w:r>
      <w:r>
        <w:rPr>
          <w:rFonts w:ascii="Times New Roman;serif" w:hAnsi="Times New Roman;serif"/>
          <w:b w:val="false"/>
          <w:color w:val="000000"/>
          <w:sz w:val="22"/>
        </w:rPr>
        <w:t xml:space="preserve">), the Administrative Agent shall make all funds so received available to the Borrower in like funds as received by the Administrative Agent either by (i) crediting such funds to the deposit account maintained by the Borrower with the Administrative Agent or (ii) wire transfer of such funds, in each case in accordance with instructions provided to the Administrative Agent by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on the date the Loan Notice with respect to such Borrowing is given by the Borrower, there are L/C Disbursements outstanding, then the proceeds of such Borrowing,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shall be applied to the payment in full of any such L/C Disbursements, and </w:t>
      </w:r>
      <w:r>
        <w:rPr>
          <w:rFonts w:ascii="Times New Roman;serif" w:hAnsi="Times New Roman;serif"/>
          <w:b w:val="false"/>
          <w:color w:val="000000"/>
          <w:sz w:val="22"/>
          <w:u w:val="single"/>
        </w:rPr>
        <w:t>second</w:t>
      </w:r>
      <w:r>
        <w:rPr>
          <w:rFonts w:ascii="Times New Roman;serif" w:hAnsi="Times New Roman;serif"/>
          <w:b w:val="false"/>
          <w:color w:val="000000"/>
          <w:sz w:val="22"/>
        </w:rPr>
        <w:t>, shall be made available to the Borrower as provided above.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Term SOFR Loans</w:t>
      </w:r>
      <w:r>
        <w:rPr>
          <w:rFonts w:ascii="Times New Roman;serif" w:hAnsi="Times New Roman;serif"/>
          <w:b w:val="false"/>
          <w:color w:val="000000"/>
          <w:sz w:val="22"/>
        </w:rPr>
        <w:t>. Except as otherwise provided herein, a Term SOFR Loan may be continued or converted only on the last day of an Interest Period for such Term SOFR Loan. During the existence of a Default, no Loans may be requested as, converted to or continued as Term SOFR Loans without the consent of the Required Lenders.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Interest Rates</w:t>
      </w:r>
      <w:r>
        <w:rPr>
          <w:rFonts w:ascii="Times New Roman;serif" w:hAnsi="Times New Roman;serif"/>
          <w:b w:val="false"/>
          <w:color w:val="000000"/>
          <w:sz w:val="22"/>
        </w:rPr>
        <w:t>. The Administrative Agent shall promptly notify the Borrower and the Lenders of the interest rate applicable to any Interest Period for Term SOFR Loans upon determination of such interest rate.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Interest Periods</w:t>
      </w:r>
      <w:r>
        <w:rPr>
          <w:rFonts w:ascii="Times New Roman;serif" w:hAnsi="Times New Roman;serif"/>
          <w:b w:val="false"/>
          <w:color w:val="000000"/>
          <w:sz w:val="22"/>
        </w:rPr>
        <w:t>. After giving effect to all Borrowings, all conversions of Loans from one Type to the other, and all continuations of Loans as the same Type, there shall not be more than eight (8) Interest Periods in effect with respect to Loans.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Cashless Settlement Mechanism</w:t>
      </w:r>
      <w:r>
        <w:rPr>
          <w:rFonts w:ascii="Times New Roman;serif" w:hAnsi="Times New Roman;serif"/>
          <w:b w:val="false"/>
          <w:color w:val="000000"/>
          <w:sz w:val="22"/>
        </w:rPr>
        <w:t>. Notwithstanding anything to the contrary in this Agreement, any Lender may exchange, continue or rollover all or any portion of its Loans in connection with any refinancing, extension, loan modification or similar transaction permitted by the terms of this Agreement, pursuant to a cashless settlement mechanism approved by the Borrower, the Administrative Agent, and such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701675"/>
                <wp:effectExtent l="0" t="0" r="0" b="0"/>
                <wp:wrapNone/>
                <wp:docPr id="195" name="Frame19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Conforming Changes</w:t>
      </w:r>
      <w:r>
        <w:rPr>
          <w:rFonts w:ascii="Times New Roman;serif" w:hAnsi="Times New Roman;serif"/>
          <w:b w:val="false"/>
          <w:color w:val="000000"/>
          <w:sz w:val="22"/>
        </w:rPr>
        <w:t xml:space="preserve">. In connection with the use or administration of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lineRule="auto" w:line="240" w:before="0" w:after="240"/>
        <w:ind w:left="0" w:right="0" w:firstLine="720"/>
        <w:jc w:val="both"/>
        <w:rPr/>
      </w:pPr>
      <w:r>
        <w:rPr>
          <w:rFonts w:ascii="Times New Roman;serif" w:hAnsi="Times New Roman;serif"/>
          <w:b/>
          <w:color w:val="000000"/>
          <w:sz w:val="22"/>
        </w:rPr>
        <w:t>2.03</w:t>
      </w:r>
      <w:r>
        <w:rPr>
          <w:rFonts w:ascii="Times New Roman;serif" w:hAnsi="Times New Roman;serif"/>
          <w:b/>
          <w:color w:val="000000"/>
          <w:sz w:val="22"/>
          <w:u w:val="single"/>
        </w:rPr>
        <w:t>Letters of Credit</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The L/C Commitment</w:t>
      </w:r>
      <w:r>
        <w:rPr>
          <w:rFonts w:ascii="Times New Roman;serif" w:hAnsi="Times New Roman;serif"/>
          <w:b w:val="false"/>
          <w:color w:val="000000"/>
          <w:sz w:val="22"/>
        </w:rPr>
        <w:t xml:space="preserve">. Subject to the terms and conditions set forth herein, in addition to the Loans provided for in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the Borrower may request that any L/C Issuer, in reliance on the agreements of the Revolving Lenders set forth in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issue, at any time and from time to time during the Availability Period, Letters of Credit for its own account or the account of the Parent or any of its Subsidiaries in such form as is acceptable to the Administrative Agent and such L/C Issuer in its reasonable determination. Letters of Credit issued hereunder shall constitute utilization of the Revolving Commitments.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Notice of Issuance, Amendment, Extension, Reinstatement or Renewal</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applicable L/C Issuer) to an L/C Issuer selected by it and to the Administrative Agent not later than 12:00 p.m. at least two (2) Business Days (or such later date and time as the Administrative Agent and such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w:t>
      </w:r>
      <w:r>
        <w:rPr>
          <w:rFonts w:ascii="Times New Roman;serif" w:hAnsi="Times New Roman;serif"/>
          <w:b w:val="false"/>
          <w:color w:val="000000"/>
          <w:sz w:val="22"/>
          <w:u w:val="single"/>
        </w:rPr>
        <w:t>clause (d</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applicable L/C Issuer, the Borrower also shall submit a letter of credit application and reimbursement agreement on such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an L/C Issuer relating to any Letter of Credit, the terms and conditions of this Agreement shall control.</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Limitations on Amounts, Issuance and Amendment</w:t>
      </w:r>
      <w:r>
        <w:rPr>
          <w:rFonts w:ascii="Times New Roman;serif" w:hAnsi="Times New Roman;serif"/>
          <w:b w:val="false"/>
          <w:color w:val="000000"/>
          <w:sz w:val="22"/>
        </w:rPr>
        <w: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(w) the aggregate amount of the outstanding Letters of Credit issued by any L/C Issuer shall not exceed its L/C Commitment, (x) the aggregate L/C Obligations shall not exceed the L/C Sublimit, (y) the Revolving Exposure of any Lender shall not exceed its Revolving Commitment and (z) the Total Revolving Exposure of all Lenders shall not exceed the Revolving Facility.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No L/C Issuer shall be under any obligation to issue any Letter of Credit if: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701675"/>
                <wp:effectExtent l="0" t="0" r="0" b="0"/>
                <wp:wrapNone/>
                <wp:docPr id="196" name="Frame19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issuance of such Letter of Credit would violate one or more policies of such L/C Issuer applicable to letters of credit generally;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(III)except as otherwise agreed by the Administrative Agent and such L/C Issuer, the Letter of Credit is in an initial stated amount less than $500,000;</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(IV)any Revolving Lender is at that time a Defaulting Lender, unless such L/C Issuer has entered into arrangements, including the delivery of Cash Collateral, satisfactory to such L/C Issuer (in its sole discretion) with the Borrower or such Lender to eliminate such L/C Issuer’s actual or potential Fronting Exposure (after giving effect to </w:t>
      </w:r>
      <w:r>
        <w:rPr>
          <w:rFonts w:ascii="Times New Roman;serif" w:hAnsi="Times New Roman;serif"/>
          <w:b w:val="false"/>
          <w:color w:val="000000"/>
          <w:sz w:val="22"/>
          <w:u w:val="single"/>
        </w:rPr>
        <w:t>Section 2.15(a)(iv</w:t>
      </w:r>
      <w:r>
        <w:rPr>
          <w:rFonts w:ascii="Times New Roman;serif" w:hAnsi="Times New Roman;serif"/>
          <w:b w:val="false"/>
          <w:color w:val="000000"/>
          <w:sz w:val="22"/>
        </w:rPr>
        <w:t>)) with respect to the Defaulting Lender arising from either the Letter of Credit then proposed to be issued or that Letter of Credit and all other L/C Obligations as to which such L/C Issuer has actual or potential Fronting Exposure, as it may elect in its sole discretion;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(V)the Letter of Credit contains any provisions for automatic reinstatement of the stated amount after any drawing thereunder.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Expiration Date</w:t>
      </w:r>
      <w:r>
        <w:rPr>
          <w:rFonts w:ascii="Times New Roman;serif" w:hAnsi="Times New Roman;serif"/>
          <w:b w:val="false"/>
          <w:color w:val="000000"/>
          <w:sz w:val="22"/>
        </w:rPr>
        <w:t>. Each Letter of Credit shall have a stated expiration date no later than the earlier of (ix) the date twelve (12) months after the date of the issuance of such Letter of Credit (or, in the case of any extension of the expiration date thereof, whether automatic or by amendment, twelve months after the then-current expiration date of such Letter of Credit) and (x) the date that is five (5) Business Days prior to the Revolving Credit Termination Date; provided that upon the Borrower’s request, any such Letter of Credit which is issued in the final year prior to the Revolving Credit Termination Date may have an expiration date no later than one (1) year after the Revolving Credit Termination Date if the Borrower deposits into a cash collateral account maintained with such L/C Issuer an amount in cash equal to 103% of such L/C Obligations as of such date or if such Letter of Credit is covered by a standby letter of credit five (5) Business Days prior to the Revolving Credit Termination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Participations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(i)By the issuance of a Letter of Credit (or an amendment to a Letter of Credit increasing the amount or extending the expiration date thereof), and without any further action on the part of the applicable L/C Issuer or the Lenders, such L/C Issuer hereby grants to each Revolving Lender, and each Revolving Lender hereby acquires from such L/C Issuer, a participation in such Letter of Credit equal to such Lender’s Applicable Percentage of the aggregate amount available to be drawn under such Letter of Credit. Each Revolving Lender acknowledges and agrees that its obligation to acquire participations pursuant to this </w:t>
      </w:r>
      <w:r>
        <w:rPr>
          <w:rFonts w:ascii="Times New Roman;serif" w:hAnsi="Times New Roman;serif"/>
          <w:b w:val="false"/>
          <w:color w:val="000000"/>
          <w:sz w:val="22"/>
          <w:u w:val="single"/>
        </w:rPr>
        <w:t>clause (e</w:t>
      </w:r>
      <w:r>
        <w:rPr>
          <w:rFonts w:ascii="Times New Roman;serif" w:hAnsi="Times New Roman;serif"/>
          <w:b w:val="false"/>
          <w:color w:val="000000"/>
          <w:sz w:val="22"/>
        </w:rPr>
        <w:t>)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Commitments.</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701675"/>
                <wp:effectExtent l="0" t="0" r="0" b="0"/>
                <wp:wrapNone/>
                <wp:docPr id="197" name="Frame19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(ii)In consideration and in furtherance of the foregoing, each Revolving Lender hereby absolutely, unconditionally and irrevocably agrees to pay to the Administrative Agent, for account of the applicable L/C Issuer, such Lender’s Applicable Percentage of each L/C Disbursement made by an L/C Issuer not later than 1:00 p.m. on the Business Day specified in the notice provided by the Administrative Agent to the Revolving Lenders pursuant to </w:t>
      </w:r>
      <w:r>
        <w:rPr>
          <w:rFonts w:ascii="Times New Roman;serif" w:hAnsi="Times New Roman;serif"/>
          <w:b w:val="false"/>
          <w:color w:val="000000"/>
          <w:sz w:val="22"/>
          <w:u w:val="single"/>
        </w:rPr>
        <w:t>Section 2.03(f</w:t>
      </w:r>
      <w:r>
        <w:rPr>
          <w:rFonts w:ascii="Times New Roman;serif" w:hAnsi="Times New Roman;serif"/>
          <w:b w:val="false"/>
          <w:color w:val="000000"/>
          <w:sz w:val="22"/>
        </w:rPr>
        <w:t xml:space="preserve">) until such L/C Disbursement is reimbursed by the Borrower or at any time after any reimbursement payment is required to be refunded to the Borrower for any reason, including after the Revolving Credit Termination Date. Such payment shall be made without any offset, abatement, withholding or reduction whatsoever. Each such payment shall be made in the same manner as provided in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with respect to Loans made by such Lender (and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shall apply, </w:t>
      </w:r>
      <w:r>
        <w:rPr>
          <w:rFonts w:ascii="Times New Roman;serif" w:hAnsi="Times New Roman;serif"/>
          <w:b w:val="false"/>
          <w:i/>
          <w:color w:val="000000"/>
          <w:sz w:val="22"/>
        </w:rPr>
        <w:t>mutatis</w:t>
      </w:r>
      <w:r>
        <w:rPr>
          <w:color w:val="000000"/>
        </w:rPr>
        <w:t xml:space="preserve"> </w:t>
      </w:r>
      <w:r>
        <w:rPr>
          <w:rFonts w:ascii="Times New Roman;serif" w:hAnsi="Times New Roman;serif"/>
          <w:b w:val="false"/>
          <w:i/>
          <w:color w:val="000000"/>
          <w:sz w:val="22"/>
        </w:rPr>
        <w:t>mutandis</w:t>
      </w:r>
      <w:r>
        <w:rPr>
          <w:rFonts w:ascii="Times New Roman;serif" w:hAnsi="Times New Roman;serif"/>
          <w:b w:val="false"/>
          <w:color w:val="000000"/>
          <w:sz w:val="22"/>
        </w:rPr>
        <w:t xml:space="preserve">, to the payment obligations of the Revolving Lenders pursuant to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and the Administrative Agent shall promptly pay to the applicable L/C Issuer the amounts so received by it from the Lenders. Promptly following receipt by the Administrative Agent of any payment from the Borrower pursuant to </w:t>
      </w:r>
      <w:r>
        <w:rPr>
          <w:rFonts w:ascii="Times New Roman;serif" w:hAnsi="Times New Roman;serif"/>
          <w:b w:val="false"/>
          <w:color w:val="000000"/>
          <w:sz w:val="22"/>
          <w:u w:val="single"/>
        </w:rPr>
        <w:t>Section 2.03(f</w:t>
      </w:r>
      <w:r>
        <w:rPr>
          <w:rFonts w:ascii="Times New Roman;serif" w:hAnsi="Times New Roman;serif"/>
          <w:b w:val="false"/>
          <w:color w:val="000000"/>
          <w:sz w:val="22"/>
        </w:rPr>
        <w:t xml:space="preserve">), the Administrative Agent shall distribute such payment to the applicable L/C Issuer or, to the extent that the Revolving Lenders have made payments pursuant to this </w:t>
      </w:r>
      <w:r>
        <w:rPr>
          <w:rFonts w:ascii="Times New Roman;serif" w:hAnsi="Times New Roman;serif"/>
          <w:b w:val="false"/>
          <w:color w:val="000000"/>
          <w:sz w:val="22"/>
          <w:u w:val="single"/>
        </w:rPr>
        <w:t>clause (e</w:t>
      </w:r>
      <w:r>
        <w:rPr>
          <w:rFonts w:ascii="Times New Roman;serif" w:hAnsi="Times New Roman;serif"/>
          <w:b w:val="false"/>
          <w:color w:val="000000"/>
          <w:sz w:val="22"/>
        </w:rPr>
        <w:t xml:space="preserve">) to reimburse such L/C Issuer, then to such Lenders and such L/C Issuer as their interests may appear. Any payment made by a Lender pursuant to this </w:t>
      </w:r>
      <w:r>
        <w:rPr>
          <w:rFonts w:ascii="Times New Roman;serif" w:hAnsi="Times New Roman;serif"/>
          <w:b w:val="false"/>
          <w:color w:val="000000"/>
          <w:sz w:val="22"/>
          <w:u w:val="single"/>
        </w:rPr>
        <w:t>clause (e</w:t>
      </w:r>
      <w:r>
        <w:rPr>
          <w:rFonts w:ascii="Times New Roman;serif" w:hAnsi="Times New Roman;serif"/>
          <w:b w:val="false"/>
          <w:color w:val="000000"/>
          <w:sz w:val="22"/>
        </w:rPr>
        <w:t>) to reimburse an L/C Issuer for any L/C Disbursement shall not constitute a Loan and shall not relieve the Borrower of its obligation to reimburse such L/C Disbursement.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(iii)Each Revolving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Times New Roman;serif" w:hAnsi="Times New Roman;serif"/>
          <w:b w:val="false"/>
          <w:color w:val="000000"/>
          <w:sz w:val="22"/>
          <w:u w:val="single"/>
        </w:rPr>
        <w:t>Section 2.16</w:t>
      </w:r>
      <w:r>
        <w:rPr>
          <w:rFonts w:ascii="Times New Roman;serif" w:hAnsi="Times New Roman;serif"/>
          <w:b w:val="false"/>
          <w:color w:val="000000"/>
          <w:sz w:val="22"/>
        </w:rPr>
        <w:t xml:space="preserve">, as a result of an assignment in accordance with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or otherwise pursuant to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(iv)If any Revolving Lender fails to make available to the Administrative Agent for the account of the applicable L/C Issuer any amount required to be paid by such Lender pursuant to the foregoing provisions of this </w:t>
      </w:r>
      <w:r>
        <w:rPr>
          <w:rFonts w:ascii="Times New Roman;serif" w:hAnsi="Times New Roman;serif"/>
          <w:b w:val="false"/>
          <w:color w:val="000000"/>
          <w:sz w:val="22"/>
          <w:u w:val="single"/>
        </w:rPr>
        <w:t>Section 2.03(e</w:t>
      </w:r>
      <w:r>
        <w:rPr>
          <w:rFonts w:ascii="Times New Roman;serif" w:hAnsi="Times New Roman;serif"/>
          <w:b w:val="false"/>
          <w:color w:val="000000"/>
          <w:sz w:val="22"/>
        </w:rPr>
        <w:t xml:space="preserve">), then, without limiting the other provisions of this Agreement, the applicable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w:t>
      </w:r>
      <w:r>
        <w:rPr>
          <w:rFonts w:ascii="Times New Roman;serif" w:hAnsi="Times New Roman;serif"/>
          <w:b w:val="false"/>
          <w:i/>
          <w:color w:val="000000"/>
          <w:sz w:val="22"/>
        </w:rPr>
        <w:t>greater of</w:t>
      </w:r>
      <w:r>
        <w:rPr>
          <w:color w:val="000000"/>
        </w:rPr>
        <w:t xml:space="preserve"> </w:t>
      </w:r>
      <w:r>
        <w:rPr>
          <w:rFonts w:ascii="Times New Roman;serif" w:hAnsi="Times New Roman;serif"/>
          <w:b w:val="false"/>
          <w:color w:val="000000"/>
          <w:sz w:val="22"/>
        </w:rPr>
        <w:t>the Federal Funds Rate</w:t>
      </w:r>
      <w:r>
        <w:rPr>
          <w:color w:val="7030A0"/>
        </w:rPr>
        <w:t xml:space="preserve"> </w:t>
      </w:r>
      <w:r>
        <w:rPr>
          <w:rFonts w:ascii="Times New Roman;serif" w:hAnsi="Times New Roman;serif"/>
          <w:b w:val="false"/>
          <w:color w:val="000000"/>
          <w:sz w:val="22"/>
        </w:rPr>
        <w:t xml:space="preserve">and a rate determined by the applicable L/C Issuer in accordance with banking industry rules on interbank compensation,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any administrative, processing or similar fees customarily charged by such L/C Issuer in connection with the foregoing. If such Lender pays such amount (with interest and fees as aforesaid), the amount so paid shall constitute such Lender’s Revolving Loan included in the relevant Revolving Borrowing or L/C Advance in respect of the relevant L/C Disbursement, as the case may be. A certificate of any such L/C Issuer submitted to any Revolving Lender (through the Administrative Agent) with respect to any amounts owing under this </w:t>
      </w:r>
      <w:r>
        <w:rPr>
          <w:rFonts w:ascii="Times New Roman;serif" w:hAnsi="Times New Roman;serif"/>
          <w:b w:val="false"/>
          <w:color w:val="000000"/>
          <w:sz w:val="22"/>
          <w:u w:val="single"/>
        </w:rPr>
        <w:t>clause (e)(iv</w:t>
      </w:r>
      <w:r>
        <w:rPr>
          <w:rFonts w:ascii="Times New Roman;serif" w:hAnsi="Times New Roman;serif"/>
          <w:b w:val="false"/>
          <w:color w:val="000000"/>
          <w:sz w:val="22"/>
        </w:rPr>
        <w:t>) 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Reimbursement</w:t>
      </w:r>
      <w:r>
        <w:rPr>
          <w:rFonts w:ascii="Times New Roman;serif" w:hAnsi="Times New Roman;serif"/>
          <w:b w:val="false"/>
          <w:color w:val="000000"/>
          <w:sz w:val="22"/>
        </w:rPr>
        <w:t xml:space="preserve">. If an L/C Issuer shall make any L/C Disbursement in respect of a Letter of Credit, the Borrower shall reimburse such L/C Issuer in respect of such L/C Disbursement by paying to the Administrative Agent an amount equal to such L/C Disbursement not later than 12:00 noon Pacific time on (i) the Business Day that the Borrower receives notice of such L/C Disbursement, if such notice is received by the Borrower prior to 10:00 a.m. Pacific time or (ii) the Business Day immediately following the day that the Borrower receives such notice, if such notice is not received prior to 10:00 a.m. Pacific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the Borrower may, subject to the conditions to borrowing set forth herein, request in accordance with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2.04</w:t>
      </w:r>
      <w:r>
        <w:rPr>
          <w:color w:val="000000"/>
        </w:rPr>
        <w:t xml:space="preserve"> </w:t>
      </w:r>
      <w:r>
        <w:rPr>
          <w:rFonts w:ascii="Times New Roman;serif" w:hAnsi="Times New Roman;serif"/>
          <w:b w:val="false"/>
          <w:color w:val="000000"/>
          <w:sz w:val="22"/>
        </w:rPr>
        <w:t>that such payment be financed with a Borrowing of Base Rate Loans or Swingline Loan in an equivalent amount and, to the extent so financed, the Borrower’s obligation to make such payment shall be discharged and replaced by the resulting Borrowing of Base Rate Loans or Swingline Loan. If the Borrower fails to make such payment when due, the Administrative Agent shall notify each Revolving Lender of the applicable L/C Disbursement, the payment then due from the Borrower in respect thereof (the “</w:t>
      </w:r>
      <w:r>
        <w:rPr>
          <w:rFonts w:ascii="Times New Roman;serif" w:hAnsi="Times New Roman;serif"/>
          <w:b w:val="false"/>
          <w:i/>
          <w:color w:val="000000"/>
          <w:sz w:val="22"/>
          <w:u w:val="single"/>
        </w:rPr>
        <w:t>Unreimbursed Amount</w:t>
      </w:r>
      <w:r>
        <w:rPr>
          <w:color w:val="000000"/>
        </w:rPr>
        <w:t>”</w:t>
      </w:r>
      <w:r>
        <w:rPr>
          <w:rFonts w:ascii="Times New Roman;serif" w:hAnsi="Times New Roman;serif"/>
          <w:b w:val="false"/>
          <w:color w:val="000000"/>
          <w:sz w:val="22"/>
        </w:rPr>
        <w:t xml:space="preserve">) and such Lender’s Applicable Percentage thereof. Promptly upon receipt of such notice, each Revolving Lender shall pay to the Administrative Agent its Applicable Percentage of the Unreimbursed Amount pursuant to </w:t>
      </w:r>
      <w:r>
        <w:rPr>
          <w:rFonts w:ascii="Times New Roman;serif" w:hAnsi="Times New Roman;serif"/>
          <w:b w:val="false"/>
          <w:color w:val="000000"/>
          <w:sz w:val="22"/>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701675"/>
                <wp:effectExtent l="0" t="0" r="0" b="0"/>
                <wp:wrapNone/>
                <wp:docPr id="198" name="Frame19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2.03(e)(ii</w:t>
      </w:r>
      <w:r>
        <w:rPr>
          <w:rFonts w:ascii="Times New Roman;serif" w:hAnsi="Times New Roman;serif"/>
          <w:b w:val="false"/>
          <w:color w:val="000000"/>
          <w:sz w:val="22"/>
        </w:rPr>
        <w:t>), subject to the amount of the unutilized portion of the aggregate Revolving Commitments. Any notice given by</w:t>
      </w:r>
      <w:r>
        <w:rPr>
          <w:color w:val="000000"/>
        </w:rPr>
        <w:t xml:space="preserve"> </w:t>
      </w:r>
      <w:r>
        <w:rPr>
          <w:rFonts w:ascii="Times New Roman;serif" w:hAnsi="Times New Roman;serif"/>
          <w:b w:val="false"/>
          <w:color w:val="000000"/>
          <w:sz w:val="22"/>
        </w:rPr>
        <w:t xml:space="preserve">any L/C Issuer or the Administrative Agent pursuant to this </w:t>
      </w:r>
      <w:r>
        <w:rPr>
          <w:rFonts w:ascii="Times New Roman;serif" w:hAnsi="Times New Roman;serif"/>
          <w:b w:val="false"/>
          <w:color w:val="000000"/>
          <w:sz w:val="22"/>
          <w:u w:val="single"/>
        </w:rPr>
        <w:t>Section 2.03(f</w:t>
      </w:r>
      <w:r>
        <w:rPr>
          <w:rFonts w:ascii="Times New Roman;serif" w:hAnsi="Times New Roman;serif"/>
          <w:b w:val="false"/>
          <w:color w:val="000000"/>
          <w:sz w:val="22"/>
        </w:rPr>
        <w:t xml:space="preserve">) may be given by telephone if immediately confirmed in writing;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lack of such an immediate confirmation shall not affect the conclusiveness or binding effect of such notice.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Obligations Absolute</w:t>
      </w:r>
      <w:r>
        <w:rPr>
          <w:rFonts w:ascii="Times New Roman;serif" w:hAnsi="Times New Roman;serif"/>
          <w:b w:val="false"/>
          <w:color w:val="000000"/>
          <w:sz w:val="22"/>
        </w:rPr>
        <w:t xml:space="preserve">. The Borrower’s obligation to reimburse L/C Disbursements as provided in </w:t>
      </w:r>
      <w:r>
        <w:rPr>
          <w:rFonts w:ascii="Times New Roman;serif" w:hAnsi="Times New Roman;serif"/>
          <w:b w:val="false"/>
          <w:color w:val="000000"/>
          <w:sz w:val="22"/>
          <w:u w:val="single"/>
        </w:rPr>
        <w:t>clause (f</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2.03</w:t>
      </w:r>
      <w:r>
        <w:rPr>
          <w:color w:val="000000"/>
        </w:rPr>
        <w:t xml:space="preserve"> </w:t>
      </w:r>
      <w:r>
        <w:rPr>
          <w:rFonts w:ascii="Times New Roman;serif" w:hAnsi="Times New Roman;serif"/>
          <w:b w:val="false"/>
          <w:color w:val="000000"/>
          <w:sz w:val="22"/>
        </w:rPr>
        <w:t>shall be absolute, unconditional and irrevocable, and shall be performed strictly in accordance with the terms of this Agreement under any and all circumstances whatsoever and irrespective 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(i)any lack of validity or enforceability of this Agreement, any other Loan Document or any Letter of Credit, or any term or provision herein or therein;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existence of any claim, counterclaim, setoff, defense or other right that the Borrower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(iii)any draft, demand, certificate or other document presented under such Letter of Credit proving to be forged, fraudulent, invalid or insufficient in any respect or any statement in such draft or other document being untrue or inaccurate in any respect;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(iv)waiver by any L/C Issuer of any requirement that exists for such L/C Issuer’s protection and not the protection of the Borrower or any waiver by such L/C Issuer which does not in fact materially prejudice the Borrower;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(v)honor of a demand for payment presented electronically even if such Letter of Credit required that demand be in the form of a draft;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(vi)any payment made by any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(vii)payment by the applicable L/C Issuer under a Letter of Credit against presentation of a draft or other document that does not comply strictly with the terms of such Letter of Credit;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(viii)any other event or circumstance whatsoever, whether or not similar to any of the foregoing, that might, but for the provisions of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constitute a legal or equitable discharge of, or provide a right of setoff against, the Borrower’s obligations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Examination</w:t>
      </w:r>
      <w:r>
        <w:rPr>
          <w:rFonts w:ascii="Times New Roman;serif" w:hAnsi="Times New Roman;serif"/>
          <w:b w:val="false"/>
          <w:color w:val="000000"/>
          <w:sz w:val="22"/>
        </w:rPr>
        <w:t>. The Borrower shall promptly examine a copy of each Letter of Credit and each amendment thereto that is delivered to it and, in the event of any claim of noncompliance with the Borrower’s instructions or other irregularity, the Borrower will immediately notify the applicable L/C Issuer. The Borrower shall be conclusively deemed to have waived any such claim against each L/C Issuer and its correspondents unless such notice is given as aforesaid.</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Liability</w:t>
      </w:r>
      <w:r>
        <w:rPr>
          <w:rFonts w:ascii="Times New Roman;serif" w:hAnsi="Times New Roman;serif"/>
          <w:b w:val="false"/>
          <w:color w:val="000000"/>
          <w:sz w:val="22"/>
        </w:rPr>
        <w:t xml:space="preserve">. None of the Administrative Agent, the Lenders, any L/C Issuer, or any of their Related Parties shall have any liability or responsibility by reason of or in connection with the issuance or transfer of any Letter of Credit by the applicable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701675"/>
                <wp:effectExtent l="0" t="0" r="0" b="0"/>
                <wp:wrapNone/>
                <wp:docPr id="199" name="Frame19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consequence arising from causes beyond the control of the applicable L/C Issuer;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foregoing shall not be construed to excuse an L/C Issuer from liability to the Borrower to the extent of any direct damages (as opposed to consequential damages, claims in respect of which are hereby waived by the Borrower to the extent permitted by Applicable Law) suffered by the Borrower that are caused by such L/C Issuer’s failure to exercise care when determining whether drafts and other documents presented under a Letter of Credit comply with the terms thereof. The parties hereto expressly agree that, in the absence of gross negligence or willful misconduct on the part of an L/C Issuer (as finally determined by a court of competent jurisdiction), an L/C Issuer shall be deemed to have exercised care in each such determination, and 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(i)an L/C Issuer may replace a purportedly lost, stolen, or destroyed original Letter of Credit or missing amendment thereto with a certified true copy marked as such or waive a requirement for its presentation;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(ii)an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w:t>
      </w:r>
      <w:r>
        <w:rPr>
          <w:color w:val="FF0000"/>
        </w:rPr>
        <w:t xml:space="preserve"> </w:t>
      </w:r>
      <w:r>
        <w:rPr>
          <w:rFonts w:ascii="Times New Roman;serif" w:hAnsi="Times New Roman;serif"/>
          <w:b w:val="false"/>
          <w:color w:val="000000"/>
          <w:sz w:val="22"/>
        </w:rPr>
        <w:t>without regard to any non-documentary condition in such Letter of Credit;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(iii)an L/C Issuer shall have the right, in its sole discretion, to decline to accept such documents and to make such payment if such documents are not in strict compliance with the terms of such Letter of Credit;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(iv)this sentence shall establish the standard of care to be exercised by an L/C Issuer when determining whether drafts and other documents presented under a Letter of Credit comply with the terms thereof (and the parties hereto hereby waive, to the extent permitted by Applicable Law, any standard of care inconsistent with the foregoing).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color w:val="000000"/>
        </w:rPr>
        <w:t xml:space="preserve"> </w:t>
      </w:r>
      <w:r>
        <w:rPr>
          <w:rFonts w:ascii="Times New Roman;serif" w:hAnsi="Times New Roman;serif"/>
          <w:b w:val="false"/>
          <w:color w:val="000000"/>
          <w:sz w:val="22"/>
        </w:rPr>
        <w:t>Without limiting the foregoing, none of the Administrative Agent, the Lenders, any L/C Issuer, or any of their Related Parties shall have any liability or responsibility by reason of (A) any presentation that includes forged or fraudulent documents or that is otherwise affected by the fraudulent, bad faith, or illegal conduct of the beneficiary or other Person, (B) an L/C Issuer declining to take-up documents and make payment, (I) against documents that are fraudulent, forged, or for other reasons by which that it is entitled not to honor or (II) following a Borrower’s waiver of discrepancies with respect to such documents or request for honor of such documents or (C) an L/C Issuer retaining proceeds of a Letter of Credit based on an apparently applicable attachment order, blocking regulation, or third-party claim notified to such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Applicability of ISP</w:t>
      </w:r>
      <w:r>
        <w:rPr>
          <w:rFonts w:ascii="Times New Roman;serif" w:hAnsi="Times New Roman;serif"/>
          <w:b w:val="false"/>
          <w:color w:val="000000"/>
          <w:sz w:val="22"/>
        </w:rPr>
        <w:t>. Unless otherwise expressly agreed by applicable L/C Issuer and the Borrower when a Letter of Credit is issued by it, the rules of the ISP shall apply to each Letter of Credit. Notwithstanding the foregoing, no L/C Issuer shall be responsible to the Borrower for, and no L/C Issuer’s rights and remedies against the Borrower shall be impaired by, any action or inaction of any L/C Issuer required or permitted under any law, order, or practice that is required or permitted to be applied to any Letter of Credit or this Agreement, including the Law or any order of a jurisdiction where any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Benefits</w:t>
      </w:r>
      <w:r>
        <w:rPr>
          <w:rFonts w:ascii="Times New Roman;serif" w:hAnsi="Times New Roman;serif"/>
          <w:b w:val="false"/>
          <w:color w:val="000000"/>
          <w:sz w:val="22"/>
        </w:rPr>
        <w:t xml:space="preserve">. Each L/C Issuer shall act on behalf of the Lenders with respect to any Letters of Credit issued by it and the documents associated therewith, and each L/C Issuer shall have all of the benefits and immunities (i) provided to the Administrative Agent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with respect to any acts taken or omissions suffered by such L/C Issuer in connection with Letters of Credit issued by it or proposed to be issued by it and Issuer Documents pertaining to such Letters of Credit as fully as if the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701675"/>
                <wp:effectExtent l="0" t="0" r="0" b="0"/>
                <wp:wrapNone/>
                <wp:docPr id="200" name="Frame19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term “Administrative Agent” as used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included such L/C Issuer with respect to such acts or omissions, and (ii) as additionally provided herein with respect to such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Letter of Credit Fees</w:t>
      </w:r>
      <w:r>
        <w:rPr>
          <w:rFonts w:ascii="Times New Roman;serif" w:hAnsi="Times New Roman;serif"/>
          <w:b w:val="false"/>
          <w:color w:val="000000"/>
          <w:sz w:val="22"/>
        </w:rPr>
        <w:t>. The Borrower shall pay to the Administrative Agent for the account of each Revolving Lender in accordance with its Applicable Percentage a Letter of Credit fee (the “</w:t>
      </w:r>
      <w:r>
        <w:rPr>
          <w:rFonts w:ascii="Times New Roman;serif" w:hAnsi="Times New Roman;serif"/>
          <w:b w:val="false"/>
          <w:i/>
          <w:color w:val="000000"/>
          <w:sz w:val="22"/>
          <w:u w:val="single"/>
        </w:rPr>
        <w:t>Letter of Credit Fee</w:t>
      </w:r>
      <w:r>
        <w:rPr>
          <w:color w:val="000000"/>
        </w:rPr>
        <w:t>”</w:t>
      </w:r>
      <w:r>
        <w:rPr>
          <w:rFonts w:ascii="Times New Roman;serif" w:hAnsi="Times New Roman;serif"/>
          <w:b w:val="false"/>
          <w:color w:val="000000"/>
          <w:sz w:val="22"/>
        </w:rPr>
        <w:t xml:space="preserve">) for each Letter of Credit equal to the Applicable Rate </w:t>
      </w:r>
      <w:r>
        <w:rPr>
          <w:rFonts w:ascii="Times New Roman;serif" w:hAnsi="Times New Roman;serif"/>
          <w:b w:val="false"/>
          <w:i/>
          <w:color w:val="000000"/>
          <w:sz w:val="22"/>
        </w:rPr>
        <w:t>times</w:t>
      </w:r>
      <w:r>
        <w:rPr>
          <w:color w:val="000000"/>
        </w:rPr>
        <w:t xml:space="preserve"> </w:t>
      </w:r>
      <w:r>
        <w:rPr>
          <w:rFonts w:ascii="Times New Roman;serif" w:hAnsi="Times New Roman;serif"/>
          <w:b w:val="false"/>
          <w:color w:val="000000"/>
          <w:sz w:val="22"/>
        </w:rPr>
        <w:t xml:space="preserve">the daily amount available to be drawn under such Letter of Credit. For purposes of computing the daily amount available to be drawn under any standby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Letter of Credit Fees shall be (i) payable</w:t>
      </w:r>
      <w:r>
        <w:rPr>
          <w:color w:val="000000"/>
        </w:rPr>
        <w:t xml:space="preserve"> </w:t>
      </w:r>
      <w:r>
        <w:rPr>
          <w:rFonts w:ascii="Times New Roman;serif" w:hAnsi="Times New Roman;serif"/>
          <w:b w:val="false"/>
          <w:color w:val="000000"/>
          <w:sz w:val="22"/>
        </w:rPr>
        <w:t>on the first Business Day of each March, June, September and December, commencing with the first such date to occur after the issuance of such Letter of Credit and (ii) accrued through and including the last day of each calendar quarter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and is continuing, all Letter of Credit Fees shall accrue at the Default Rate.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u w:val="single"/>
        </w:rPr>
        <w:t>Fronting Fee and Documentary and Processing Charges Payable to L/C Issuers</w:t>
      </w:r>
      <w:r>
        <w:rPr>
          <w:rFonts w:ascii="Times New Roman;serif" w:hAnsi="Times New Roman;serif"/>
          <w:b w:val="false"/>
          <w:color w:val="000000"/>
          <w:sz w:val="22"/>
        </w:rPr>
        <w:t>. The Borrower shall pay directly to the applicable L/C Issuer for its own account a fronting fee with respect to each Letter of Credit, at the rate per annum equal to 0.125%, computed on</w:t>
      </w:r>
      <w:r>
        <w:rPr>
          <w:color w:val="000000"/>
        </w:rPr>
        <w:t xml:space="preserve"> </w:t>
      </w:r>
      <w:r>
        <w:rPr>
          <w:rFonts w:ascii="Times New Roman;serif" w:hAnsi="Times New Roman;serif"/>
          <w:b w:val="false"/>
          <w:color w:val="000000"/>
          <w:sz w:val="22"/>
        </w:rPr>
        <w:t>the daily amount available to be drawn under such Letter of Credit on a quarterly basis in arrears. Such fronting fee shall be due and payable on the first Business Day following the end of each March, June, September and December</w:t>
      </w:r>
      <w:r>
        <w:rPr>
          <w:color w:val="000000"/>
        </w:rPr>
        <w:t xml:space="preserve"> </w:t>
      </w:r>
      <w:r>
        <w:rPr>
          <w:rFonts w:ascii="Times New Roman;serif" w:hAnsi="Times New Roman;serif"/>
          <w:b w:val="false"/>
          <w:color w:val="000000"/>
          <w:sz w:val="22"/>
        </w:rPr>
        <w:t xml:space="preserve">in the most recently- ended quarterly period (or portion thereof, in the case of the first payment), commencing with the first such date to occur after the issuance of such Letter of Credit, on the Revolving Credit Termination Date and thereafter on demand.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In addition, the Borrower shall pay directly to the applicable L/C Issuer, for its own account, the customary issuance, presentation, amendment, administrative and other processing fees, and other standard costs and charges, of such L/C Issuer relating to letters of credit as from time to time in effect. Such customary fees and standard costs and charges are due and payable on demand and are nonrefundable.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u w:val="single"/>
        </w:rPr>
        <w:t>Disbursement Procedures</w:t>
      </w:r>
      <w:r>
        <w:rPr>
          <w:rFonts w:ascii="Times New Roman;serif" w:hAnsi="Times New Roman;serif"/>
          <w:b w:val="false"/>
          <w:color w:val="000000"/>
          <w:sz w:val="22"/>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Such L/C Issuer shall promptly after such examination notify the Administrative Agent and the Borrower in writing of such demand for payment if such L/C Issuer has made or will make an L/C Disbursement thereunder;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failure to give or delay in giving such notice shall not relieve the Borrower of its obligation to reimburse such L/C Issuer and the Lenders with respect to any such L/C Disbursement.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u w:val="single"/>
        </w:rPr>
        <w:t>Interim Interest</w:t>
      </w:r>
      <w:r>
        <w:rPr>
          <w:rFonts w:ascii="Times New Roman;serif" w:hAnsi="Times New Roman;serif"/>
          <w:b w:val="false"/>
          <w:color w:val="000000"/>
          <w:sz w:val="22"/>
        </w:rPr>
        <w:t xml:space="preserve">. If the L/C Issuer for any standby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Borrower fails to reimburse such L/C Disbursement when due pursuant to </w:t>
      </w:r>
      <w:r>
        <w:rPr>
          <w:rFonts w:ascii="Times New Roman;serif" w:hAnsi="Times New Roman;serif"/>
          <w:b w:val="false"/>
          <w:color w:val="000000"/>
          <w:sz w:val="22"/>
          <w:u w:val="single"/>
        </w:rPr>
        <w:t>clause (f</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then </w:t>
      </w:r>
      <w:r>
        <w:rPr>
          <w:rFonts w:ascii="Times New Roman;serif" w:hAnsi="Times New Roman;serif"/>
          <w:b w:val="false"/>
          <w:color w:val="000000"/>
          <w:sz w:val="22"/>
          <w:u w:val="single"/>
        </w:rPr>
        <w:t>Section 2.08(b</w:t>
      </w:r>
      <w:r>
        <w:rPr>
          <w:rFonts w:ascii="Times New Roman;serif" w:hAnsi="Times New Roman;serif"/>
          <w:b w:val="false"/>
          <w:color w:val="000000"/>
          <w:sz w:val="22"/>
        </w:rPr>
        <w:t xml:space="preserve">) shall apply. Interest accrued pursuant to this </w:t>
      </w:r>
      <w:r>
        <w:rPr>
          <w:rFonts w:ascii="Times New Roman;serif" w:hAnsi="Times New Roman;serif"/>
          <w:b w:val="false"/>
          <w:color w:val="000000"/>
          <w:sz w:val="22"/>
          <w:u w:val="single"/>
        </w:rPr>
        <w:t>clause (o</w:t>
      </w:r>
      <w:r>
        <w:rPr>
          <w:rFonts w:ascii="Times New Roman;serif" w:hAnsi="Times New Roman;serif"/>
          <w:b w:val="false"/>
          <w:color w:val="000000"/>
          <w:sz w:val="22"/>
        </w:rPr>
        <w:t xml:space="preserve">) shall be for account of such L/C Issuer, except that interest accrued on and after the date of payment by any Lender pursuant to </w:t>
      </w:r>
      <w:r>
        <w:rPr>
          <w:rFonts w:ascii="Times New Roman;serif" w:hAnsi="Times New Roman;serif"/>
          <w:b w:val="false"/>
          <w:color w:val="000000"/>
          <w:sz w:val="22"/>
          <w:u w:val="single"/>
        </w:rPr>
        <w:t>clause (f</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2.03</w:t>
      </w:r>
      <w:r>
        <w:rPr>
          <w:color w:val="000000"/>
        </w:rPr>
        <w:t xml:space="preserve"> </w:t>
      </w:r>
      <w:r>
        <w:rPr>
          <w:rFonts w:ascii="Times New Roman;serif" w:hAnsi="Times New Roman;serif"/>
          <w:b w:val="false"/>
          <w:color w:val="000000"/>
          <w:sz w:val="22"/>
        </w:rPr>
        <w:t>to reimburse such L/C Issuer shall be for account of such Lender to the extent of such payment.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u w:val="single"/>
        </w:rPr>
        <w:t>Replacement of any L/C Issuer</w:t>
      </w:r>
      <w:r>
        <w:rPr>
          <w:rFonts w:ascii="Times New Roman;serif" w:hAnsi="Times New Roman;serif"/>
          <w:b w:val="false"/>
          <w:color w:val="000000"/>
          <w:sz w:val="22"/>
        </w:rPr>
        <w:t xml:space="preserve">. Any L/C Issuer may be replaced at any time by written agreement between the Borrower, the Administrative Agent, the replaced L/C Issuer and the successor L/C Issuer. The Administrative Agent shall notify the Lenders of any such replacement of an L/C Issuer. At the time any such replacement shall become effective, the Borrower shall pay all unpaid fees accrued for the account of the replaced L/C Issuer pursuant to </w:t>
      </w:r>
      <w:r>
        <w:rPr>
          <w:rFonts w:ascii="Times New Roman;serif" w:hAnsi="Times New Roman;serif"/>
          <w:b w:val="false"/>
          <w:color w:val="000000"/>
          <w:sz w:val="22"/>
          <w:u w:val="single"/>
        </w:rPr>
        <w:t>Section 2.03(m</w:t>
      </w:r>
      <w:r>
        <w:rPr>
          <w:rFonts w:ascii="Times New Roman;serif" w:hAnsi="Times New Roman;serif"/>
          <w:b w:val="false"/>
          <w:color w:val="000000"/>
          <w:sz w:val="22"/>
        </w:rPr>
        <w:t xml:space="preserve">). From and after the effective date of any such replacement, (i) the successor L/C Issuer shall have all the rights and obligations of an L/C Issuer under this Agreement with respect to Letters of Credit to be issued by it thereafter and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701675"/>
                <wp:effectExtent l="0" t="0" r="0" b="0"/>
                <wp:wrapNone/>
                <wp:docPr id="201" name="Frame20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pStyle w:val="TextBody"/>
        <w:bidi w:val="0"/>
        <w:spacing w:lineRule="auto" w:line="240"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u w:val="single"/>
        </w:rPr>
        <w:t>Cash Collateralization</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(i)If any Event of Default shall occur and be continuing, on the Business Day that the Borrower receives notice from the Administrative Agent or the Required Lenders (or, if the maturity of the Loans has been accelerated, Revolving Lenders with L/C Obligations representing at least 66-2/3% of the total L/C Obligations) demanding the deposit of Cash Collateral pursuant to this </w:t>
      </w:r>
      <w:r>
        <w:rPr>
          <w:rFonts w:ascii="Times New Roman;serif" w:hAnsi="Times New Roman;serif"/>
          <w:b w:val="false"/>
          <w:color w:val="000000"/>
          <w:sz w:val="22"/>
          <w:u w:val="single"/>
        </w:rPr>
        <w:t>clause (q)</w:t>
      </w:r>
      <w:r>
        <w:rPr>
          <w:rFonts w:ascii="Times New Roman;serif" w:hAnsi="Times New Roman;serif"/>
          <w:b w:val="false"/>
          <w:color w:val="000000"/>
          <w:sz w:val="22"/>
        </w:rPr>
        <w:t>, the Borrower shall immediately deposit into an account established and maintained on the books and records of the Administrative Agent (the “</w:t>
      </w:r>
      <w:r>
        <w:rPr>
          <w:rFonts w:ascii="Times New Roman;serif" w:hAnsi="Times New Roman;serif"/>
          <w:b w:val="false"/>
          <w:i/>
          <w:color w:val="000000"/>
          <w:sz w:val="22"/>
          <w:u w:val="single"/>
        </w:rPr>
        <w:t>Collateral Account</w:t>
      </w:r>
      <w:r>
        <w:rPr>
          <w:color w:val="000000"/>
        </w:rPr>
        <w:t>”</w:t>
      </w:r>
      <w:r>
        <w:rPr>
          <w:rFonts w:ascii="Times New Roman;serif" w:hAnsi="Times New Roman;serif"/>
          <w:b w:val="false"/>
          <w:color w:val="000000"/>
          <w:sz w:val="22"/>
        </w:rPr>
        <w:t xml:space="preserve">) an amount in cash equal to 103% of the total L/C Obligations as of such date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any accrued and unpaid interest thereon,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obligation to deposit such Cash Collateral shall become effective immediately, and such deposit shall become immediately due and payable, without demand or other notice of any kind, upon the occurrence of any Event of Default with respect to the Borrower, Holdings, Intermediate Holdings or Parent described in </w:t>
      </w:r>
      <w:r>
        <w:rPr>
          <w:rFonts w:ascii="Times New Roman;serif" w:hAnsi="Times New Roman;serif"/>
          <w:b w:val="false"/>
          <w:color w:val="000000"/>
          <w:sz w:val="22"/>
          <w:u w:val="single"/>
        </w:rPr>
        <w:t>clause (f</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8.01</w:t>
      </w:r>
      <w:r>
        <w:rPr>
          <w:rFonts w:ascii="Times New Roman;serif" w:hAnsi="Times New Roman;serif"/>
          <w:b w:val="false"/>
          <w:color w:val="000000"/>
          <w:sz w:val="22"/>
        </w:rPr>
        <w:t xml:space="preserve">. Such deposit shall be held by the Administrative Agent as collateral for the payment and performance of the obligations of the Borrower under this Agreement. In addition, and without limiting the foregoing or </w:t>
      </w:r>
      <w:r>
        <w:rPr>
          <w:rFonts w:ascii="Times New Roman;serif" w:hAnsi="Times New Roman;serif"/>
          <w:b w:val="false"/>
          <w:color w:val="000000"/>
          <w:sz w:val="22"/>
          <w:u w:val="single"/>
        </w:rPr>
        <w:t>clause (d</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if any L/C Obligations remain outstanding after the expiration date specified in said </w:t>
      </w:r>
      <w:r>
        <w:rPr>
          <w:rFonts w:ascii="Times New Roman;serif" w:hAnsi="Times New Roman;serif"/>
          <w:b w:val="false"/>
          <w:color w:val="000000"/>
          <w:sz w:val="22"/>
          <w:u w:val="single"/>
        </w:rPr>
        <w:t>clause (d</w:t>
      </w:r>
      <w:r>
        <w:rPr>
          <w:rFonts w:ascii="Times New Roman;serif" w:hAnsi="Times New Roman;serif"/>
          <w:b w:val="false"/>
          <w:color w:val="000000"/>
          <w:sz w:val="22"/>
        </w:rPr>
        <w:t xml:space="preserve">), the Borrower shall immediately deposit into the Collateral Account an amount in cash equal to 103% of such L/C Obligations as of such date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any accrued and unpaid interest thereon.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each L/C Issuer for L/C Disbursements for which it has not been reimbursed, together with related fees, costs, and customary processing charges, and, to the extent not so applied, shall be held for the satisfaction of the reimbursement obligations of the Borrower for the L/C Obligations at such time or, if the maturity of the Loans has been accelerated (but subject to the consent of Lenders with L/C Obligations representing 66-2/3% of the total L/C Obligations),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(r)</w:t>
      </w:r>
      <w:r>
        <w:rPr>
          <w:color w:val="000000"/>
        </w:rPr>
        <w:t>    </w:t>
      </w:r>
      <w:r>
        <w:rPr>
          <w:rFonts w:ascii="Times New Roman;serif" w:hAnsi="Times New Roman;serif"/>
          <w:b w:val="false"/>
          <w:color w:val="000000"/>
          <w:sz w:val="22"/>
          <w:u w:val="single"/>
        </w:rPr>
        <w:t>L/C Issuer Reports to the Administrative Agent</w:t>
      </w:r>
      <w:r>
        <w:rPr>
          <w:rFonts w:ascii="Times New Roman;serif" w:hAnsi="Times New Roman;serif"/>
          <w:b w:val="false"/>
          <w:color w:val="000000"/>
          <w:sz w:val="22"/>
        </w:rPr>
        <w:t xml:space="preserve">. Unless otherwise agreed by the Administrative Agent, each L/C Issuer shall, in addition to its notification obligations set forth elsewhere in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provide the Administrative Agent a summary report, as set forth below:</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(ii)on each Business Day on which such L/C Issuer makes a payment pursuant to a Letter of Credit, the date and amount of such payment;</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701675"/>
                <wp:effectExtent l="0" t="0" r="0" b="0"/>
                <wp:wrapNone/>
                <wp:docPr id="202" name="Frame20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(iii)on any Business Day on which the Borrower fails to reimburse a payment made pursuant to a Letter of Credit required to be reimbursed to such L/C Issuer on such day, the date of such failure and the amount of such payment;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(iv)on any other Business Day, such other information as the Administrative Agent shall reasonably request as to the Letters of Credit issued by such L/C Issuer;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(v)for so long as any Letter of Credit issued by an L/C Issuer is outstanding, such L/C Issuer shall deliver to the Administrative Agent (A) on the last Business Day of each calendar month, (B) at all other times a summary report is required to be delivered pursuant to this Agreement, and (C) on each date that (1) an L/C Credit Extension occurs or (2) there is any expiration, cancellation and/or disbursement, in each case, with respect to any such Letter of Credit, a summary report appropriately completed with the information for every outstanding Letter of Credit issued by such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w:t>
      </w:r>
      <w:r>
        <w:rPr>
          <w:rFonts w:ascii="Times New Roman;serif" w:hAnsi="Times New Roman;serif"/>
          <w:b w:val="false"/>
          <w:color w:val="000000"/>
          <w:sz w:val="22"/>
          <w:u w:val="single"/>
        </w:rPr>
        <w:t>Letters of Credit Issued for Subsidiaries</w:t>
      </w:r>
      <w:r>
        <w:rPr>
          <w:rFonts w:ascii="Times New Roman;serif" w:hAnsi="Times New Roman;serif"/>
          <w:b w:val="false"/>
          <w:color w:val="000000"/>
          <w:sz w:val="22"/>
        </w:rPr>
        <w:t>. Notwithstanding that a Letter of Credit issued or outstanding hereunder is in support of any obligations of, or is for the account of, Parent or any Subsidiary thereof, the Borrower shall be obligated to reimburse, indemnify and compensate the applicable L/C Issuer hereunder for any and all drawings under such Letter of Credit as if such Letter of Credit had been issued solely for the account of the Borrower. The Borrower irrevocably waives any and all defenses that might otherwise be available to it as a guarantor or surety of any or all of the obligations of the Parent or such Subsidiary in respect of such Letter of Credit. The Borrower hereby acknowledges that the issuance of Letters of Credit for the account of the Parent or any Subsidiaries inures to the benefit of the Borrower, and that the Borrower’s business derives substantial benefits from the businesses of the Parent or such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(t)</w:t>
      </w:r>
      <w:r>
        <w:rPr>
          <w:rFonts w:ascii="Times New Roman;serif" w:hAnsi="Times New Roman;serif"/>
          <w:b w:val="false"/>
          <w:color w:val="000000"/>
          <w:sz w:val="22"/>
          <w:u w:val="single"/>
        </w:rPr>
        <w:t>Conflict with Issuer Documents</w:t>
      </w:r>
      <w:r>
        <w:rPr>
          <w:rFonts w:ascii="Times New Roman;serif" w:hAnsi="Times New Roman;serif"/>
          <w:b w:val="false"/>
          <w:color w:val="000000"/>
          <w:sz w:val="22"/>
        </w:rPr>
        <w:t>. In the event of any conflict between the terms hereof and the terms of any Issuer Document, the terms hereof shall control.</w:t>
      </w:r>
    </w:p>
    <w:p>
      <w:pPr>
        <w:pStyle w:val="TextBody"/>
        <w:bidi w:val="0"/>
        <w:spacing w:lineRule="auto" w:line="240" w:before="0" w:after="240"/>
        <w:ind w:left="0" w:right="0" w:firstLine="720"/>
        <w:jc w:val="both"/>
        <w:rPr/>
      </w:pPr>
      <w:r>
        <w:rPr>
          <w:rFonts w:ascii="Times New Roman;serif" w:hAnsi="Times New Roman;serif"/>
          <w:b/>
          <w:color w:val="000000"/>
          <w:sz w:val="22"/>
        </w:rPr>
        <w:t>2.04</w:t>
      </w:r>
      <w:r>
        <w:rPr>
          <w:rFonts w:ascii="Times New Roman;serif" w:hAnsi="Times New Roman;serif"/>
          <w:b/>
          <w:color w:val="000000"/>
          <w:sz w:val="22"/>
          <w:u w:val="single"/>
        </w:rPr>
        <w:t>Swingline Loans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The Swingline</w:t>
      </w:r>
      <w:r>
        <w:rPr>
          <w:rFonts w:ascii="Times New Roman;serif" w:hAnsi="Times New Roman;serif"/>
          <w:b w:val="false"/>
          <w:color w:val="000000"/>
          <w:sz w:val="22"/>
        </w:rPr>
        <w:t xml:space="preserve">. Subject to the terms and conditions set forth herein, the Swingline Lender, in reliance upon the agreements of the other Lenders set forth in this </w:t>
      </w:r>
      <w:r>
        <w:rPr>
          <w:rFonts w:ascii="Times New Roman;serif" w:hAnsi="Times New Roman;serif"/>
          <w:b w:val="false"/>
          <w:color w:val="000000"/>
          <w:sz w:val="22"/>
          <w:u w:val="single"/>
        </w:rPr>
        <w:t>Section 2.04</w:t>
      </w:r>
      <w:r>
        <w:rPr>
          <w:rFonts w:ascii="Times New Roman;serif" w:hAnsi="Times New Roman;serif"/>
          <w:b w:val="false"/>
          <w:color w:val="000000"/>
          <w:sz w:val="22"/>
        </w:rPr>
        <w:t>, may in its sole discretion make loans to the Borrower (each such loan, a “</w:t>
      </w:r>
      <w:r>
        <w:rPr>
          <w:rFonts w:ascii="Times New Roman;serif" w:hAnsi="Times New Roman;serif"/>
          <w:b w:val="false"/>
          <w:i/>
          <w:color w:val="000000"/>
          <w:sz w:val="22"/>
          <w:u w:val="single"/>
        </w:rPr>
        <w:t>Swingline Loan</w:t>
      </w:r>
      <w:r>
        <w:rPr>
          <w:color w:val="000000"/>
        </w:rPr>
        <w:t>”</w:t>
      </w:r>
      <w:r>
        <w:rPr>
          <w:rFonts w:ascii="Times New Roman;serif" w:hAnsi="Times New Roman;serif"/>
          <w:b w:val="false"/>
          <w:color w:val="000000"/>
          <w:sz w:val="22"/>
        </w:rPr>
        <w:t xml:space="preserve">). Each such Swingline Loan may be made, subject to the terms and conditions set forth herein, to the Borrower, in Dollars, from time to time on any Business Day during the Availability Period in an aggregate amount not to exceed at any time outstanding the amount of the Swingline Sublimit;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after giving effect to any Swingline Loan, (A) the Total Revolving Outstandings shall not exceed the Revolving Facility at such time, (B) the Revolving Exposure of any Revolving Lender at such time shall not exceed such Lender’s Revolving Commitment and (C) the aggregate amount of all Swingline Loans outstanding shall not exceed the Swingline Commitment of the Swingline Lender, (ii) the Borrower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serif" w:hAnsi="Times New Roman;serif"/>
          <w:b w:val="false"/>
          <w:color w:val="000000"/>
          <w:sz w:val="22"/>
          <w:u w:val="single"/>
        </w:rPr>
        <w:t>Section 2.04</w:t>
      </w:r>
      <w:r>
        <w:rPr>
          <w:rFonts w:ascii="Times New Roman;serif" w:hAnsi="Times New Roman;serif"/>
          <w:b w:val="false"/>
          <w:color w:val="000000"/>
          <w:sz w:val="22"/>
        </w:rPr>
        <w:t xml:space="preserve">, prepay under </w:t>
      </w:r>
      <w:r>
        <w:rPr>
          <w:rFonts w:ascii="Times New Roman;serif" w:hAnsi="Times New Roman;serif"/>
          <w:b w:val="false"/>
          <w:color w:val="000000"/>
          <w:sz w:val="22"/>
          <w:u w:val="single"/>
        </w:rPr>
        <w:t>Section 2.05</w:t>
      </w:r>
      <w:r>
        <w:rPr>
          <w:rFonts w:ascii="Times New Roman;serif" w:hAnsi="Times New Roman;serif"/>
          <w:b w:val="false"/>
          <w:color w:val="000000"/>
          <w:sz w:val="22"/>
        </w:rPr>
        <w:t xml:space="preserve">, and reborrow under this </w:t>
      </w:r>
      <w:r>
        <w:rPr>
          <w:rFonts w:ascii="Times New Roman;serif" w:hAnsi="Times New Roman;serif"/>
          <w:b w:val="false"/>
          <w:color w:val="000000"/>
          <w:sz w:val="22"/>
          <w:u w:val="single"/>
        </w:rPr>
        <w:t>Section 2.04</w:t>
      </w:r>
      <w:r>
        <w:rPr>
          <w:rFonts w:ascii="Times New Roman;serif" w:hAnsi="Times New Roman;serif"/>
          <w:b w:val="false"/>
          <w:color w:val="000000"/>
          <w:sz w:val="22"/>
        </w:rPr>
        <w:t>. Each Swingline Loan shall bear interest only at a rate based on the Base Rate plus the Applicable Rate.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Percentage times the amount of such Swingline Loan.</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Borrowing Procedures</w:t>
      </w:r>
      <w:r>
        <w:rPr>
          <w:rFonts w:ascii="Times New Roman;serif" w:hAnsi="Times New Roman;serif"/>
          <w:b w:val="false"/>
          <w:color w:val="000000"/>
          <w:sz w:val="22"/>
        </w:rPr>
        <w:t xml:space="preserve">. Each Swingline Borrowing shall be made upon the Borrower’s irrevocable notice to the Swingline Lender and the Administrative Agent, which may be given by: (i) telephone or (ii) a Swingline Loan Notice;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telephonic notice must be confirmed immediately by delivery to the Swingline Lender and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701675"/>
                <wp:effectExtent l="0" t="0" r="0" b="0"/>
                <wp:wrapNone/>
                <wp:docPr id="203" name="Frame20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Agent of a Swingline Loan Notice. Each such Swingline Loan Notice must be received by the Swingline Lender and the Administrative Agent not later than 2:00 p.m.</w:t>
      </w:r>
      <w:r>
        <w:rPr>
          <w:color w:val="000000"/>
        </w:rPr>
        <w:t xml:space="preserve"> </w:t>
      </w:r>
      <w:r>
        <w:rPr>
          <w:rFonts w:ascii="Times New Roman;serif" w:hAnsi="Times New Roman;serif"/>
          <w:b w:val="false"/>
          <w:color w:val="000000"/>
          <w:sz w:val="22"/>
        </w:rPr>
        <w:t xml:space="preserve">on the requested borrowing date, and shall specify (A) the amount to be borrowed, which shall be a minimum of $250,000, and (B) the requested date of the Borrowing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Revolving Lender) prior to 3:00 p.m. on the date of the proposed Swingline Borrowing (1) directing the Swingline Lender not to make such Swingline Loan as a result of the limitations set forth in the first proviso to the first sentence of </w:t>
      </w:r>
      <w:r>
        <w:rPr>
          <w:rFonts w:ascii="Times New Roman;serif" w:hAnsi="Times New Roman;serif"/>
          <w:b w:val="false"/>
          <w:color w:val="000000"/>
          <w:sz w:val="22"/>
          <w:u w:val="single"/>
        </w:rPr>
        <w:t>Section 2.04(a</w:t>
      </w:r>
      <w:r>
        <w:rPr>
          <w:rFonts w:ascii="Times New Roman;serif" w:hAnsi="Times New Roman;serif"/>
          <w:b w:val="false"/>
          <w:color w:val="000000"/>
          <w:sz w:val="22"/>
        </w:rPr>
        <w:t xml:space="preserve">), or (2) that one or more of the applicable conditions specified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is not then satisfied, then, subject to the terms and conditions hereof, the Swingline Lender may make the amount of its Swingline Loan available to the Borrower at its office by crediting the account of the Borrower on the books of the Swingline Lender in immediately available funds.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Refinancing of Swingline Loans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(i)The Swingline Lender at any time in its sole and absolute discretion may request, on behalf of the Borrower (which hereby irrevocably authorizes the Swingline Lender to so request on its behalf), that each Revolving Lender make a Base Rate Loan</w:t>
      </w:r>
      <w:r>
        <w:rPr>
          <w:color w:val="7030A0"/>
        </w:rPr>
        <w:t xml:space="preserve"> </w:t>
      </w:r>
      <w:r>
        <w:rPr>
          <w:rFonts w:ascii="Times New Roman;serif" w:hAnsi="Times New Roman;serif"/>
          <w:b w:val="false"/>
          <w:color w:val="000000"/>
          <w:sz w:val="22"/>
        </w:rPr>
        <w:t xml:space="preserve">in an amount equal to such Lender’s Applicable Percentage of the amount of Swingline Loans then outstanding. Such request shall be made in writing (which written request shall be deemed to be a Loan Notice for purposes hereof) and in accordance with the requirements of </w:t>
      </w:r>
      <w:r>
        <w:rPr>
          <w:rFonts w:ascii="Times New Roman;serif" w:hAnsi="Times New Roman;serif"/>
          <w:b w:val="false"/>
          <w:color w:val="000000"/>
          <w:sz w:val="22"/>
          <w:u w:val="single"/>
        </w:rPr>
        <w:t>Section 2.02</w:t>
      </w:r>
      <w:r>
        <w:rPr>
          <w:rFonts w:ascii="Times New Roman;serif" w:hAnsi="Times New Roman;serif"/>
          <w:b w:val="false"/>
          <w:color w:val="000000"/>
          <w:sz w:val="22"/>
        </w:rPr>
        <w:t xml:space="preserve">, without regard to the minimum and multiples specified therein for the principal amount of Base Rate Loans, but subject to the unutilized portion of the Revolving Facility and the conditions set forth in </w:t>
      </w:r>
      <w:r>
        <w:rPr>
          <w:rFonts w:ascii="Times New Roman;serif" w:hAnsi="Times New Roman;serif"/>
          <w:b w:val="false"/>
          <w:color w:val="000000"/>
          <w:sz w:val="22"/>
          <w:u w:val="single"/>
        </w:rPr>
        <w:t>Section 4.02</w:t>
      </w:r>
      <w:r>
        <w:rPr>
          <w:rFonts w:ascii="Times New Roman;serif" w:hAnsi="Times New Roman;serif"/>
          <w:b w:val="false"/>
          <w:color w:val="000000"/>
          <w:sz w:val="22"/>
        </w:rPr>
        <w:t xml:space="preserve">. The Swingline Lender shall furnish the Borrower with a copy of the applicable Loan Notice promptly after delivering such notice to the Administrative Agent. Each Revolving Lender shall make an amount equal to its Applicable Percentage of the amount specified in such Loan Notice available to the Administrative Agent in immediately available funds (and the Administrative Agent may apply Cash Collateral available with respect to the applicable Swingline Loan) for the account of the Swingline Lender at the Administrative Agent’s Office not later than 1:00 p.m. on the day specified in such Loan Notice, whereupon, subject to </w:t>
      </w:r>
      <w:r>
        <w:rPr>
          <w:rFonts w:ascii="Times New Roman;serif" w:hAnsi="Times New Roman;serif"/>
          <w:b w:val="false"/>
          <w:color w:val="000000"/>
          <w:sz w:val="22"/>
          <w:u w:val="single"/>
        </w:rPr>
        <w:t>Section 2.04(c)(ii</w:t>
      </w:r>
      <w:r>
        <w:rPr>
          <w:rFonts w:ascii="Times New Roman;serif" w:hAnsi="Times New Roman;serif"/>
          <w:b w:val="false"/>
          <w:color w:val="000000"/>
          <w:sz w:val="22"/>
        </w:rPr>
        <w:t>), each Revolving Lender that so makes funds available shall be deemed to have made a Base Rate Loan to the Borrower in such amount. The Administrative Agent shall remit the funds so received to the Swingline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(ii)Notwithstanding anything to the contrary in the foregoing, if for any reason any Swingline Loan cannot be refinanced by such a Revolving Borrowing in accordance with </w:t>
      </w:r>
      <w:r>
        <w:rPr>
          <w:rFonts w:ascii="Times New Roman;serif" w:hAnsi="Times New Roman;serif"/>
          <w:b w:val="false"/>
          <w:color w:val="000000"/>
          <w:sz w:val="22"/>
          <w:u w:val="single"/>
        </w:rPr>
        <w:t>Section 2.04(c)(i</w:t>
      </w:r>
      <w:r>
        <w:rPr>
          <w:rFonts w:ascii="Times New Roman;serif" w:hAnsi="Times New Roman;serif"/>
          <w:b w:val="false"/>
          <w:color w:val="000000"/>
          <w:sz w:val="22"/>
        </w:rPr>
        <w:t xml:space="preserve">) (including, without limitation, the failure to satisfy the conditions set forth in </w:t>
      </w:r>
      <w:r>
        <w:rPr>
          <w:rFonts w:ascii="Times New Roman;serif" w:hAnsi="Times New Roman;serif"/>
          <w:b w:val="false"/>
          <w:color w:val="000000"/>
          <w:sz w:val="22"/>
          <w:u w:val="single"/>
        </w:rPr>
        <w:t>Section 4.02</w:t>
      </w:r>
      <w:r>
        <w:rPr>
          <w:rFonts w:ascii="Times New Roman;serif" w:hAnsi="Times New Roman;serif"/>
          <w:b w:val="false"/>
          <w:color w:val="000000"/>
          <w:sz w:val="22"/>
        </w:rPr>
        <w:t xml:space="preserve">), the request for Base Rate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w:t>
      </w:r>
      <w:r>
        <w:rPr>
          <w:rFonts w:ascii="Times New Roman;serif" w:hAnsi="Times New Roman;serif"/>
          <w:b w:val="false"/>
          <w:color w:val="000000"/>
          <w:sz w:val="22"/>
          <w:u w:val="single"/>
        </w:rPr>
        <w:t>Section 2.04(c)(i</w:t>
      </w:r>
      <w:r>
        <w:rPr>
          <w:rFonts w:ascii="Times New Roman;serif" w:hAnsi="Times New Roman;serif"/>
          <w:b w:val="false"/>
          <w:color w:val="000000"/>
          <w:sz w:val="22"/>
        </w:rPr>
        <w:t>) shall be deemed payment in respect of such participation.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(iii)If any Revolving Lender fails to make available to the Administrative Agent for the account of the Swingline Lender any amount required to be paid by such Lender pursuant to the foregoing provisions of this </w:t>
      </w:r>
      <w:r>
        <w:rPr>
          <w:rFonts w:ascii="Times New Roman;serif" w:hAnsi="Times New Roman;serif"/>
          <w:b w:val="false"/>
          <w:color w:val="000000"/>
          <w:sz w:val="22"/>
          <w:u w:val="single"/>
        </w:rPr>
        <w:t>Section 2.04(c</w:t>
      </w:r>
      <w:r>
        <w:rPr>
          <w:rFonts w:ascii="Times New Roman;serif" w:hAnsi="Times New Roman;serif"/>
          <w:b w:val="false"/>
          <w:color w:val="000000"/>
          <w:sz w:val="22"/>
        </w:rPr>
        <w:t xml:space="preserve">) by the time specified in </w:t>
      </w:r>
      <w:r>
        <w:rPr>
          <w:rFonts w:ascii="Times New Roman;serif" w:hAnsi="Times New Roman;serif"/>
          <w:b w:val="false"/>
          <w:color w:val="000000"/>
          <w:sz w:val="22"/>
          <w:u w:val="single"/>
        </w:rPr>
        <w:t>Section 2.04(c)(i</w:t>
      </w:r>
      <w:r>
        <w:rPr>
          <w:rFonts w:ascii="Times New Roman;serif" w:hAnsi="Times New Roman;serif"/>
          <w:b w:val="false"/>
          <w:color w:val="000000"/>
          <w:sz w:val="22"/>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any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701675"/>
                <wp:effectExtent l="0" t="0" r="0" b="0"/>
                <wp:wrapNone/>
                <wp:docPr id="204" name="Frame20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processing or similar fees customarily charged by the Swingline Lender in connection with the foregoing. If such Lender pays such amount (with interest and fees as aforesaid), the amount so paid shall constitute such Lender’s Revolving Loan included in the relevant Revolving Borrowing or funded participation in the relevant Swingline Loan, as the case may be. A certificate of the Swingline Lender submitted to any Lender (through the Administrative Agent) with respect to any amounts owing under this </w:t>
      </w:r>
      <w:r>
        <w:rPr>
          <w:rFonts w:ascii="Times New Roman;serif" w:hAnsi="Times New Roman;serif"/>
          <w:b w:val="false"/>
          <w:color w:val="000000"/>
          <w:sz w:val="22"/>
          <w:u w:val="single"/>
        </w:rPr>
        <w:t>clause (c)(iii</w:t>
      </w:r>
      <w:r>
        <w:rPr>
          <w:rFonts w:ascii="Times New Roman;serif" w:hAnsi="Times New Roman;serif"/>
          <w:b w:val="false"/>
          <w:color w:val="000000"/>
          <w:sz w:val="22"/>
        </w:rPr>
        <w:t>) 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(iv)Each Revolving Lender’s obligation to make Revolving Loans or to purchase and fund risk participations in Swingline Loans pursuant to this </w:t>
      </w:r>
      <w:r>
        <w:rPr>
          <w:rFonts w:ascii="Times New Roman;serif" w:hAnsi="Times New Roman;serif"/>
          <w:b w:val="false"/>
          <w:color w:val="000000"/>
          <w:sz w:val="22"/>
          <w:u w:val="single"/>
        </w:rPr>
        <w:t>Section 2.04(c</w:t>
      </w:r>
      <w:r>
        <w:rPr>
          <w:rFonts w:ascii="Times New Roman;serif" w:hAnsi="Times New Roman;serif"/>
          <w:b w:val="false"/>
          <w:color w:val="000000"/>
          <w:sz w:val="22"/>
        </w:rPr>
        <w:t xml:space="preserve">)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each Revolving Lender’s obligation to make Revolving Loans pursuant to this </w:t>
      </w:r>
      <w:r>
        <w:rPr>
          <w:rFonts w:ascii="Times New Roman;serif" w:hAnsi="Times New Roman;serif"/>
          <w:b w:val="false"/>
          <w:color w:val="000000"/>
          <w:sz w:val="22"/>
          <w:u w:val="single"/>
        </w:rPr>
        <w:t>Section 2.04(c</w:t>
      </w:r>
      <w:r>
        <w:rPr>
          <w:rFonts w:ascii="Times New Roman;serif" w:hAnsi="Times New Roman;serif"/>
          <w:b w:val="false"/>
          <w:color w:val="000000"/>
          <w:sz w:val="22"/>
        </w:rPr>
        <w:t xml:space="preserve">) is subject to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(other than delivery by the Borrower of a Loan Notice). No such funding of risk participations shall relieve or otherwise impair the obligation of the Borrower to repay Swingline Loans, together with interest as provided herein.</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Repayment of Participations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(i)At any time after any Revolving Lender has purchased and funded a risk participation in a Swingline Loan, if the Swingline Lender receives any payment on account of such Swingline Loan, the Swingline Lender will distribute to such Revolving Lender its Applicable Percentage thereof in the same funds as those received by the Swingline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(ii)If any payment received by the Swingline Lender in respect of principal or interest on any Swingline Loan is required to be returned by the Swingline Lender under any of the circumstances described in </w:t>
      </w:r>
      <w:r>
        <w:rPr>
          <w:rFonts w:ascii="Times New Roman;serif" w:hAnsi="Times New Roman;serif"/>
          <w:b w:val="false"/>
          <w:color w:val="000000"/>
          <w:sz w:val="22"/>
          <w:u w:val="single"/>
        </w:rPr>
        <w:t>Section 11.05</w:t>
      </w:r>
      <w:r>
        <w:rPr>
          <w:color w:val="000000"/>
        </w:rPr>
        <w:t xml:space="preserve"> </w:t>
      </w:r>
      <w:r>
        <w:rPr>
          <w:rFonts w:ascii="Times New Roman;serif" w:hAnsi="Times New Roman;serif"/>
          <w:b w:val="false"/>
          <w:color w:val="000000"/>
          <w:sz w:val="22"/>
        </w:rPr>
        <w:t>(including pursuant to any settlement entered into by the Swingline Lender in its discretion), each Revolving Lender shall pay to the Swingline Lender its 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Swingline Lender. The obligations of the Lenders under this clause shall survive the payment in full of the Obligations and the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Interest for Account of Swingline Lender</w:t>
      </w:r>
      <w:r>
        <w:rPr>
          <w:rFonts w:ascii="Times New Roman;serif" w:hAnsi="Times New Roman;serif"/>
          <w:b w:val="false"/>
          <w:color w:val="000000"/>
          <w:sz w:val="22"/>
        </w:rPr>
        <w:t xml:space="preserve">. The Swingline Lender shall be responsible for invoicing the Borrower for interest on the Swingline Loans. Until each Revolving Lender funds its Base Rate Loan or risk participation pursuant to this </w:t>
      </w:r>
      <w:r>
        <w:rPr>
          <w:rFonts w:ascii="Times New Roman;serif" w:hAnsi="Times New Roman;serif"/>
          <w:b w:val="false"/>
          <w:color w:val="000000"/>
          <w:sz w:val="22"/>
          <w:u w:val="single"/>
        </w:rPr>
        <w:t>Section 2.04</w:t>
      </w:r>
      <w:r>
        <w:rPr>
          <w:color w:val="000000"/>
        </w:rPr>
        <w:t xml:space="preserve"> </w:t>
      </w:r>
      <w:r>
        <w:rPr>
          <w:rFonts w:ascii="Times New Roman;serif" w:hAnsi="Times New Roman;serif"/>
          <w:b w:val="false"/>
          <w:color w:val="000000"/>
          <w:sz w:val="22"/>
        </w:rPr>
        <w:t>to refinance such Revolving Lender’s Applicable Percentage of any Swingline Loan, interest in respect of such Applicable Percentage shall be solely for the account of the Swingline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Payments Directly to Swingline Lender</w:t>
      </w:r>
      <w:r>
        <w:rPr>
          <w:rFonts w:ascii="Times New Roman;serif" w:hAnsi="Times New Roman;serif"/>
          <w:b w:val="false"/>
          <w:color w:val="000000"/>
          <w:sz w:val="22"/>
        </w:rPr>
        <w:t>. The Borrower shall make all payments of principal and interest in respect of the Swingline Loans directly to the Swingline Lender.</w:t>
      </w:r>
    </w:p>
    <w:p>
      <w:pPr>
        <w:pStyle w:val="TextBody"/>
        <w:bidi w:val="0"/>
        <w:spacing w:lineRule="auto" w:line="240" w:before="0" w:after="240"/>
        <w:ind w:left="0" w:right="0" w:firstLine="720"/>
        <w:jc w:val="both"/>
        <w:rPr/>
      </w:pPr>
      <w:r>
        <w:rPr>
          <w:rFonts w:ascii="Times New Roman;serif" w:hAnsi="Times New Roman;serif"/>
          <w:b/>
          <w:color w:val="000000"/>
          <w:sz w:val="22"/>
        </w:rPr>
        <w:t>2.05</w:t>
      </w:r>
      <w:r>
        <w:rPr>
          <w:rFonts w:ascii="Times New Roman;serif" w:hAnsi="Times New Roman;serif"/>
          <w:b/>
          <w:color w:val="000000"/>
          <w:sz w:val="22"/>
          <w:u w:val="single"/>
        </w:rPr>
        <w:t>Prepayments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Optional</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(i)The Borrower may, upon delivery to the Administrative Agent of a Notice of Loan Prepayment, at any time or from time to time voluntarily prepay Loans in whole or in part without premium or penalty;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notice must be received by the Administrative Agent not later than 2:00 p.m. (A) two (2) Business Days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701675"/>
                <wp:effectExtent l="0" t="0" r="0" b="0"/>
                <wp:wrapNone/>
                <wp:docPr id="205" name="Frame20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prior to any date of prepayment of Term SOFR Loans and (B) on the date of prepayment of Base Rate Loans; (ii) any prepayment of Term SOFR Loans shall be in a principal amount of $5,000,000</w:t>
      </w:r>
      <w:r>
        <w:rPr>
          <w:color w:val="000000"/>
        </w:rPr>
        <w:t xml:space="preserve"> </w:t>
      </w:r>
      <w:r>
        <w:rPr>
          <w:rFonts w:ascii="Times New Roman;serif" w:hAnsi="Times New Roman;serif"/>
          <w:b w:val="false"/>
          <w:color w:val="000000"/>
          <w:sz w:val="22"/>
        </w:rPr>
        <w:t>or a whole multiple of $1,000,000</w:t>
      </w:r>
      <w:r>
        <w:rPr>
          <w:color w:val="000000"/>
        </w:rPr>
        <w:t xml:space="preserve"> </w:t>
      </w:r>
      <w:r>
        <w:rPr>
          <w:rFonts w:ascii="Times New Roman;serif" w:hAnsi="Times New Roman;serif"/>
          <w:b w:val="false"/>
          <w:color w:val="000000"/>
          <w:sz w:val="22"/>
        </w:rPr>
        <w:t xml:space="preserve">in excess thereof or, in each case, if less, the entire principal amount thereof then outstanding; and (iii)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notice of optional prepayment to result in the Facility Termination Date pursuant to this Section 2.05(a)(i) may be, if expressly so stated to be, conditional upon the effectiveness of other credit facilities or the receipt of the proceeds from the issuance of other Indebtedness or the occurrence of some other identifiable and specified event or condition, in which case such notice of optional prepayment may be revoked or extended by the Borrower (by written notice to the Administrative Agent on or prior to the specified effective date of prepayment) if such event or condition is not satisfied;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the delay or failure of such contingency shall not relieve the Borrower from its obligations in respect thereof under Section 3.05. Any prepayment of any Term SOFR Loan shall be accompanied by all accrued interest on the amount prepaid, together with any additional amounts required pursuant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 Each such prepayment shall be applied to the Loans of the Lenders in accordance with their respective Applicable Percentages.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(ii)The Borrower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unless otherwise agreed by the Swingline Lender, (A) such notice must be received by the Swingline Lender and the Administrative Agent not later than 1:00 p.m. on the date of the prepayment, and (B) any such prepayment shall be in a minimum principal amount of $100,000 or a whole multiple of $100,000 in excess 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Mandatory</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Revolving Outstandings</w:t>
      </w:r>
      <w:r>
        <w:rPr>
          <w:rFonts w:ascii="Times New Roman;serif" w:hAnsi="Times New Roman;serif"/>
          <w:b w:val="false"/>
          <w:color w:val="000000"/>
          <w:sz w:val="22"/>
        </w:rPr>
        <w:t xml:space="preserve">. If for any reason the Total Revolving Outstandings at any time exceed the Revolving Facility at such time, the Borrower shall, immediately upon notice from the Administrative Agent, prepay Revolving Loans, Swingline Loans and L/C Disbursements and/or Cash Collateralize the L/C Obligations in an aggregate amount equal to such excess;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not be required to Cash Collateralize the L/C Obligations pursuant to this </w:t>
      </w:r>
      <w:r>
        <w:rPr>
          <w:rFonts w:ascii="Times New Roman;serif" w:hAnsi="Times New Roman;serif"/>
          <w:b w:val="false"/>
          <w:color w:val="000000"/>
          <w:sz w:val="22"/>
          <w:u w:val="single"/>
        </w:rPr>
        <w:t>Section 2.05(b</w:t>
      </w:r>
      <w:r>
        <w:rPr>
          <w:rFonts w:ascii="Times New Roman;serif" w:hAnsi="Times New Roman;serif"/>
          <w:b w:val="false"/>
          <w:color w:val="000000"/>
          <w:sz w:val="22"/>
        </w:rPr>
        <w:t>) unless, after the prepayment of the Revolving Loans and Swingline Loans, the Total Revolving Outstandings exceed the Revolving Facility at such time.</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Application of Other Payments</w:t>
      </w:r>
      <w:r>
        <w:rPr>
          <w:rFonts w:ascii="Times New Roman;serif" w:hAnsi="Times New Roman;serif"/>
          <w:b w:val="false"/>
          <w:color w:val="000000"/>
          <w:sz w:val="22"/>
        </w:rPr>
        <w:t xml:space="preserve">. Except as otherwise provided in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prepayments of the Revolving Facility made pursuant to this </w:t>
      </w:r>
      <w:r>
        <w:rPr>
          <w:rFonts w:ascii="Times New Roman;serif" w:hAnsi="Times New Roman;serif"/>
          <w:b w:val="false"/>
          <w:color w:val="000000"/>
          <w:sz w:val="22"/>
          <w:u w:val="single"/>
        </w:rPr>
        <w:t>Section 2.05(b</w:t>
      </w:r>
      <w:r>
        <w:rPr>
          <w:rFonts w:ascii="Times New Roman;serif" w:hAnsi="Times New Roman;serif"/>
          <w:b w:val="false"/>
          <w:color w:val="000000"/>
          <w:sz w:val="22"/>
        </w:rPr>
        <w:t xml:space="preserve">), </w:t>
      </w:r>
      <w:r>
        <w:rPr>
          <w:rFonts w:ascii="Times New Roman;serif" w:hAnsi="Times New Roman;serif"/>
          <w:b w:val="false"/>
          <w:i/>
          <w:color w:val="000000"/>
          <w:sz w:val="22"/>
          <w:u w:val="single"/>
        </w:rPr>
        <w:t>first</w:t>
      </w:r>
      <w:r>
        <w:rPr>
          <w:rFonts w:ascii="Times New Roman;serif" w:hAnsi="Times New Roman;serif"/>
          <w:b w:val="false"/>
          <w:color w:val="000000"/>
          <w:sz w:val="22"/>
        </w:rPr>
        <w:t xml:space="preserve">, shall be applied ratably to the L/C Disbursements and the Swingline Loans, </w:t>
      </w:r>
      <w:r>
        <w:rPr>
          <w:rFonts w:ascii="Times New Roman;serif" w:hAnsi="Times New Roman;serif"/>
          <w:b w:val="false"/>
          <w:i/>
          <w:color w:val="000000"/>
          <w:sz w:val="22"/>
          <w:u w:val="single"/>
        </w:rPr>
        <w:t>second</w:t>
      </w:r>
      <w:r>
        <w:rPr>
          <w:rFonts w:ascii="Times New Roman;serif" w:hAnsi="Times New Roman;serif"/>
          <w:b w:val="false"/>
          <w:color w:val="000000"/>
          <w:sz w:val="22"/>
        </w:rPr>
        <w:t xml:space="preserve">, shall be applied to the outstanding Revolving Loans, and, </w:t>
      </w:r>
      <w:r>
        <w:rPr>
          <w:rFonts w:ascii="Times New Roman;serif" w:hAnsi="Times New Roman;serif"/>
          <w:b w:val="false"/>
          <w:i/>
          <w:color w:val="000000"/>
          <w:sz w:val="22"/>
          <w:u w:val="single"/>
        </w:rPr>
        <w:t>third</w:t>
      </w:r>
      <w:r>
        <w:rPr>
          <w:rFonts w:ascii="Times New Roman;serif" w:hAnsi="Times New Roman;serif"/>
          <w:b w:val="false"/>
          <w:color w:val="000000"/>
          <w:sz w:val="22"/>
        </w:rPr>
        <w:t xml:space="preserve">, shall be used to Cash Collateralize the remaining L/C Obligations. Upon the drawing of any Letter of Credit that has been Cash Collateralized, the funds held as Cash Collateral shall be applied (without any further action by or notice to or from the Borrower or any other Loan Party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701675"/>
                <wp:effectExtent l="0" t="0" r="0" b="0"/>
                <wp:wrapNone/>
                <wp:docPr id="206" name="Frame20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or any Defaulting Lender that has provided Cash Collateral) to reimburse the applicable L/C Issuer or the Revolving Lenders,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Within the parameters of the applications set forth above, prepayments pursuant to this </w:t>
      </w:r>
      <w:r>
        <w:rPr>
          <w:rFonts w:ascii="Times New Roman;serif" w:hAnsi="Times New Roman;serif"/>
          <w:b w:val="false"/>
          <w:color w:val="000000"/>
          <w:sz w:val="22"/>
          <w:u w:val="single"/>
        </w:rPr>
        <w:t>Section 2.05(b</w:t>
      </w:r>
      <w:r>
        <w:rPr>
          <w:rFonts w:ascii="Times New Roman;serif" w:hAnsi="Times New Roman;serif"/>
          <w:b w:val="false"/>
          <w:color w:val="000000"/>
          <w:sz w:val="22"/>
        </w:rPr>
        <w:t>) shall be applied first to Base Rate Loans</w:t>
      </w:r>
      <w:r>
        <w:rPr>
          <w:color w:val="7030A0"/>
        </w:rPr>
        <w:t xml:space="preserve"> </w:t>
      </w:r>
      <w:r>
        <w:rPr>
          <w:rFonts w:ascii="Times New Roman;serif" w:hAnsi="Times New Roman;serif"/>
          <w:b w:val="false"/>
          <w:color w:val="000000"/>
          <w:sz w:val="22"/>
        </w:rPr>
        <w:t xml:space="preserve">and then to Term SOFR Loans in direct order of Interest Period maturities. All prepayments under this </w:t>
      </w:r>
      <w:r>
        <w:rPr>
          <w:rFonts w:ascii="Times New Roman;serif" w:hAnsi="Times New Roman;serif"/>
          <w:b w:val="false"/>
          <w:color w:val="000000"/>
          <w:sz w:val="22"/>
          <w:u w:val="single"/>
        </w:rPr>
        <w:t>Section 2.05(b</w:t>
      </w:r>
      <w:r>
        <w:rPr>
          <w:rFonts w:ascii="Times New Roman;serif" w:hAnsi="Times New Roman;serif"/>
          <w:b w:val="false"/>
          <w:color w:val="000000"/>
          <w:sz w:val="22"/>
        </w:rPr>
        <w:t xml:space="preserve">) shall be subject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 but otherwise without premium or penalty, and shall be accompanied by interest on the principal amount prepaid through the date of prepayment.</w:t>
      </w:r>
    </w:p>
    <w:p>
      <w:pPr>
        <w:pStyle w:val="TextBody"/>
        <w:bidi w:val="0"/>
        <w:spacing w:lineRule="auto" w:line="240" w:before="0" w:after="240"/>
        <w:ind w:left="0" w:right="0" w:firstLine="720"/>
        <w:jc w:val="both"/>
        <w:rPr/>
      </w:pPr>
      <w:r>
        <w:rPr>
          <w:rFonts w:ascii="Times New Roman;serif" w:hAnsi="Times New Roman;serif"/>
          <w:b/>
          <w:color w:val="000000"/>
          <w:sz w:val="22"/>
        </w:rPr>
        <w:t>2.06</w:t>
      </w:r>
      <w:r>
        <w:rPr>
          <w:rFonts w:ascii="Times New Roman;serif" w:hAnsi="Times New Roman;serif"/>
          <w:b/>
          <w:color w:val="000000"/>
          <w:sz w:val="22"/>
          <w:u w:val="single"/>
        </w:rPr>
        <w:t>Termination or Reduction of Commitments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Optional</w:t>
      </w:r>
      <w:r>
        <w:rPr>
          <w:rFonts w:ascii="Times New Roman;serif" w:hAnsi="Times New Roman;serif"/>
          <w:b w:val="false"/>
          <w:color w:val="000000"/>
          <w:sz w:val="22"/>
        </w:rPr>
        <w:t xml:space="preserve">. The Borrower may, upon notice to the Administrative Agent, terminate the Revolving Facility, the Letter of Credit Sublimit or the Swingline Sublimit, or from time to time permanently reduce the Revolving Facility, the Letter of Credit Sublimit or the Swingline Sublimit, without premium or penalty;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any such notice shall be received by the Administrative Agent not later than 2:00 p.m. five (5) Business Days prior to the date of termination or reduction, (ii) any such partial reduction shall be in an aggregate amount of $5,000,000 or any whole multiple of $1,000,000 in excess thereof and (iii) the Borrower shall not terminate or reduce (A) the Revolving Facility if, after giving effect thereto and to any concurrent prepayments hereunder, the Total Revolving Outstandings would exceed the Revolving Facility, (B) the Letter of Credit Sublimit if, after giving effect thereto, the Outstanding Amount of L/C Obligations not fully Cash Collateralized hereunder would exceed the Letter of Credit Sublimit, or (C) the Swingline Sublimit if, after giving effect thereto and to any concurrent prepayments hereunder, the Outstanding Amount of Swingline Loans would exceed the Letter of Credit Sublimit;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a notice of termination of commitments to result in the Facility Termination Date pursuant to this Section 2.06 may be, if expressly so stated to be, conditional upon the effectiveness of other credit facilities or the receipt of the proceeds from the issuance of other Indebtedness or the occurrence of some other identifiable and specified event or condition, in which case such notice of termination may be revoked or extended by the Borrower (by written notice to the Administrative Agent on or prior to the specified effective date of prepayment) if such event or condition is not satisfied;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the delay or failure of such contingency shall not relieve the Borrower from its obligations in respect thereof under Section 3.05.</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Mandatory</w:t>
      </w:r>
      <w:r>
        <w:rPr>
          <w:rFonts w:ascii="Times New Roman;serif" w:hAnsi="Times New Roman;serif"/>
          <w:b w:val="false"/>
          <w:color w:val="000000"/>
          <w:sz w:val="22"/>
        </w:rPr>
        <w:t xml:space="preserve">. If after giving effect to any reduction or termination of Revolving Commitments under this </w:t>
      </w:r>
      <w:r>
        <w:rPr>
          <w:rFonts w:ascii="Times New Roman;serif" w:hAnsi="Times New Roman;serif"/>
          <w:b w:val="false"/>
          <w:color w:val="000000"/>
          <w:sz w:val="22"/>
          <w:u w:val="single"/>
        </w:rPr>
        <w:t>Section 2.06</w:t>
      </w:r>
      <w:r>
        <w:rPr>
          <w:rFonts w:ascii="Times New Roman;serif" w:hAnsi="Times New Roman;serif"/>
          <w:b w:val="false"/>
          <w:color w:val="000000"/>
          <w:sz w:val="22"/>
        </w:rPr>
        <w:t>, the Letter of Credit Sublimit or the Swingline Sublimit exceeds the Revolving Facility at such time, the Letter of Credit Sublimit or the Swingline Sublimit, as the case may be, shall be automatically reduced by the amount of such excess.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Application of Commitment Reductions; Payment of Fees</w:t>
      </w:r>
      <w:r>
        <w:rPr>
          <w:rFonts w:ascii="Times New Roman;serif" w:hAnsi="Times New Roman;serif"/>
          <w:b w:val="false"/>
          <w:color w:val="000000"/>
          <w:sz w:val="22"/>
        </w:rPr>
        <w:t xml:space="preserve">. The Administrative Agent will promptly notify the Lenders of any termination or reduction of the Letter of Credit Sublimit, Swingline Sublimit or the Revolving Commitment under this </w:t>
      </w:r>
      <w:r>
        <w:rPr>
          <w:rFonts w:ascii="Times New Roman;serif" w:hAnsi="Times New Roman;serif"/>
          <w:b w:val="false"/>
          <w:color w:val="000000"/>
          <w:sz w:val="22"/>
          <w:u w:val="single"/>
        </w:rPr>
        <w:t>Section 2.06</w:t>
      </w:r>
      <w:r>
        <w:rPr>
          <w:rFonts w:ascii="Times New Roman;serif" w:hAnsi="Times New Roman;serif"/>
          <w:b w:val="false"/>
          <w:color w:val="000000"/>
          <w:sz w:val="22"/>
        </w:rPr>
        <w:t>. Upon any reduction of the Revolving Commitments, the Revolving Commitment of each Revolving Lender shall be reduced by such Lender’s Applicable Percentage of such amount reduced from the Revolving Commitments. All fees in respect of the Revolving Facility accrued until the effective date of any termination of the Revolving Facility shall be paid on the effective date of such termination.</w:t>
      </w:r>
    </w:p>
    <w:p>
      <w:pPr>
        <w:pStyle w:val="TextBody"/>
        <w:bidi w:val="0"/>
        <w:spacing w:lineRule="auto" w:line="240" w:before="0" w:after="240"/>
        <w:ind w:left="0" w:right="0" w:firstLine="720"/>
        <w:jc w:val="both"/>
        <w:rPr/>
      </w:pPr>
      <w:r>
        <w:rPr>
          <w:rFonts w:ascii="Times New Roman;serif" w:hAnsi="Times New Roman;serif"/>
          <w:b/>
          <w:color w:val="000000"/>
          <w:sz w:val="22"/>
        </w:rPr>
        <w:t>2.07</w:t>
      </w:r>
      <w:r>
        <w:rPr>
          <w:rFonts w:ascii="Times New Roman;serif" w:hAnsi="Times New Roman;serif"/>
          <w:b/>
          <w:color w:val="000000"/>
          <w:sz w:val="22"/>
          <w:u w:val="single"/>
        </w:rPr>
        <w:t>Repayment of Loans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Revolving Loans</w:t>
      </w:r>
      <w:r>
        <w:rPr>
          <w:rFonts w:ascii="Times New Roman;serif" w:hAnsi="Times New Roman;serif"/>
          <w:b w:val="false"/>
          <w:color w:val="000000"/>
          <w:sz w:val="22"/>
        </w:rPr>
        <w:t>. The Borrower shall repay to the Revolving Lenders on the Revolving Credit Termination Date for the Revolving Facility the aggregate principal amount of all Revolving Loans outstanding on such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Swingline Loans</w:t>
      </w:r>
      <w:r>
        <w:rPr>
          <w:rFonts w:ascii="Times New Roman;serif" w:hAnsi="Times New Roman;serif"/>
          <w:b w:val="false"/>
          <w:color w:val="000000"/>
          <w:sz w:val="22"/>
        </w:rPr>
        <w:t>. The Borrower shall repay each Swingline Loan on the earlier to occur of (i) the date ten (10) Business Days after such Loan is made and (ii) the Revolving Credit Termination Date for the Revolving Facility.</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701675"/>
                <wp:effectExtent l="0" t="0" r="0" b="0"/>
                <wp:wrapNone/>
                <wp:docPr id="207" name="Frame20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2.08</w:t>
      </w:r>
      <w:r>
        <w:rPr>
          <w:rFonts w:ascii="Times New Roman;serif" w:hAnsi="Times New Roman;serif"/>
          <w:b/>
          <w:color w:val="000000"/>
          <w:sz w:val="22"/>
          <w:u w:val="single"/>
        </w:rPr>
        <w:t>Interest and Default Rate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Interest</w:t>
      </w:r>
      <w:r>
        <w:rPr>
          <w:rFonts w:ascii="Times New Roman;serif" w:hAnsi="Times New Roman;serif"/>
          <w:b w:val="false"/>
          <w:color w:val="000000"/>
          <w:sz w:val="22"/>
        </w:rPr>
        <w:t xml:space="preserve">. Subject to the provisions of </w:t>
      </w:r>
      <w:r>
        <w:rPr>
          <w:rFonts w:ascii="Times New Roman;serif" w:hAnsi="Times New Roman;serif"/>
          <w:b w:val="false"/>
          <w:color w:val="000000"/>
          <w:sz w:val="22"/>
          <w:u w:val="single"/>
        </w:rPr>
        <w:t>Section 2.08(b</w:t>
      </w:r>
      <w:r>
        <w:rPr>
          <w:rFonts w:ascii="Times New Roman;serif" w:hAnsi="Times New Roman;serif"/>
          <w:b w:val="false"/>
          <w:color w:val="000000"/>
          <w:sz w:val="22"/>
        </w:rPr>
        <w:t>), (i) each Term SOFR Loan shall bear interest on the outstanding principal amount thereof for each Interest Period from the applicable Borrowing date at a rate per annum equal to Term SOFR for such Interest Period plus the Applicable Rate; (ii) each Base Rate Loan shall bear interest on the outstanding principal amount thereof from the applicable Borrowing date at a rate per annum equal to the Base Rate plus the Applicable Rate; </w:t>
      </w:r>
      <w:r>
        <w:rPr>
          <w:color w:val="7030A0"/>
        </w:rPr>
        <w:t xml:space="preserve"> </w:t>
      </w:r>
      <w:r>
        <w:rPr>
          <w:rFonts w:ascii="Times New Roman;serif" w:hAnsi="Times New Roman;serif"/>
          <w:b w:val="false"/>
          <w:color w:val="000000"/>
          <w:sz w:val="22"/>
        </w:rPr>
        <w:t>and (iii) each Swingline Loan shall bear interest on the outstanding principal amount thereof from the applicable Borrowing date at a rate per annum equal to the Base Rate plus the Applicable Rate. To the extent that any calculation of interest or any fee required to be paid under this Agreement shall be based on (or result in) a calculation that is less than zero, such calculation shall be deemed zero for purposes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Default Rate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(i)While any Event of Default of the type referred to in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8.01</w:t>
      </w:r>
      <w:r>
        <w:rPr>
          <w:color w:val="000000"/>
        </w:rPr>
        <w:t xml:space="preserve"> </w:t>
      </w:r>
      <w:r>
        <w:rPr>
          <w:rFonts w:ascii="Times New Roman;serif" w:hAnsi="Times New Roman;serif"/>
          <w:b w:val="false"/>
          <w:color w:val="000000"/>
          <w:sz w:val="22"/>
        </w:rPr>
        <w:t>exists, all outstanding Obligations (including Letter of Credit Fees) shall accrue at a fluctuating interest rate per annum at all times equal to the Default Rate to the fullest extent permitted by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(ii)With respect to any other</w:t>
      </w:r>
      <w:r>
        <w:rPr>
          <w:color w:val="000000"/>
        </w:rPr>
        <w:t xml:space="preserve"> </w:t>
      </w:r>
      <w:r>
        <w:rPr>
          <w:rFonts w:ascii="Times New Roman;serif" w:hAnsi="Times New Roman;serif"/>
          <w:b w:val="false"/>
          <w:color w:val="000000"/>
          <w:sz w:val="22"/>
        </w:rPr>
        <w:t>Event of Default, at the election of the Required Lenders (or the Administrative Agent at the direction of the Required Lenders), while any such Event of Default exists and is continuing, all outstanding Obligations (including Letter of Credit Fees) shall accrue at a fluctuating interest rate per annum at all times equal to the Default Rate to the fullest extent permitted by Applicable Laws.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(iii)Accrued and unpaid interest on past due amounts (including interest on past due interest) shall be due and payable upon demand.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Interest Payments</w:t>
      </w:r>
      <w:r>
        <w:rPr>
          <w:rFonts w:ascii="Times New Roman;serif" w:hAnsi="Times New Roman;serif"/>
          <w:b w:val="false"/>
          <w:color w:val="000000"/>
          <w:sz w:val="22"/>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lineRule="auto" w:line="240" w:before="0" w:after="240"/>
        <w:ind w:left="0" w:right="0" w:firstLine="720"/>
        <w:jc w:val="both"/>
        <w:rPr/>
      </w:pPr>
      <w:r>
        <w:rPr>
          <w:rFonts w:ascii="Times New Roman;serif" w:hAnsi="Times New Roman;serif"/>
          <w:b/>
          <w:color w:val="000000"/>
          <w:sz w:val="22"/>
        </w:rPr>
        <w:t>2.09</w:t>
      </w:r>
      <w:r>
        <w:rPr>
          <w:rFonts w:ascii="Times New Roman;serif" w:hAnsi="Times New Roman;serif"/>
          <w:b/>
          <w:color w:val="000000"/>
          <w:sz w:val="22"/>
          <w:u w:val="single"/>
        </w:rPr>
        <w:t>Fees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In addition to certain fees described in </w:t>
      </w:r>
      <w:r>
        <w:rPr>
          <w:rFonts w:ascii="Times New Roman;serif" w:hAnsi="Times New Roman;serif"/>
          <w:b w:val="false"/>
          <w:color w:val="000000"/>
          <w:sz w:val="22"/>
          <w:u w:val="single"/>
        </w:rPr>
        <w:t>Section 2.03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Commitment Fee</w:t>
      </w:r>
      <w:r>
        <w:rPr>
          <w:rFonts w:ascii="Times New Roman;serif" w:hAnsi="Times New Roman;serif"/>
          <w:b w:val="false"/>
          <w:color w:val="000000"/>
          <w:sz w:val="22"/>
        </w:rPr>
        <w:t xml:space="preserve">. The Borrower shall pay to the Administrative Agent for the account of each Revolving Lender in accordance with its Applicable Percentage, a commitment fee equal to the Applicable Rate </w:t>
      </w:r>
      <w:r>
        <w:rPr>
          <w:rFonts w:ascii="Times New Roman;serif" w:hAnsi="Times New Roman;serif"/>
          <w:b w:val="false"/>
          <w:i/>
          <w:color w:val="000000"/>
          <w:sz w:val="22"/>
        </w:rPr>
        <w:t>times</w:t>
      </w:r>
      <w:r>
        <w:rPr>
          <w:color w:val="000000"/>
        </w:rPr>
        <w:t xml:space="preserve"> </w:t>
      </w:r>
      <w:r>
        <w:rPr>
          <w:rFonts w:ascii="Times New Roman;serif" w:hAnsi="Times New Roman;serif"/>
          <w:b w:val="false"/>
          <w:color w:val="000000"/>
          <w:sz w:val="22"/>
        </w:rPr>
        <w:t xml:space="preserve">the actual daily amount by which the Revolving Facility exceeds the </w:t>
      </w:r>
      <w:r>
        <w:rPr>
          <w:rFonts w:ascii="Times New Roman;serif" w:hAnsi="Times New Roman;serif"/>
          <w:b w:val="false"/>
          <w:i/>
          <w:color w:val="000000"/>
          <w:sz w:val="22"/>
        </w:rPr>
        <w:t>sum of</w:t>
      </w:r>
      <w:r>
        <w:rPr>
          <w:color w:val="000000"/>
        </w:rPr>
        <w:t xml:space="preserve"> </w:t>
      </w:r>
      <w:r>
        <w:rPr>
          <w:rFonts w:ascii="Times New Roman;serif" w:hAnsi="Times New Roman;serif"/>
          <w:b w:val="false"/>
          <w:color w:val="000000"/>
          <w:sz w:val="22"/>
        </w:rPr>
        <w:t xml:space="preserve">(i) the Outstanding Amount of Revolving Loans </w:t>
      </w:r>
      <w:r>
        <w:rPr>
          <w:rFonts w:ascii="Times New Roman;serif" w:hAnsi="Times New Roman;serif"/>
          <w:b w:val="false"/>
          <w:color w:val="000000"/>
          <w:sz w:val="22"/>
          <w:u w:val="single"/>
        </w:rPr>
        <w:t>and</w:t>
      </w:r>
      <w:r>
        <w:rPr>
          <w:color w:val="000000"/>
        </w:rPr>
        <w:t xml:space="preserve"> </w:t>
      </w:r>
      <w:r>
        <w:rPr>
          <w:rFonts w:ascii="Times New Roman;serif" w:hAnsi="Times New Roman;serif"/>
          <w:b w:val="false"/>
          <w:color w:val="000000"/>
          <w:sz w:val="22"/>
        </w:rPr>
        <w:t xml:space="preserve">(ii) the Outstanding Amount of L/C Obligations, subject to adjustment as provided in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For the avoidance of doubt, the Outstanding Amount of Swingline Loans shall not be counted towards or considered usage of the Revolving Facility for purposes of determining the commitment fee. The commitment fee shall accrue at all times during the Availability Period, including at any time during which one or more of the conditions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is not met, and shall be due and payable quarterly in arrears on the last Business Day of each March, June, September and December, commencing with the first such date to occur</w:t>
      </w:r>
      <w:r>
        <w:rPr>
          <w:color w:val="000000"/>
        </w:rPr>
        <w:t xml:space="preserve"> </w:t>
      </w:r>
      <w:r>
        <w:rPr>
          <w:rFonts w:ascii="Times New Roman;serif" w:hAnsi="Times New Roman;serif"/>
          <w:b w:val="false"/>
          <w:color w:val="000000"/>
          <w:sz w:val="22"/>
        </w:rPr>
        <w:t>after the Closing Date, and on the Revolving Credit Termination Date.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701675"/>
                <wp:effectExtent l="0" t="0" r="0" b="0"/>
                <wp:wrapNone/>
                <wp:docPr id="208" name="Frame20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Other Fees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(i)The Borrower shall pay to the Administrative Agent and the Lead Arranger for its own account fees in the amounts and at the times specified in the Fee Letter. Such fees shall be fully earned when paid and shall not be refundable for any reason whatsoever.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Borrower shall pay to the Lenders such fees as shall have been separately agreed upon in writing in the amounts and at the times so specified. Such fees shall be fully earned when paid and shall not be refundable for any reason whatsoever.</w:t>
      </w:r>
    </w:p>
    <w:p>
      <w:pPr>
        <w:pStyle w:val="TextBody"/>
        <w:bidi w:val="0"/>
        <w:spacing w:lineRule="auto" w:line="240" w:before="0" w:after="240"/>
        <w:ind w:left="0" w:right="0" w:firstLine="720"/>
        <w:jc w:val="both"/>
        <w:rPr/>
      </w:pPr>
      <w:r>
        <w:rPr>
          <w:rFonts w:ascii="Times New Roman;serif" w:hAnsi="Times New Roman;serif"/>
          <w:b/>
          <w:color w:val="000000"/>
          <w:sz w:val="22"/>
        </w:rPr>
        <w:t>2.10</w:t>
      </w:r>
      <w:r>
        <w:rPr>
          <w:rFonts w:ascii="Times New Roman;serif" w:hAnsi="Times New Roman;serif"/>
          <w:b/>
          <w:color w:val="000000"/>
          <w:sz w:val="22"/>
          <w:u w:val="single"/>
        </w:rPr>
        <w:t>Computation of Interest and Fees</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Retroactive Adjustments of Applicable Rate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Computation of Interest and Fees</w:t>
      </w:r>
      <w:r>
        <w:rPr>
          <w:rFonts w:ascii="Times New Roman;serif" w:hAnsi="Times New Roman;serif"/>
          <w:b w:val="false"/>
          <w:color w:val="000000"/>
          <w:sz w:val="22"/>
        </w:rPr>
        <w:t xml:space="preserve">. All computations of interest for Base Rate Loans (including Base Rate Loans determined by reference to the Term SOFR) shall be made on the basis of a year of 365 or 366 days, as the case may be, and actual days elapsed. All other computations of fees and interest shall be made on the basis of a three hundred sixty (360) day year and actual days elapsed (which results in more fees or interest, as applicable, being paid than if computed on the basis of a 365 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Times New Roman;serif" w:hAnsi="Times New Roman;serif"/>
          <w:b w:val="false"/>
          <w:color w:val="000000"/>
          <w:sz w:val="22"/>
          <w:u w:val="single"/>
        </w:rPr>
        <w:t>Section 2.12(a</w:t>
      </w:r>
      <w:r>
        <w:rPr>
          <w:rFonts w:ascii="Times New Roman;serif" w:hAnsi="Times New Roman;serif"/>
          <w:b w:val="false"/>
          <w:color w:val="000000"/>
          <w:sz w:val="22"/>
        </w:rPr>
        <w:t>), bear interest for one (1) day. Each determination by the Administrative Agent of an interest rate or fee hereunder shall be conclusive and binding for all purposes,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Financial Statement Adjustments or Restatements</w:t>
      </w:r>
      <w:r>
        <w:rPr>
          <w:rFonts w:ascii="Times New Roman;serif" w:hAnsi="Times New Roman;serif"/>
          <w:b w:val="false"/>
          <w:color w:val="000000"/>
          <w:sz w:val="22"/>
        </w:rPr>
        <w:t xml:space="preserve">. If, as a result of any restatement of or other adjustment to the financial statements of the Combined Group or for any other reason, the Borrower, or the Lenders determine that (i) the Consolidated Senior Secured Leverage Ratio as calculated by the Borrower as of any applicable date was inaccurate and (ii) a proper calculation of the Consolidated Senior Secured Leverage Ratio would have resulted in higher pricing for such period, the Borrower shall immediately and retroactively be obligated to pay to the Administrative Agent for the account of the applicable Lenders or the applicable L/C Issuer, as the case may be, within three (3) Business Days upon the written request, setting forth reasonably detailed calculation, by the Administrative Agent (or, upon the occurrence of any Event of Default with respect to the Borrower, Holdings, Intermediate Holdings or Parent described in </w:t>
      </w:r>
      <w:r>
        <w:rPr>
          <w:rFonts w:ascii="Times New Roman;serif" w:hAnsi="Times New Roman;serif"/>
          <w:b w:val="false"/>
          <w:color w:val="000000"/>
          <w:sz w:val="22"/>
          <w:u w:val="single"/>
        </w:rPr>
        <w:t>clause (f)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8.01</w:t>
      </w:r>
      <w:r>
        <w:rPr>
          <w:rFonts w:ascii="Times New Roman;serif" w:hAnsi="Times New Roman;serif"/>
          <w:b w:val="false"/>
          <w:color w:val="000000"/>
          <w:sz w:val="22"/>
        </w:rPr>
        <w:t xml:space="preserve">, automatically and without further action by the Administrative Agent, any Lender or any L/C Issuer), an amount equal to the excess of the amount of interest and fees that should have been paid for such period over the amount of interest and fees actually paid for such period. This clause (b) shall not limit the rights of the Administrative Agent, any Lender or any L/C Issuer, as the case may be, under any provision of this Agreement to payment of any Obligations hereunder at the Default Rate or under Article VIII. The Borrower’s obligations under this </w:t>
      </w:r>
      <w:r>
        <w:rPr>
          <w:rFonts w:ascii="Times New Roman;serif" w:hAnsi="Times New Roman;serif"/>
          <w:b w:val="false"/>
          <w:color w:val="000000"/>
          <w:sz w:val="22"/>
          <w:u w:val="single"/>
        </w:rPr>
        <w:t>clause (b</w:t>
      </w:r>
      <w:r>
        <w:rPr>
          <w:rFonts w:ascii="Times New Roman;serif" w:hAnsi="Times New Roman;serif"/>
          <w:b w:val="false"/>
          <w:color w:val="000000"/>
          <w:sz w:val="22"/>
        </w:rPr>
        <w:t>) shall survive the termination of the Aggregate Commitments and the repayment of all other Obligations hereunder.</w:t>
      </w:r>
    </w:p>
    <w:p>
      <w:pPr>
        <w:pStyle w:val="TextBody"/>
        <w:bidi w:val="0"/>
        <w:spacing w:lineRule="auto" w:line="240" w:before="0" w:after="240"/>
        <w:ind w:left="0" w:right="0" w:firstLine="720"/>
        <w:jc w:val="both"/>
        <w:rPr/>
      </w:pPr>
      <w:r>
        <w:rPr>
          <w:rFonts w:ascii="Times New Roman;serif" w:hAnsi="Times New Roman;serif"/>
          <w:b/>
          <w:color w:val="000000"/>
          <w:sz w:val="22"/>
        </w:rPr>
        <w:t>2.11</w:t>
      </w:r>
      <w:r>
        <w:rPr>
          <w:rFonts w:ascii="Times New Roman;serif" w:hAnsi="Times New Roman;serif"/>
          <w:b/>
          <w:color w:val="000000"/>
          <w:sz w:val="22"/>
          <w:u w:val="single"/>
        </w:rPr>
        <w:t>Evidence of Debt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Maintenance of Accounts</w:t>
      </w:r>
      <w:r>
        <w:rPr>
          <w:rFonts w:ascii="Times New Roman;serif" w:hAnsi="Times New Roman;serif"/>
          <w:b w:val="false"/>
          <w:color w:val="000000"/>
          <w:sz w:val="22"/>
        </w:rPr>
        <w:t xml:space="preserve">. The Credit Extensions made by each Lender shall be evidenced by one or more accounts or records maintained by such Lender in the ordinary course of business. The Administrative Agent shall maintain the Register in accordance with </w:t>
      </w:r>
      <w:r>
        <w:rPr>
          <w:rFonts w:ascii="Times New Roman;serif" w:hAnsi="Times New Roman;serif"/>
          <w:b w:val="false"/>
          <w:color w:val="000000"/>
          <w:sz w:val="22"/>
          <w:u w:val="single"/>
        </w:rPr>
        <w:t>Section 11.06(c</w:t>
      </w:r>
      <w:r>
        <w:rPr>
          <w:rFonts w:ascii="Times New Roman;serif" w:hAnsi="Times New Roman;serif"/>
          <w:b w:val="false"/>
          <w:color w:val="000000"/>
          <w:sz w:val="22"/>
        </w:rPr>
        <w:t xml:space="preserve">).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Note, which shall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701675"/>
                <wp:effectExtent l="0" t="0" r="0" b="0"/>
                <wp:wrapNone/>
                <wp:docPr id="209" name="Frame20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evidence such Lender’s Loans in addition to such accounts or records. Each Lender may attach schedules to its Note and endorse thereon the date, Type (if applicable), amount and maturity of its Loans and payments with respect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Maintenance of Records</w:t>
      </w:r>
      <w:r>
        <w:rPr>
          <w:rFonts w:ascii="Times New Roman;serif" w:hAnsi="Times New Roman;serif"/>
          <w:b w:val="false"/>
          <w:color w:val="000000"/>
          <w:sz w:val="22"/>
        </w:rPr>
        <w:t xml:space="preserve">. In addition to the accounts and records referred to in </w:t>
      </w:r>
      <w:r>
        <w:rPr>
          <w:rFonts w:ascii="Times New Roman;serif" w:hAnsi="Times New Roman;serif"/>
          <w:b w:val="false"/>
          <w:color w:val="000000"/>
          <w:sz w:val="22"/>
          <w:u w:val="single"/>
        </w:rPr>
        <w:t>Section 2.11(a</w:t>
      </w:r>
      <w:r>
        <w:rPr>
          <w:rFonts w:ascii="Times New Roman;serif" w:hAnsi="Times New Roman;serif"/>
          <w:b w:val="false"/>
          <w:color w:val="000000"/>
          <w:sz w:val="22"/>
        </w:rPr>
        <w:t>),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lineRule="auto" w:line="240" w:before="0" w:after="240"/>
        <w:ind w:left="0" w:right="0" w:firstLine="720"/>
        <w:jc w:val="both"/>
        <w:rPr/>
      </w:pPr>
      <w:r>
        <w:rPr>
          <w:rFonts w:ascii="Times New Roman;serif" w:hAnsi="Times New Roman;serif"/>
          <w:b/>
          <w:color w:val="000000"/>
          <w:sz w:val="22"/>
        </w:rPr>
        <w:t>2.12</w:t>
      </w:r>
      <w:r>
        <w:rPr>
          <w:rFonts w:ascii="Times New Roman;serif" w:hAnsi="Times New Roman;serif"/>
          <w:b/>
          <w:color w:val="000000"/>
          <w:sz w:val="22"/>
          <w:u w:val="single"/>
        </w:rPr>
        <w:t>Payments Generally</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Administrative Agent</w:t>
      </w:r>
      <w:r>
        <w:rPr>
          <w:color w:val="000000"/>
          <w:u w:val="single"/>
        </w:rPr>
        <w:t>’</w:t>
      </w:r>
      <w:r>
        <w:rPr>
          <w:rFonts w:ascii="Times New Roman;serif" w:hAnsi="Times New Roman;serif"/>
          <w:b/>
          <w:color w:val="000000"/>
          <w:sz w:val="22"/>
          <w:u w:val="single"/>
        </w:rPr>
        <w:t>s Clawback</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w:t>
      </w:r>
      <w:r>
        <w:rPr>
          <w:rFonts w:ascii="Times New Roman;serif" w:hAnsi="Times New Roman;serif"/>
          <w:b w:val="false"/>
          <w:color w:val="000000"/>
          <w:sz w:val="22"/>
        </w:rPr>
        <w:t>. All payments to be made by the Loan Parties shall be made free and clear of and without condition or deduction for any counterclaim, defense, recoupment or setoff. Except as otherwise expressly provided herein, all payments by the Loan Parties hereunder shall be made to the Administrative Agent, for the account of the respective Lenders to which such payment is owed, at the Administrative Agent’s Office in Dollars and in immediately available funds not later than 3:00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3:00 p.m.</w:t>
      </w:r>
      <w:r>
        <w:rPr>
          <w:color w:val="000000"/>
        </w:rPr>
        <w:t xml:space="preserve"> </w:t>
      </w:r>
      <w:r>
        <w:rPr>
          <w:rFonts w:ascii="Times New Roman;serif" w:hAnsi="Times New Roman;serif"/>
          <w:b w:val="false"/>
          <w:color w:val="000000"/>
          <w:sz w:val="22"/>
        </w:rPr>
        <w:t>shall be deemed received on the next succeeding Business Day and any applicable interest or fee shall continue to accrue. Except as otherwise specifically provided for in this Agreement, if any payment to be made by any Loan Party shall come due on a day other than a Business Day, payment shall be made on the next following Business Day, and such extension of time shall be reflected in computing interest or fees,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2"/>
        </w:rPr>
        <w:t>(b)(i)    </w:t>
      </w:r>
      <w:r>
        <w:rPr>
          <w:rFonts w:ascii="Times New Roman;serif" w:hAnsi="Times New Roman;serif"/>
          <w:b w:val="false"/>
          <w:color w:val="000000"/>
          <w:sz w:val="22"/>
          <w:u w:val="single"/>
        </w:rPr>
        <w:t>Funding by Lenders; Presumption by Administrative Agent</w:t>
      </w:r>
      <w:r>
        <w:rPr>
          <w:rFonts w:ascii="Times New Roman;serif" w:hAnsi="Times New Roman;serif"/>
          <w:b w:val="false"/>
          <w:color w:val="000000"/>
          <w:sz w:val="22"/>
        </w:rPr>
        <w:t xml:space="preserve">. Unless the Administrative Agent shall have received notice from a Lender prior to the proposed date of any Borrowing of Term SOFR Loans (or, in the case of any Borrowing of Base Rate Loans, prior to 1:00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(or, in the case of a Borrowing of Base Rate Loans, that such Lender has made such share available in accordance with and at the time required by </w:t>
      </w:r>
      <w:r>
        <w:rPr>
          <w:rFonts w:ascii="Times New Roman;serif" w:hAnsi="Times New Roman;serif"/>
          <w:b w:val="false"/>
          <w:color w:val="000000"/>
          <w:sz w:val="22"/>
          <w:u w:val="single"/>
        </w:rPr>
        <w:t>Section 2.02</w:t>
      </w:r>
      <w:r>
        <w:rPr>
          <w:rFonts w:ascii="Times New Roman;serif" w:hAnsi="Times New Roman;serif"/>
          <w:b w:val="false"/>
          <w:color w:val="000000"/>
          <w:sz w:val="22"/>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Payments by Borrower; Presumptions by Administrative Agent</w:t>
      </w:r>
      <w:r>
        <w:rPr>
          <w:rFonts w:ascii="Times New Roman;serif" w:hAnsi="Times New Roman;serif"/>
          <w:b w:val="false"/>
          <w:color w:val="000000"/>
          <w:sz w:val="22"/>
        </w:rPr>
        <w:t xml:space="preserve">. Unless the Administrative Agent shall have received notice from the Borrower prior to the date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701675"/>
                <wp:effectExtent l="0" t="0" r="0" b="0"/>
                <wp:wrapNone/>
                <wp:docPr id="210" name="Frame20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on which any payment is due to the Administrative Agent for the account of the Lenders or any L/C Issuer hereunder that the Borrower will not make such payment, the Administrative Agent may assume that the Borrower has made such payment on such date in accordance herewith and may, in reliance upon such assumption, distribute to the Appropriate Lenders or the applicable L/C Issuer, as the case may be, the amount due. 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Times New Roman;serif" w:hAnsi="Times New Roman;serif"/>
          <w:b w:val="false"/>
          <w:i/>
          <w:color w:val="000000"/>
          <w:sz w:val="22"/>
          <w:u w:val="single"/>
        </w:rPr>
        <w:t>Rescindable Amount</w:t>
      </w:r>
      <w:r>
        <w:rPr>
          <w:color w:val="000000"/>
        </w:rPr>
        <w:t>”</w:t>
      </w:r>
      <w:r>
        <w:rPr>
          <w:rFonts w:ascii="Times New Roman;serif" w:hAnsi="Times New Roman;serif"/>
          <w:b w:val="false"/>
          <w:color w:val="000000"/>
          <w:sz w:val="22"/>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Appropriate Lenders or the applicable L/C Issuer, as the case may be, severally agrees to repay to the Administrative Agent forthwith on demand the Rescindable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notice of the Administrative Agent to any Lender or the Borrower with respect to any amount owing under this </w:t>
      </w:r>
      <w:r>
        <w:rPr>
          <w:rFonts w:ascii="Times New Roman;serif" w:hAnsi="Times New Roman;serif"/>
          <w:b w:val="false"/>
          <w:color w:val="000000"/>
          <w:sz w:val="22"/>
          <w:u w:val="single"/>
        </w:rPr>
        <w:t>clause (b</w:t>
      </w:r>
      <w:r>
        <w:rPr>
          <w:rFonts w:ascii="Times New Roman;serif" w:hAnsi="Times New Roman;serif"/>
          <w:b w:val="false"/>
          <w:color w:val="000000"/>
          <w:sz w:val="22"/>
        </w:rPr>
        <w:t>) 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Failure to Satisfy Conditions Precedent</w:t>
      </w:r>
      <w:r>
        <w:rPr>
          <w:rFonts w:ascii="Times New Roman;serif" w:hAnsi="Times New Roman;serif"/>
          <w:b w:val="false"/>
          <w:color w:val="000000"/>
          <w:sz w:val="22"/>
        </w:rPr>
        <w:t xml:space="preserve">. If any Lender makes available to the Administrative Agent funds for any Loan to be made by such Lender as provided in the foregoing provisions of this </w:t>
      </w:r>
      <w:r>
        <w:rPr>
          <w:rFonts w:ascii="Times New Roman;serif" w:hAnsi="Times New Roman;serif"/>
          <w:b w:val="false"/>
          <w:color w:val="000000"/>
          <w:sz w:val="22"/>
          <w:u w:val="single"/>
        </w:rPr>
        <w:t>Article II</w:t>
      </w:r>
      <w:r>
        <w:rPr>
          <w:rFonts w:ascii="Times New Roman;serif" w:hAnsi="Times New Roman;serif"/>
          <w:b w:val="false"/>
          <w:color w:val="000000"/>
          <w:sz w:val="22"/>
        </w:rPr>
        <w:t xml:space="preserve">, and such funds are not made available to the Borrower by the Administrative Agent because the conditions to the applicable Credit Extension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are not satisfied or waived in accordance with the terms hereof, the Administrative Agent shall return such funds (in like funds as received from such Lender) to such Lender, without interest.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Obligations of Lenders Several</w:t>
      </w:r>
      <w:r>
        <w:rPr>
          <w:rFonts w:ascii="Times New Roman;serif" w:hAnsi="Times New Roman;serif"/>
          <w:b w:val="false"/>
          <w:color w:val="000000"/>
          <w:sz w:val="22"/>
        </w:rPr>
        <w:t xml:space="preserve">. The obligations of the Lenders hereunder to make Revolving Loans, to fund participations in Letters of Credit and Swingline Loans and to make payments pursuant to </w:t>
      </w:r>
      <w:r>
        <w:rPr>
          <w:rFonts w:ascii="Times New Roman;serif" w:hAnsi="Times New Roman;serif"/>
          <w:b w:val="false"/>
          <w:color w:val="000000"/>
          <w:sz w:val="22"/>
          <w:u w:val="single"/>
        </w:rPr>
        <w:t>Section 11.04(c</w:t>
      </w:r>
      <w:r>
        <w:rPr>
          <w:rFonts w:ascii="Times New Roman;serif" w:hAnsi="Times New Roman;serif"/>
          <w:b w:val="false"/>
          <w:color w:val="000000"/>
          <w:sz w:val="22"/>
        </w:rPr>
        <w:t xml:space="preserve">) are several and not joint. The failure of any Lender to make any Loan, to fund any such participation or to make any payment under </w:t>
      </w:r>
      <w:r>
        <w:rPr>
          <w:rFonts w:ascii="Times New Roman;serif" w:hAnsi="Times New Roman;serif"/>
          <w:b w:val="false"/>
          <w:color w:val="000000"/>
          <w:sz w:val="22"/>
          <w:u w:val="single"/>
        </w:rPr>
        <w:t>Section 11.04(c</w:t>
      </w:r>
      <w:r>
        <w:rPr>
          <w:rFonts w:ascii="Times New Roman;serif" w:hAnsi="Times New Roman;serif"/>
          <w:b w:val="false"/>
          <w:color w:val="000000"/>
          <w:sz w:val="22"/>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serif" w:hAnsi="Times New Roman;serif"/>
          <w:b w:val="false"/>
          <w:color w:val="000000"/>
          <w:sz w:val="22"/>
          <w:u w:val="single"/>
        </w:rPr>
        <w:t>Section 11.04(c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Funding Source</w:t>
      </w:r>
      <w:r>
        <w:rPr>
          <w:rFonts w:ascii="Times New Roman;serif" w:hAnsi="Times New Roman;serif"/>
          <w:b w:val="false"/>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Pro Rata Treatment</w:t>
      </w:r>
      <w:r>
        <w:rPr>
          <w:rFonts w:ascii="Times New Roman;serif" w:hAnsi="Times New Roman;serif"/>
          <w:b w:val="false"/>
          <w:color w:val="000000"/>
          <w:sz w:val="22"/>
        </w:rPr>
        <w:t xml:space="preserve">. Except to the extent otherwise provided herein: (i) each Borrowing (other than Swingline Borrowings) shall be made from the Appropriate Lenders, each payment of fees under </w:t>
      </w:r>
      <w:r>
        <w:rPr>
          <w:rFonts w:ascii="Times New Roman;serif" w:hAnsi="Times New Roman;serif"/>
          <w:b w:val="false"/>
          <w:color w:val="000000"/>
          <w:sz w:val="22"/>
          <w:u w:val="single"/>
        </w:rPr>
        <w:t>Section 2.09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2.03</w:t>
      </w:r>
      <w:r>
        <w:rPr>
          <w:color w:val="000000"/>
        </w:rPr>
        <w:t xml:space="preserve"> </w:t>
      </w:r>
      <w:r>
        <w:rPr>
          <w:rFonts w:ascii="Times New Roman;serif" w:hAnsi="Times New Roman;serif"/>
          <w:b w:val="false"/>
          <w:color w:val="000000"/>
          <w:sz w:val="22"/>
        </w:rPr>
        <w:t xml:space="preserve">shall be made for account of the Appropriate Lenders, and each termination or reduction of the amount of the Commitments shall be applied to the respective Commitments of the Lenders, pro rata according to the amounts of their respective Commitments; (ii) each Borrowing shall be allocated pro rata among the Lenders according to the amounts of their respective Commitments (in the case of the making of Revolving Loans) or their respective Loans that are to be included in such Borrowing (in the case of conversions and continuations of Loans); (iii) each payment or prepayment of principal of Loans by the Borrower shall be made for account of the Appropriate Lenders pro rata in accordance with the respective unpaid principal amounts of the Loans held by them; and (iv) each payment of interest on Loans by the Borrower shall be made for account of the Appropriate Lenders pro rata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701675"/>
                <wp:effectExtent l="0" t="0" r="0" b="0"/>
                <wp:wrapNone/>
                <wp:docPr id="211" name="Frame21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with the amounts of interest on such Loans then due and payable to the respective Appropriate Lenders.</w:t>
      </w:r>
    </w:p>
    <w:p>
      <w:pPr>
        <w:pStyle w:val="TextBody"/>
        <w:bidi w:val="0"/>
        <w:spacing w:lineRule="auto" w:line="240" w:before="0" w:after="240"/>
        <w:ind w:left="0" w:right="0" w:firstLine="720"/>
        <w:jc w:val="both"/>
        <w:rPr/>
      </w:pPr>
      <w:r>
        <w:rPr>
          <w:rFonts w:ascii="Times New Roman;serif" w:hAnsi="Times New Roman;serif"/>
          <w:b/>
          <w:color w:val="000000"/>
          <w:sz w:val="22"/>
        </w:rPr>
        <w:t>2.13</w:t>
      </w:r>
      <w:r>
        <w:rPr>
          <w:rFonts w:ascii="Times New Roman;serif" w:hAnsi="Times New Roman;serif"/>
          <w:b/>
          <w:color w:val="000000"/>
          <w:sz w:val="22"/>
          <w:u w:val="single"/>
        </w:rPr>
        <w:t>Sharing of Payments by Lenders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Documents at such time) of payments on account of the Obligations owing (but not due and payable) to all Lenders hereunder and under the other Loan Documents at such time obtained by all of the Lenders at such time, then, in each case under </w:t>
      </w:r>
      <w:r>
        <w:rPr>
          <w:rFonts w:ascii="Times New Roman;serif" w:hAnsi="Times New Roman;serif"/>
          <w:b w:val="false"/>
          <w:color w:val="000000"/>
          <w:sz w:val="22"/>
          <w:u w:val="single"/>
        </w:rPr>
        <w:t>clauses (a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above,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(ii)the provisions of this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shall not be construed to apply to (A) any payment made by or on behalf of the Borrower pursuant to and in accordance with the express terms of this Agreement (including the application of funds arising from the existence of a Defaulting Lender or a Disqualified Lender), (B) the application of Cash Collateral provided for in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or (C)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shall apply).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pStyle w:val="TextBody"/>
        <w:bidi w:val="0"/>
        <w:spacing w:lineRule="auto" w:line="240" w:before="0" w:after="240"/>
        <w:ind w:left="0" w:right="0" w:firstLine="720"/>
        <w:jc w:val="both"/>
        <w:rPr/>
      </w:pPr>
      <w:r>
        <w:rPr>
          <w:rFonts w:ascii="Times New Roman;serif" w:hAnsi="Times New Roman;serif"/>
          <w:b/>
          <w:color w:val="000000"/>
          <w:sz w:val="22"/>
        </w:rPr>
        <w:t>2.14</w:t>
      </w:r>
      <w:r>
        <w:rPr>
          <w:rFonts w:ascii="Times New Roman;serif" w:hAnsi="Times New Roman;serif"/>
          <w:b/>
          <w:color w:val="000000"/>
          <w:sz w:val="22"/>
          <w:u w:val="single"/>
        </w:rPr>
        <w:t>Cash Collateral</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Obligation to Cash Collateralize</w:t>
      </w:r>
      <w:r>
        <w:rPr>
          <w:rFonts w:ascii="Times New Roman;serif" w:hAnsi="Times New Roman;serif"/>
          <w:b w:val="false"/>
          <w:color w:val="000000"/>
          <w:sz w:val="22"/>
        </w:rPr>
        <w:t xml:space="preserve">. At any time there shall exist a Defaulting Lender, within one (1) Business Day following the written request of the Administrative Agent, or any L/C Issuer (with a copy to the Administrative Agent) or the Swingline Lender (with a copy to the Administrative Agent), the Borrower shall Cash Collateralize the L/C Issuers’ or the Swingline Lender’s, as applicable, Fronting Exposure with respect to such Defaulting Lender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701675"/>
                <wp:effectExtent l="0" t="0" r="0" b="0"/>
                <wp:wrapNone/>
                <wp:docPr id="212" name="Frame21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(determined after giving effect to </w:t>
      </w:r>
      <w:r>
        <w:rPr>
          <w:rFonts w:ascii="Times New Roman;serif" w:hAnsi="Times New Roman;serif"/>
          <w:b w:val="false"/>
          <w:color w:val="000000"/>
          <w:sz w:val="22"/>
          <w:u w:val="single"/>
        </w:rPr>
        <w:t>Section 2.15(a)(iv</w:t>
      </w:r>
      <w:r>
        <w:rPr>
          <w:rFonts w:ascii="Times New Roman;serif" w:hAnsi="Times New Roman;serif"/>
          <w:b w:val="false"/>
          <w:color w:val="000000"/>
          <w:sz w:val="22"/>
        </w:rPr>
        <w:t xml:space="preserve">) and any Cash Collateral provided by such Defaulting Lender) in an amount not less than the Minimum Collateral Amount.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Grant of Security Interest</w:t>
      </w:r>
      <w:r>
        <w:rPr>
          <w:rFonts w:ascii="Times New Roman;serif" w:hAnsi="Times New Roman;serif"/>
          <w:b w:val="false"/>
          <w:color w:val="000000"/>
          <w:sz w:val="22"/>
        </w:rPr>
        <w:t xml:space="preserve">. The Borrower, and to the extent provided by any Defaulting Lender, such Defaulting Lender, hereby grants to (and subjects to the control of) the Administrative Agent, for the benefit of the Administrative Agent, the L/C Issuers, the Swingline Lender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serif" w:hAnsi="Times New Roman;serif"/>
          <w:b w:val="false"/>
          <w:color w:val="000000"/>
          <w:sz w:val="22"/>
          <w:u w:val="single"/>
        </w:rPr>
        <w:t>Section 2.14(c</w:t>
      </w:r>
      <w:r>
        <w:rPr>
          <w:rFonts w:ascii="Times New Roman;serif" w:hAnsi="Times New Roman;serif"/>
          <w:b w:val="false"/>
          <w:color w:val="000000"/>
          <w:sz w:val="22"/>
        </w:rPr>
        <w:t xml:space="preserve">). If at any time the Administrative Agent determines that Cash Collateral is subject to any right or claim of any Person other than the Administrative Agent, the Swingline Lender or the applicable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Times New Roman;serif" w:hAnsi="Times New Roman;serif"/>
          <w:b w:val="false"/>
          <w:color w:val="000000"/>
          <w:sz w:val="22"/>
          <w:u w:val="single"/>
        </w:rPr>
        <w:t>Section 2.15(a)(v</w:t>
      </w:r>
      <w:r>
        <w:rPr>
          <w:rFonts w:ascii="Times New Roman;serif" w:hAnsi="Times New Roman;serif"/>
          <w:b w:val="false"/>
          <w:color w:val="000000"/>
          <w:sz w:val="22"/>
        </w:rPr>
        <w:t xml:space="preserve">), after giving effect to </w:t>
      </w:r>
      <w:r>
        <w:rPr>
          <w:rFonts w:ascii="Times New Roman;serif" w:hAnsi="Times New Roman;serif"/>
          <w:b w:val="false"/>
          <w:color w:val="000000"/>
          <w:sz w:val="22"/>
          <w:u w:val="single"/>
        </w:rPr>
        <w:t>Section 2.15(a)(iv</w:t>
      </w:r>
      <w:r>
        <w:rPr>
          <w:rFonts w:ascii="Times New Roman;serif" w:hAnsi="Times New Roman;serif"/>
          <w:b w:val="false"/>
          <w:color w:val="000000"/>
          <w:sz w:val="22"/>
        </w:rPr>
        <w:t>) and any Cash Collateral provided by the Defaulting Lender). All Cash Collateral (other than credit support not constituting funds subject to deposit) shall be maintained in one or more Collateral Accounts. The Borrower shall pay on demand therefor from time to time all customary account opening, activity and other administrative fees and charges in connection with the maintenance and disbursement of Cash Collateral.</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Application</w:t>
      </w:r>
      <w:r>
        <w:rPr>
          <w:rFonts w:ascii="Times New Roman;serif" w:hAnsi="Times New Roman;serif"/>
          <w:b w:val="false"/>
          <w:color w:val="000000"/>
          <w:sz w:val="22"/>
        </w:rPr>
        <w:t xml:space="preserve">. Notwithstanding anything to the contrary contained in this Agreement, Cash Collateral provided under any of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Sections 2.03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 xml:space="preserve">2.15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8.02</w:t>
      </w:r>
      <w:r>
        <w:rPr>
          <w:color w:val="000000"/>
        </w:rPr>
        <w:t xml:space="preserve"> </w:t>
      </w:r>
      <w:r>
        <w:rPr>
          <w:rFonts w:ascii="Times New Roman;serif" w:hAnsi="Times New Roman;serif"/>
          <w:b w:val="false"/>
          <w:color w:val="000000"/>
          <w:sz w:val="22"/>
        </w:rPr>
        <w:t>in respect of Letters of Credit and Swingline Loans shall be held and applied to the satisfaction of the specific L/C Obligations and Swingline Loans, obligations to fund participations therein (including, as to Cash Collateral provided by a Revolving Lender that is a Defaulting Lender, any interest accrued on such obligation) and other obligations for which the Cash Collateral was so provided, prior to any other application of such property as may be provided for herein.</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Release</w:t>
      </w:r>
      <w:r>
        <w:rPr>
          <w:rFonts w:ascii="Times New Roman;serif" w:hAnsi="Times New Roman;serif"/>
          <w:b w:val="false"/>
          <w:color w:val="000000"/>
          <w:sz w:val="22"/>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Lender (or, as appropriate, its assignee following compliance with </w:t>
      </w:r>
      <w:r>
        <w:rPr>
          <w:rFonts w:ascii="Times New Roman;serif" w:hAnsi="Times New Roman;serif"/>
          <w:b w:val="false"/>
          <w:color w:val="000000"/>
          <w:sz w:val="22"/>
          <w:u w:val="single"/>
        </w:rPr>
        <w:t>Section 11.06(b)(vi</w:t>
      </w:r>
      <w:r>
        <w:rPr>
          <w:rFonts w:ascii="Times New Roman;serif" w:hAnsi="Times New Roman;serif"/>
          <w:b w:val="false"/>
          <w:color w:val="000000"/>
          <w:sz w:val="22"/>
        </w:rPr>
        <w:t xml:space="preserve">))) or (ii) the determination by the Administrative Agent, the Swingline Lender and the applicable L/C Issuer that there exists excess Cash Collateral, including as a result of full or partial cash collateralization of such Fronting Exposure as a result of the application of payments pursuant to Section 2.15(a)(ii);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the Swingline Lender and the applicable L/C Issuer may agree that Cash Collateral shall not be released but instead held to support future anticipated Fronting Exposure or other obligations.</w:t>
      </w:r>
    </w:p>
    <w:p>
      <w:pPr>
        <w:pStyle w:val="TextBody"/>
        <w:bidi w:val="0"/>
        <w:spacing w:lineRule="auto" w:line="240" w:before="0" w:after="240"/>
        <w:ind w:left="0" w:right="0" w:firstLine="720"/>
        <w:jc w:val="both"/>
        <w:rPr/>
      </w:pPr>
      <w:r>
        <w:rPr>
          <w:rFonts w:ascii="Times New Roman;serif" w:hAnsi="Times New Roman;serif"/>
          <w:b/>
          <w:color w:val="000000"/>
          <w:sz w:val="22"/>
        </w:rPr>
        <w:t>2.15</w:t>
      </w:r>
      <w:r>
        <w:rPr>
          <w:rFonts w:ascii="Times New Roman;serif" w:hAnsi="Times New Roman;serif"/>
          <w:b/>
          <w:color w:val="000000"/>
          <w:sz w:val="22"/>
          <w:u w:val="single"/>
        </w:rPr>
        <w:t>Defaulting Lenders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Adjustments</w:t>
      </w:r>
      <w:r>
        <w:rPr>
          <w:rFonts w:ascii="Times New Roman;serif" w:hAnsi="Times New Roman;serif"/>
          <w:b w:val="false"/>
          <w:color w:val="000000"/>
          <w:sz w:val="22"/>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Waivers and Amendments</w:t>
      </w:r>
      <w:r>
        <w:rPr>
          <w:rFonts w:ascii="Times New Roman;serif" w:hAnsi="Times New Roman;serif"/>
          <w:b w:val="false"/>
          <w:color w:val="000000"/>
          <w:sz w:val="22"/>
        </w:rPr>
        <w:t xml:space="preserve">. Such Defaulting Lender’s right to approve or disapprove any amendment, waiver or consent with respect to this Agreement shall be restricted as set forth in the definition of “Required Lenders” and </w:t>
      </w:r>
      <w:r>
        <w:rPr>
          <w:rFonts w:ascii="Times New Roman;serif" w:hAnsi="Times New Roman;serif"/>
          <w:b w:val="false"/>
          <w:color w:val="000000"/>
          <w:sz w:val="22"/>
          <w:u w:val="single"/>
        </w:rPr>
        <w:t>Section 11.01</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701675"/>
                <wp:effectExtent l="0" t="0" r="0" b="0"/>
                <wp:wrapNone/>
                <wp:docPr id="213" name="Frame21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Defaulting Lender Waterfall</w:t>
      </w:r>
      <w:r>
        <w:rPr>
          <w:rFonts w:ascii="Times New Roman;serif" w:hAnsi="Times New Roman;serif"/>
          <w:b w:val="false"/>
          <w:color w:val="000000"/>
          <w:sz w:val="22"/>
        </w:rPr>
        <w:t xml:space="preserve">. Any payment of principal, interest, fees or other amounts received by the Administrative Agent for the account of such Defaulting Lender (whether voluntary or mandatory, at maturity,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or otherwise) or received by the Administrative Agent from a Defaulting Lender pursuant to </w:t>
      </w:r>
      <w:r>
        <w:rPr>
          <w:rFonts w:ascii="Times New Roman;serif" w:hAnsi="Times New Roman;serif"/>
          <w:b w:val="false"/>
          <w:color w:val="000000"/>
          <w:sz w:val="22"/>
          <w:u w:val="single"/>
        </w:rPr>
        <w:t>Section 11.08</w:t>
      </w:r>
      <w:r>
        <w:rPr>
          <w:color w:val="000000"/>
        </w:rPr>
        <w:t xml:space="preserve"> </w:t>
      </w:r>
      <w:r>
        <w:rPr>
          <w:rFonts w:ascii="Times New Roman;serif" w:hAnsi="Times New Roman;serif"/>
          <w:b w:val="false"/>
          <w:color w:val="000000"/>
          <w:sz w:val="22"/>
        </w:rPr>
        <w:t xml:space="preserve">shall be applied at such time or times as may be determined by the Administrative Agent as follows: </w:t>
      </w:r>
      <w:r>
        <w:rPr>
          <w:rFonts w:ascii="Times New Roman;serif" w:hAnsi="Times New Roman;serif"/>
          <w:b w:val="false"/>
          <w:i/>
          <w:color w:val="000000"/>
          <w:sz w:val="22"/>
          <w:u w:val="single"/>
        </w:rPr>
        <w:t>first</w:t>
      </w:r>
      <w:r>
        <w:rPr>
          <w:rFonts w:ascii="Times New Roman;serif" w:hAnsi="Times New Roman;serif"/>
          <w:b w:val="false"/>
          <w:color w:val="000000"/>
          <w:sz w:val="22"/>
        </w:rPr>
        <w:t xml:space="preserve">, to the payment of any amounts owing by such Defaulting Lender to the Administrative Agent hereunder; </w:t>
      </w:r>
      <w:r>
        <w:rPr>
          <w:rFonts w:ascii="Times New Roman;serif" w:hAnsi="Times New Roman;serif"/>
          <w:b w:val="false"/>
          <w:i/>
          <w:color w:val="000000"/>
          <w:sz w:val="22"/>
          <w:u w:val="single"/>
        </w:rPr>
        <w:t>second</w:t>
      </w:r>
      <w:r>
        <w:rPr>
          <w:rFonts w:ascii="Times New Roman;serif" w:hAnsi="Times New Roman;serif"/>
          <w:b w:val="false"/>
          <w:color w:val="000000"/>
          <w:sz w:val="22"/>
        </w:rPr>
        <w:t xml:space="preserve">, to the payment on a pro rata basis of any amounts owing by such Defaulting Lender to any L/C Issuer or the Swingline Lender hereunder; </w:t>
      </w:r>
      <w:r>
        <w:rPr>
          <w:rFonts w:ascii="Times New Roman;serif" w:hAnsi="Times New Roman;serif"/>
          <w:b w:val="false"/>
          <w:i/>
          <w:color w:val="000000"/>
          <w:sz w:val="22"/>
          <w:u w:val="single"/>
        </w:rPr>
        <w:t>third</w:t>
      </w:r>
      <w:r>
        <w:rPr>
          <w:rFonts w:ascii="Times New Roman;serif" w:hAnsi="Times New Roman;serif"/>
          <w:b w:val="false"/>
          <w:color w:val="000000"/>
          <w:sz w:val="22"/>
        </w:rPr>
        <w:t xml:space="preserve">, to Cash Collateralize the L/C Issuers’ Fronting Exposure with respect to such Defaulting Lender in accordance with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w:t>
      </w:r>
      <w:r>
        <w:rPr>
          <w:rFonts w:ascii="Times New Roman;serif" w:hAnsi="Times New Roman;serif"/>
          <w:b w:val="false"/>
          <w:i/>
          <w:color w:val="000000"/>
          <w:sz w:val="22"/>
          <w:u w:val="single"/>
        </w:rPr>
        <w:t>fourth</w:t>
      </w:r>
      <w:r>
        <w:rPr>
          <w:rFonts w:ascii="Times New Roman;serif" w:hAnsi="Times New Roman;serif"/>
          <w:b w:val="false"/>
          <w:color w:val="000000"/>
          <w:sz w:val="22"/>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serif" w:hAnsi="Times New Roman;serif"/>
          <w:b w:val="false"/>
          <w:i/>
          <w:color w:val="000000"/>
          <w:sz w:val="22"/>
          <w:u w:val="single"/>
        </w:rPr>
        <w:t>fifth</w:t>
      </w:r>
      <w:r>
        <w:rPr>
          <w:rFonts w:ascii="Times New Roman;serif" w:hAnsi="Times New Roman;serif"/>
          <w:b w:val="false"/>
          <w:color w:val="000000"/>
          <w:sz w:val="22"/>
        </w:rPr>
        <w:t xml:space="preserve">, if so determined by the Administrative Agent and the Borrower, to be held in a deposit account and released pro rata in order to (A) satisfy such Defaulting Lender’s potential future funding obligations with respect to Loans under this Agreement and (B) Cash Collateralize the L/C Issuers’ future Fronting Exposure with respect to such Defaulting Lender with respect to future Letters of Credit issued under this Agreement, in accordance with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w:t>
      </w:r>
      <w:r>
        <w:rPr>
          <w:rFonts w:ascii="Times New Roman;serif" w:hAnsi="Times New Roman;serif"/>
          <w:b w:val="false"/>
          <w:i/>
          <w:color w:val="000000"/>
          <w:sz w:val="22"/>
          <w:u w:val="single"/>
        </w:rPr>
        <w:t>sixth</w:t>
      </w:r>
      <w:r>
        <w:rPr>
          <w:rFonts w:ascii="Times New Roman;serif" w:hAnsi="Times New Roman;serif"/>
          <w:b w:val="false"/>
          <w:color w:val="000000"/>
          <w:sz w:val="22"/>
        </w:rPr>
        <w:t xml:space="preserve">, to the payment of any amounts owing to the Lenders, the L/C Issuers or Swingline Lender as a result of any judgment of a court of competent jurisdiction obtained by any Lender, any L/C Issuer or the Swingline Lender against such Defaulting Lender as a result of such Defaulting Lender’s breach of its obligations under this Agreement; </w:t>
      </w:r>
      <w:r>
        <w:rPr>
          <w:rFonts w:ascii="Times New Roman;serif" w:hAnsi="Times New Roman;serif"/>
          <w:b w:val="false"/>
          <w:i/>
          <w:color w:val="000000"/>
          <w:sz w:val="22"/>
          <w:u w:val="single"/>
        </w:rPr>
        <w:t>seventh</w:t>
      </w:r>
      <w:r>
        <w:rPr>
          <w:rFonts w:ascii="Times New Roman;serif" w:hAnsi="Times New Roman;serif"/>
          <w:b w:val="false"/>
          <w:color w:val="000000"/>
          <w:sz w:val="22"/>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serif" w:hAnsi="Times New Roman;serif"/>
          <w:b w:val="false"/>
          <w:i/>
          <w:color w:val="000000"/>
          <w:sz w:val="22"/>
          <w:u w:val="single"/>
        </w:rPr>
        <w:t>eighth</w:t>
      </w:r>
      <w:r>
        <w:rPr>
          <w:rFonts w:ascii="Times New Roman;serif" w:hAnsi="Times New Roman;serif"/>
          <w:b w:val="false"/>
          <w:color w:val="000000"/>
          <w:sz w:val="22"/>
        </w:rPr>
        <w:t xml:space="preserve">, to such Defaulting Lender or as otherwise as may be required under the Loan Documents in connection with any Lien conferred thereunder or directed by a court of competent jurisdiction;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Times New Roman;serif" w:hAnsi="Times New Roman;serif"/>
          <w:b w:val="false"/>
          <w:color w:val="000000"/>
          <w:sz w:val="22"/>
          <w:u w:val="single"/>
        </w:rPr>
        <w:t>Section 2.15(a)(iv</w:t>
      </w:r>
      <w:r>
        <w:rPr>
          <w:rFonts w:ascii="Times New Roman;serif" w:hAnsi="Times New Roman;serif"/>
          <w:b w:val="false"/>
          <w:color w:val="000000"/>
          <w:sz w:val="22"/>
        </w:rPr>
        <w:t xml:space="preserve">). Any payments, prepayments or other amounts paid or payable to a Defaulting Lender that are applied (or held) to pay amounts owed by a Defaulting Lender or to post Cash Collateral pursuant to this </w:t>
      </w:r>
      <w:r>
        <w:rPr>
          <w:rFonts w:ascii="Times New Roman;serif" w:hAnsi="Times New Roman;serif"/>
          <w:b w:val="false"/>
          <w:color w:val="000000"/>
          <w:sz w:val="22"/>
          <w:u w:val="single"/>
        </w:rPr>
        <w:t>Section 2.15(a)(ii</w:t>
      </w:r>
      <w:r>
        <w:rPr>
          <w:rFonts w:ascii="Times New Roman;serif" w:hAnsi="Times New Roman;serif"/>
          <w:b w:val="false"/>
          <w:color w:val="000000"/>
          <w:sz w:val="22"/>
        </w:rPr>
        <w:t>) shall be deemed paid to and redirected by such Defaulting Lender, and each Lender irrevocably consents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Certain Fees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Fees</w:t>
      </w:r>
      <w:r>
        <w:rPr>
          <w:rFonts w:ascii="Times New Roman;serif" w:hAnsi="Times New Roman;serif"/>
          <w:b w:val="false"/>
          <w:color w:val="000000"/>
          <w:sz w:val="22"/>
        </w:rPr>
        <w:t xml:space="preserve">. No Defaulting Lender shall be entitled to receive any fee payable under </w:t>
      </w:r>
      <w:r>
        <w:rPr>
          <w:rFonts w:ascii="Times New Roman;serif" w:hAnsi="Times New Roman;serif"/>
          <w:b w:val="false"/>
          <w:color w:val="000000"/>
          <w:sz w:val="22"/>
          <w:u w:val="single"/>
        </w:rPr>
        <w:t>Section 2.09(a</w:t>
      </w:r>
      <w:r>
        <w:rPr>
          <w:rFonts w:ascii="Times New Roman;serif" w:hAnsi="Times New Roman;serif"/>
          <w:b w:val="false"/>
          <w:color w:val="000000"/>
          <w:sz w:val="22"/>
        </w:rPr>
        <w:t>) for any period during which that Lender is a Defaulting Lender (and the Borrower shall not be required to pay any such fee that otherwise would have been required to have been paid to that Defaulting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Letter of Credit Fees</w:t>
      </w:r>
      <w:r>
        <w:rPr>
          <w:rFonts w:ascii="Times New Roman;serif" w:hAnsi="Times New Roman;serif"/>
          <w:b w:val="false"/>
          <w:color w:val="000000"/>
          <w:sz w:val="22"/>
        </w:rPr>
        <w:t xml:space="preserve">. 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serif" w:hAnsi="Times New Roman;serif"/>
          <w:b w:val="false"/>
          <w:color w:val="000000"/>
          <w:sz w:val="22"/>
          <w:u w:val="single"/>
        </w:rPr>
        <w:t>Section 2.14</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701675"/>
                <wp:effectExtent l="0" t="0" r="0" b="0"/>
                <wp:wrapNone/>
                <wp:docPr id="214" name="Frame21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Defaulting Lender Fees</w:t>
      </w:r>
      <w:r>
        <w:rPr>
          <w:rFonts w:ascii="Times New Roman;serif" w:hAnsi="Times New Roman;serif"/>
          <w:b w:val="false"/>
          <w:color w:val="000000"/>
          <w:sz w:val="22"/>
        </w:rPr>
        <w:t xml:space="preserve">. With respect to any Letter of Credit Fee not required to be paid to any Defaulting Lender pursuant to </w:t>
      </w:r>
      <w:r>
        <w:rPr>
          <w:rFonts w:ascii="Times New Roman;serif" w:hAnsi="Times New Roman;serif"/>
          <w:b w:val="false"/>
          <w:color w:val="000000"/>
          <w:sz w:val="22"/>
          <w:u w:val="single"/>
        </w:rPr>
        <w:t>clause (I</w:t>
      </w:r>
      <w:r>
        <w:rPr>
          <w:rFonts w:ascii="Times New Roman;serif" w:hAnsi="Times New Roman;serif"/>
          <w:b w:val="false"/>
          <w:color w:val="000000"/>
          <w:sz w:val="22"/>
        </w:rPr>
        <w:t>) or (</w:t>
      </w:r>
      <w:r>
        <w:rPr>
          <w:rFonts w:ascii="Times New Roman;serif" w:hAnsi="Times New Roman;serif"/>
          <w:b w:val="false"/>
          <w:color w:val="000000"/>
          <w:sz w:val="22"/>
          <w:u w:val="single"/>
        </w:rPr>
        <w:t>II</w:t>
      </w:r>
      <w:r>
        <w:rPr>
          <w:rFonts w:ascii="Times New Roman;serif" w:hAnsi="Times New Roman;serif"/>
          <w:b w:val="false"/>
          <w:color w:val="000000"/>
          <w:sz w:val="22"/>
        </w:rPr>
        <w:t>) above, the Borrower shall (1) pay to each Non-Defaulting Lender that portion of any such fee otherwise payable to such Defaulting Lender with respect to such Defaulting Lender’s participation in L/C Obligations or Swingline Loans</w:t>
      </w:r>
      <w:r>
        <w:rPr>
          <w:color w:val="000000"/>
        </w:rPr>
        <w:t xml:space="preserve"> </w:t>
      </w:r>
      <w:r>
        <w:rPr>
          <w:rFonts w:ascii="Times New Roman;serif" w:hAnsi="Times New Roman;serif"/>
          <w:b w:val="false"/>
          <w:color w:val="000000"/>
          <w:sz w:val="22"/>
        </w:rPr>
        <w:t xml:space="preserve">that has been reallocated to such Non-Defaulting Lender pursuant to </w:t>
      </w:r>
      <w:r>
        <w:rPr>
          <w:rFonts w:ascii="Times New Roman;serif" w:hAnsi="Times New Roman;serif"/>
          <w:b w:val="false"/>
          <w:color w:val="000000"/>
          <w:sz w:val="22"/>
          <w:u w:val="single"/>
        </w:rPr>
        <w:t>clause (iv</w:t>
      </w:r>
      <w:r>
        <w:rPr>
          <w:rFonts w:ascii="Times New Roman;serif" w:hAnsi="Times New Roman;serif"/>
          <w:b w:val="false"/>
          <w:color w:val="000000"/>
          <w:sz w:val="22"/>
        </w:rPr>
        <w:t>) below, (2) pay to each L/C Issuer and the Swingline Lender, as applicable,</w:t>
      </w:r>
      <w:r>
        <w:rPr>
          <w:color w:val="000000"/>
        </w:rPr>
        <w:t xml:space="preserve"> </w:t>
      </w:r>
      <w:r>
        <w:rPr>
          <w:rFonts w:ascii="Times New Roman;serif" w:hAnsi="Times New Roman;serif"/>
          <w:b w:val="false"/>
          <w:color w:val="000000"/>
          <w:sz w:val="22"/>
        </w:rPr>
        <w:t>the amount of any such fee otherwise payable to such Defaulting Lender to the extent allocable to such L/C Issuer’s or Swingline Lender’s Fronting Exposure to such Defaulting Lender, and (3) not be required to pay the remaining amount of any such fee.</w:t>
      </w:r>
    </w:p>
    <w:p>
      <w:pPr>
        <w:pStyle w:val="TextBody"/>
        <w:bidi w:val="0"/>
        <w:spacing w:lineRule="auto" w:line="240" w:before="0" w:after="240"/>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Reallocation of Applicable Percentages to Reduce Fronting Exposure</w:t>
      </w:r>
      <w:r>
        <w:rPr>
          <w:rFonts w:ascii="Times New Roman;serif" w:hAnsi="Times New Roman;serif"/>
          <w:b w:val="false"/>
          <w:color w:val="000000"/>
          <w:sz w:val="22"/>
        </w:rPr>
        <w:t xml:space="preserve">. All or any part of such Defaulting Lender’s participation in L/C Obligations and Swingline Loans shall be reallocated among the Non-Defaulting Lenders in accordance with their respective Applicable Percentages (calculated without regard to such Defaulting Lender’s Commitment) but only to the extent that such reallocation does not cause the aggregate Revolving Exposure of any Non-Defaulting Lender to exceed such Non-Defaulting Lender’s Revolving Commitment. Subject to </w:t>
      </w:r>
      <w:r>
        <w:rPr>
          <w:rFonts w:ascii="Times New Roman;serif" w:hAnsi="Times New Roman;serif"/>
          <w:b w:val="false"/>
          <w:color w:val="000000"/>
          <w:sz w:val="22"/>
          <w:u w:val="single"/>
        </w:rPr>
        <w:t>Section 11.20</w:t>
      </w:r>
      <w:r>
        <w:rPr>
          <w:rFonts w:ascii="Times New Roman;serif" w:hAnsi="Times New Roman;serif"/>
          <w:b w:val="false"/>
          <w:color w:val="000000"/>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Cash Collateral, Repayment of Swingline Loans</w:t>
      </w:r>
      <w:r>
        <w:rPr>
          <w:rFonts w:ascii="Times New Roman;serif" w:hAnsi="Times New Roman;serif"/>
          <w:b w:val="false"/>
          <w:color w:val="000000"/>
          <w:sz w:val="22"/>
        </w:rPr>
        <w:t xml:space="preserve">. If the reallocation described in </w:t>
      </w:r>
      <w:r>
        <w:rPr>
          <w:rFonts w:ascii="Times New Roman;serif" w:hAnsi="Times New Roman;serif"/>
          <w:b w:val="false"/>
          <w:color w:val="000000"/>
          <w:sz w:val="22"/>
          <w:u w:val="single"/>
        </w:rPr>
        <w:t>clause (a)(iv</w:t>
      </w:r>
      <w:r>
        <w:rPr>
          <w:rFonts w:ascii="Times New Roman;serif" w:hAnsi="Times New Roman;serif"/>
          <w:b w:val="false"/>
          <w:color w:val="000000"/>
          <w:sz w:val="22"/>
        </w:rPr>
        <w:t>) above cannot, or can only partially, be effected, the Borrower shall, without prejudice to any right or remedy available to it hereunder or under Applicable Law, (A) </w:t>
      </w:r>
      <w:r>
        <w:rPr>
          <w:rFonts w:ascii="Times New Roman;serif" w:hAnsi="Times New Roman;serif"/>
          <w:b w:val="false"/>
          <w:i/>
          <w:color w:val="000000"/>
          <w:sz w:val="22"/>
          <w:u w:val="single"/>
        </w:rPr>
        <w:t>first</w:t>
      </w:r>
      <w:r>
        <w:rPr>
          <w:rFonts w:ascii="Times New Roman;serif" w:hAnsi="Times New Roman;serif"/>
          <w:b w:val="false"/>
          <w:color w:val="000000"/>
          <w:sz w:val="22"/>
        </w:rPr>
        <w:t>, prepay Swingline Loans in an amount equal to the Swingline Lender’s Fronting Exposure and (B) </w:t>
      </w:r>
      <w:r>
        <w:rPr>
          <w:rFonts w:ascii="Times New Roman;serif" w:hAnsi="Times New Roman;serif"/>
          <w:b w:val="false"/>
          <w:i/>
          <w:color w:val="000000"/>
          <w:sz w:val="22"/>
          <w:u w:val="single"/>
        </w:rPr>
        <w:t>second</w:t>
      </w:r>
      <w:r>
        <w:rPr>
          <w:rFonts w:ascii="Times New Roman;serif" w:hAnsi="Times New Roman;serif"/>
          <w:b w:val="false"/>
          <w:color w:val="000000"/>
          <w:sz w:val="22"/>
        </w:rPr>
        <w:t xml:space="preserve">, Cash Collateralize the L/C Issuers’ Fronting Exposure in accordance with the procedures set forth in </w:t>
      </w:r>
      <w:r>
        <w:rPr>
          <w:rFonts w:ascii="Times New Roman;serif" w:hAnsi="Times New Roman;serif"/>
          <w:b w:val="false"/>
          <w:color w:val="000000"/>
          <w:sz w:val="22"/>
          <w:u w:val="single"/>
        </w:rPr>
        <w:t>Section 2.14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Defaulting Lender Cure</w:t>
      </w:r>
      <w:r>
        <w:rPr>
          <w:rFonts w:ascii="Times New Roman;serif" w:hAnsi="Times New Roman;serif"/>
          <w:b w:val="false"/>
          <w:color w:val="000000"/>
          <w:sz w:val="22"/>
        </w:rPr>
        <w:t xml:space="preserve">. If the Borrower, the Administrative Agent, the Swingline Lender and each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their Revolving Commitments (without giving effect to </w:t>
      </w:r>
      <w:r>
        <w:rPr>
          <w:rFonts w:ascii="Times New Roman;serif" w:hAnsi="Times New Roman;serif"/>
          <w:b w:val="false"/>
          <w:color w:val="000000"/>
          <w:sz w:val="22"/>
          <w:u w:val="single"/>
        </w:rPr>
        <w:t>Section 2.15(a)(iv</w:t>
      </w:r>
      <w:r>
        <w:rPr>
          <w:rFonts w:ascii="Times New Roman;serif" w:hAnsi="Times New Roman;serif"/>
          <w:b w:val="false"/>
          <w:color w:val="000000"/>
          <w:sz w:val="22"/>
        </w:rPr>
        <w:t xml:space="preserve">)), whereupon such Lender will cease to be a Defaulting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adjustments will be made retroactively with respect to fees accrued or payments made by or on behalf of the Borrower while that Lender was a Defaulting Lender;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New Swingline Loans/Letters of Credit</w:t>
      </w:r>
      <w:r>
        <w:rPr>
          <w:rFonts w:ascii="Times New Roman;serif" w:hAnsi="Times New Roman;serif"/>
          <w:b w:val="false"/>
          <w:color w:val="000000"/>
          <w:sz w:val="22"/>
        </w:rPr>
        <w:t>. So long as any Revolving Lender is a Defaulting Lender, (i) the Swingline Lender shall not be required to fund any Swingline Loans unless it is satisfied that it will have no Fronting Exposure after giving effect to such Swingline Loan and (ii) no L/C Issuer shall be required to issue, extend, increase, reinstate or renew any letter of Credit unless it is satisfied that it will have no Fronting Exposure after giving effect thereto.</w:t>
      </w:r>
    </w:p>
    <w:p>
      <w:pPr>
        <w:pStyle w:val="TextBody"/>
        <w:bidi w:val="0"/>
        <w:spacing w:lineRule="auto" w:line="240" w:before="0" w:after="240"/>
        <w:ind w:left="0" w:right="0" w:firstLine="720"/>
        <w:jc w:val="both"/>
        <w:rPr/>
      </w:pPr>
      <w:r>
        <w:rPr>
          <w:rFonts w:ascii="Times New Roman;serif" w:hAnsi="Times New Roman;serif"/>
          <w:b/>
          <w:color w:val="000000"/>
          <w:sz w:val="22"/>
        </w:rPr>
        <w:t>2.16</w:t>
      </w:r>
      <w:r>
        <w:rPr>
          <w:rFonts w:ascii="Times New Roman;serif" w:hAnsi="Times New Roman;serif"/>
          <w:b/>
          <w:color w:val="000000"/>
          <w:sz w:val="22"/>
          <w:u w:val="single"/>
        </w:rPr>
        <w:t>Incremental Facilities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Request for Increase</w:t>
      </w:r>
      <w:r>
        <w:rPr>
          <w:rFonts w:ascii="Times New Roman;serif" w:hAnsi="Times New Roman;serif"/>
          <w:b w:val="false"/>
          <w:color w:val="000000"/>
          <w:sz w:val="22"/>
        </w:rPr>
        <w:t>. Upon notice to the Administrative Agent (which shall promptly notify the Revolving Lenders), the Borrower may from time to time after the Closing Date, request (x) an increase in the Revolving Facility (each, an “</w:t>
      </w:r>
      <w:r>
        <w:rPr>
          <w:rFonts w:ascii="Times New Roman;serif" w:hAnsi="Times New Roman;serif"/>
          <w:b w:val="false"/>
          <w:i/>
          <w:color w:val="000000"/>
          <w:sz w:val="22"/>
          <w:u w:val="single"/>
        </w:rPr>
        <w:t xml:space="preserve">Incremental Revolving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701675"/>
                <wp:effectExtent l="0" t="0" r="0" b="0"/>
                <wp:wrapNone/>
                <wp:docPr id="215" name="Frame21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i/>
          <w:color w:val="000000"/>
          <w:sz w:val="22"/>
          <w:u w:val="single"/>
        </w:rPr>
        <w:t>Commitment</w:t>
      </w:r>
      <w:r>
        <w:rPr>
          <w:color w:val="000000"/>
        </w:rPr>
        <w:t>”</w:t>
      </w:r>
      <w:r>
        <w:rPr>
          <w:rFonts w:ascii="Times New Roman;serif" w:hAnsi="Times New Roman;serif"/>
          <w:b w:val="false"/>
          <w:color w:val="000000"/>
          <w:sz w:val="22"/>
        </w:rPr>
        <w:t>) and/or (y) one or more new term loan commitments (each, an “</w:t>
      </w:r>
      <w:r>
        <w:rPr>
          <w:rFonts w:ascii="Times New Roman;serif" w:hAnsi="Times New Roman;serif"/>
          <w:b w:val="false"/>
          <w:i/>
          <w:color w:val="000000"/>
          <w:sz w:val="22"/>
          <w:u w:val="single"/>
        </w:rPr>
        <w:t>Incremental Term Loan Commitment</w:t>
      </w:r>
      <w:r>
        <w:rPr>
          <w:color w:val="000000"/>
        </w:rPr>
        <w:t>”</w:t>
      </w:r>
      <w:r>
        <w:rPr>
          <w:rFonts w:ascii="Times New Roman;serif" w:hAnsi="Times New Roman;serif"/>
          <w:b w:val="false"/>
          <w:color w:val="000000"/>
          <w:sz w:val="22"/>
        </w:rPr>
        <w:t>; and together with the Incremental Revolving Commitments, the “</w:t>
      </w:r>
      <w:r>
        <w:rPr>
          <w:rFonts w:ascii="Times New Roman;serif" w:hAnsi="Times New Roman;serif"/>
          <w:b w:val="false"/>
          <w:i/>
          <w:color w:val="000000"/>
          <w:sz w:val="22"/>
          <w:u w:val="single"/>
        </w:rPr>
        <w:t>Incremental Commitments</w:t>
      </w:r>
      <w:r>
        <w:rPr>
          <w:color w:val="000000"/>
        </w:rPr>
        <w:t>”</w:t>
      </w:r>
      <w:r>
        <w:rPr>
          <w:rFonts w:ascii="Times New Roman;serif" w:hAnsi="Times New Roman;serif"/>
          <w:b w:val="false"/>
          <w:color w:val="000000"/>
          <w:sz w:val="22"/>
        </w:rPr>
        <w:t xml:space="preserve">) by an aggregate amount (for all such Incremental Commitments) not exceeding the greater of $50,000,000 and 100% of Consolidated EBITDA for the most recently completed Measurement Period;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(i) any such request for an Incremental Commitment shall be in a minimum amount of $10,000,000 (or such lesser amount representing all remaining capacity of the Incremental Commitment) and (ii) the Borrower may make a maximum of four (4) such requests. Such notice shall include a time period within which each Lender is requested to respond (which shall in no event be less than ten (10) Business Days (or such other date which the Borrower has consulted with the Administrative Agent) from the date of delivery of such notice to the Lenders). </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Lender Elections to Increase</w:t>
      </w:r>
      <w:r>
        <w:rPr>
          <w:rFonts w:ascii="Times New Roman;serif" w:hAnsi="Times New Roman;serif"/>
          <w:b w:val="false"/>
          <w:color w:val="000000"/>
          <w:sz w:val="22"/>
        </w:rPr>
        <w:t xml:space="preserve">. Each applicable Lender shall notify the Administrative Agent within the time period set forth in the applicable notice described in </w:t>
      </w:r>
      <w:r>
        <w:rPr>
          <w:rFonts w:ascii="Times New Roman;serif" w:hAnsi="Times New Roman;serif"/>
          <w:b w:val="false"/>
          <w:color w:val="000000"/>
          <w:sz w:val="22"/>
          <w:u w:val="single"/>
        </w:rPr>
        <w:t>Section 2.16(a)</w:t>
      </w:r>
      <w:r>
        <w:rPr>
          <w:color w:val="000000"/>
        </w:rPr>
        <w:t xml:space="preserve"> </w:t>
      </w:r>
      <w:r>
        <w:rPr>
          <w:rFonts w:ascii="Times New Roman;serif" w:hAnsi="Times New Roman;serif"/>
          <w:b w:val="false"/>
          <w:color w:val="000000"/>
          <w:sz w:val="22"/>
        </w:rPr>
        <w:t>whether or not it agrees to increase, or provide, as applicable, an Incremental Commitment. Any Lender may elect or decline, in its sole discretion, to provide an Incremental Commitment. Any Lender not responding within such time period shall be deemed to have declined to provide an Incremental Commitment.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Notification by Administrative Agent; Additional Lenders</w:t>
      </w:r>
      <w:r>
        <w:rPr>
          <w:rFonts w:ascii="Times New Roman;serif" w:hAnsi="Times New Roman;serif"/>
          <w:b w:val="false"/>
          <w:color w:val="000000"/>
          <w:sz w:val="22"/>
        </w:rPr>
        <w:t>. The Administrative Agent shall notify the Borrower and each Lender of the Lenders’ responses to each request made hereunder. In its discretion, the Borrower may also invite additional financial institutions that are Eligible Assignees to become Lenders (“</w:t>
      </w:r>
      <w:r>
        <w:rPr>
          <w:rFonts w:ascii="Times New Roman;serif" w:hAnsi="Times New Roman;serif"/>
          <w:b w:val="false"/>
          <w:i/>
          <w:color w:val="000000"/>
          <w:sz w:val="22"/>
          <w:u w:val="single"/>
        </w:rPr>
        <w:t>New Lenders</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Increase Effective Date</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(i)If an Incremental Commitment is provided in accordance with this Section, the Administrative Agent and the Borrower shall determine the effective date (the “</w:t>
      </w:r>
      <w:r>
        <w:rPr>
          <w:rFonts w:ascii="Times New Roman;serif" w:hAnsi="Times New Roman;serif"/>
          <w:b w:val="false"/>
          <w:i/>
          <w:color w:val="000000"/>
          <w:sz w:val="22"/>
          <w:u w:val="single"/>
        </w:rPr>
        <w:t>Incremental Effective Date</w:t>
      </w:r>
      <w:r>
        <w:rPr>
          <w:color w:val="000000"/>
        </w:rPr>
        <w:t>”</w:t>
      </w:r>
      <w:r>
        <w:rPr>
          <w:rFonts w:ascii="Times New Roman;serif" w:hAnsi="Times New Roman;serif"/>
          <w:b w:val="false"/>
          <w:color w:val="000000"/>
          <w:sz w:val="22"/>
        </w:rPr>
        <w:t>) and the final allocation of such Incremental Commitment. The Administrative Agent shall promptly notify the Borrower and the Lenders and the New Lenders, as applicable, of the final allocation of such Incremental Commitment and the Incremental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(ii)Each Revolving Lender (including any New Lenders) that is increasing its Revolving Commitment or providing an Incremental Commitment on the Incremental Effective Date shall make a Revolving Loan, the proceeds of which will be used to prepay the Revolving Loans of the other Revolving Lenders on such Incremental Effective Date, so that, after giving effect thereto, the Revolving Loans outstanding are held by the Revolving Lenders pro rata based on their Revolving Commitments after giving effect to such Incremental Effective Date (and in connection therewith the Borrower shall pay any additional amounts required pursuant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 xml:space="preserve">). If there is a new borrowing of Revolving Loans on such Incremental Effective Date, the Revolving Lenders after giving effect to such Incremental Effective Date shall make such Revolving Loans in accordance with </w:t>
      </w:r>
      <w:r>
        <w:rPr>
          <w:rFonts w:ascii="Times New Roman;serif" w:hAnsi="Times New Roman;serif"/>
          <w:b w:val="false"/>
          <w:color w:val="000000"/>
          <w:sz w:val="22"/>
          <w:u w:val="single"/>
        </w:rPr>
        <w:t>Section 2.01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(iv)The Loans and Commitments established pursuant to this paragraph shall constitute Loans and Commitments hereunder, and shall be entitled to all the benefits afforded by, this Agreement and the other Loan Documents, and shall, without limiting the foregoing, benefit equally and ratably from the Guarantees and security interests created by the Collateral Documents. The Loan Parties shall take any actions reasonably required by the Administrative Agent to ensure and/or demonstrate that the Lien and security interests granted by the Collateral Documents continue to be perfected under the UCC or otherwise after giving effect to the establishment of any such Incremental Commitments.</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701675"/>
                <wp:effectExtent l="0" t="0" r="0" b="0"/>
                <wp:wrapNone/>
                <wp:docPr id="216" name="Frame21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(v)Notwithstanding the foregoing, any Incremental Term Loans may be treated as part of the same class as any other Existing Term Loans if such Incremental Term Loans are fungible for United States federal income tax purposes with such other Existing Term Loans.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(vi)</w:t>
      </w:r>
      <w:r>
        <w:rPr>
          <w:rFonts w:ascii="Times New Roman;serif" w:hAnsi="Times New Roman;serif"/>
          <w:b w:val="false"/>
          <w:color w:val="000000"/>
          <w:sz w:val="22"/>
          <w:u w:val="single"/>
        </w:rPr>
        <w:t>Conditions to Effectiveness of Increase</w:t>
      </w:r>
      <w:r>
        <w:rPr>
          <w:rFonts w:ascii="Times New Roman;serif" w:hAnsi="Times New Roman;serif"/>
          <w:b w:val="false"/>
          <w:color w:val="000000"/>
          <w:sz w:val="22"/>
        </w:rPr>
        <w:t>. As a condition precedent to an Incremental Commitment, the Borrower shall deliver to the Administrative Agent a certificate of each Loan Party dated as of the Incremental Effective Date signed by a Responsible Officer of such Loan Party: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(I)certifying and attaching the resolutions adopted by such Loan Party approving or consenting to such Incremental Commitment;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(II)certifying that, immediately before and immediately after giving effect to such Incremental Commitment and subject to </w:t>
      </w:r>
      <w:r>
        <w:rPr>
          <w:rFonts w:ascii="Times New Roman;serif" w:hAnsi="Times New Roman;serif"/>
          <w:b w:val="false"/>
          <w:color w:val="000000"/>
          <w:sz w:val="22"/>
          <w:u w:val="single"/>
        </w:rPr>
        <w:t>Section 1.09</w:t>
      </w:r>
      <w:r>
        <w:rPr>
          <w:rFonts w:ascii="Times New Roman;serif" w:hAnsi="Times New Roman;serif"/>
          <w:b w:val="false"/>
          <w:color w:val="000000"/>
          <w:sz w:val="22"/>
        </w:rPr>
        <w:t xml:space="preserve">, (A) the representations and warranties of the Borrower and each other Loan Party contained in Article V or any other Loan Document, or which are contained in any document furnished at any time under or in connection herewith or therewith, shall be true and correct in all material respects (except, if a qualifier relating to materiality, Material Adverse Effect or a similar concept applies, such representation or warranty shall be true and correct in all respects) on and as of the Incremental Effective Date, except to the extent that such representations and warranties specifically refer to an earlier date, in which case they shall be true and correct in all material respects (except, if a qualifier relating to materiality, Material Adverse Effect or a similar concept applies, such representation or warranty shall be true and correct in all respects) as of such earlier date, and except that for purposes of this </w:t>
      </w:r>
      <w:r>
        <w:rPr>
          <w:rFonts w:ascii="Times New Roman;serif" w:hAnsi="Times New Roman;serif"/>
          <w:b w:val="false"/>
          <w:color w:val="000000"/>
          <w:sz w:val="22"/>
          <w:u w:val="single"/>
        </w:rPr>
        <w:t>Section 2.16</w:t>
      </w:r>
      <w:r>
        <w:rPr>
          <w:rFonts w:ascii="Times New Roman;serif" w:hAnsi="Times New Roman;serif"/>
          <w:b w:val="false"/>
          <w:color w:val="000000"/>
          <w:sz w:val="22"/>
        </w:rPr>
        <w:t xml:space="preserve">, the representations and warranties contained in </w:t>
      </w:r>
      <w:r>
        <w:rPr>
          <w:rFonts w:ascii="Times New Roman;serif" w:hAnsi="Times New Roman;serif"/>
          <w:b w:val="false"/>
          <w:color w:val="000000"/>
          <w:sz w:val="22"/>
          <w:u w:val="single"/>
        </w:rPr>
        <w:t>Sections 5.05(a)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Section 5.05(b)</w:t>
      </w:r>
      <w:r>
        <w:rPr>
          <w:color w:val="000000"/>
        </w:rPr>
        <w:t xml:space="preserve"> </w:t>
      </w:r>
      <w:r>
        <w:rPr>
          <w:rFonts w:ascii="Times New Roman;serif" w:hAnsi="Times New Roman;serif"/>
          <w:b w:val="false"/>
          <w:color w:val="000000"/>
          <w:sz w:val="22"/>
        </w:rPr>
        <w:t xml:space="preserve">shall be deemed to refer to the most recent statements furnished pursuant to </w:t>
      </w:r>
      <w:r>
        <w:rPr>
          <w:rFonts w:ascii="Times New Roman;serif" w:hAnsi="Times New Roman;serif"/>
          <w:b w:val="false"/>
          <w:color w:val="000000"/>
          <w:sz w:val="22"/>
          <w:u w:val="single"/>
        </w:rPr>
        <w:t xml:space="preserve">Sections 6.01(a)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6.01(b)</w:t>
      </w:r>
      <w:r>
        <w:rPr>
          <w:rFonts w:ascii="Times New Roman;serif" w:hAnsi="Times New Roman;serif"/>
          <w:b w:val="false"/>
          <w:color w:val="000000"/>
          <w:sz w:val="22"/>
        </w:rPr>
        <w:t>, respectively, and (B) no Default or Event of Default exists;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(III)on a Pro Forma Basis (assuming that such Incremental Commitment is fully drawn in computing Consolidated Senior Secured Leverage Ratio), the Combined Group shall be in compliance with each of the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(and attaching a pro forma Compliance Certificate evidencing the calculations thereof). The Borrower shall deliver or cause to be delivered any other customary certificates and documents (including, without limitation, legal opinions) as reasonably requested by the Administrative Agent in connection with any Incremental Commitment.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Incremental Amendment</w:t>
      </w:r>
      <w:r>
        <w:rPr>
          <w:rFonts w:ascii="Times New Roman;serif" w:hAnsi="Times New Roman;serif"/>
          <w:b w:val="false"/>
          <w:color w:val="000000"/>
          <w:sz w:val="22"/>
        </w:rPr>
        <w:t>. The Incremental Commitment shall be effected by an amendment (or in the case of any Incremental Term Loan, an amendment and/or restatement) (the “</w:t>
      </w:r>
      <w:r>
        <w:rPr>
          <w:rFonts w:ascii="Times New Roman;serif" w:hAnsi="Times New Roman;serif"/>
          <w:b w:val="false"/>
          <w:i/>
          <w:color w:val="000000"/>
          <w:sz w:val="22"/>
          <w:u w:val="single"/>
        </w:rPr>
        <w:t>Incremental Amendment</w:t>
      </w:r>
      <w:r>
        <w:rPr>
          <w:color w:val="000000"/>
        </w:rPr>
        <w:t>”</w:t>
      </w:r>
      <w:r>
        <w:rPr>
          <w:rFonts w:ascii="Times New Roman;serif" w:hAnsi="Times New Roman;serif"/>
          <w:b w:val="false"/>
          <w:color w:val="000000"/>
          <w:sz w:val="22"/>
        </w:rPr>
        <w:t xml:space="preserve">) executed by the Borrower, the other Loan Parties, the Administrative Agent and each Lender (including, any New Lenders) committing to such Incremental Commitment, in form and substance reasonably satisfactory to each of them. Notwithstanding the provisions of </w:t>
      </w:r>
      <w:r>
        <w:rPr>
          <w:rFonts w:ascii="Times New Roman;serif" w:hAnsi="Times New Roman;serif"/>
          <w:b w:val="false"/>
          <w:color w:val="000000"/>
          <w:sz w:val="22"/>
          <w:u w:val="single"/>
        </w:rPr>
        <w:t>Section 11.01</w:t>
      </w:r>
      <w:r>
        <w:rPr>
          <w:rFonts w:ascii="Times New Roman;serif" w:hAnsi="Times New Roman;serif"/>
          <w:b w:val="false"/>
          <w:color w:val="000000"/>
          <w:sz w:val="22"/>
        </w:rPr>
        <w:t xml:space="preserve">, the Incremental Amendment may, without the consent of any other Lender, effect such amendments to this Agreement and the other Loan Documents as may be necessary or appropriate, in the reasonable opinion of the Administrative Agent, to effect the provisions of this </w:t>
      </w:r>
      <w:r>
        <w:rPr>
          <w:rFonts w:ascii="Times New Roman;serif" w:hAnsi="Times New Roman;serif"/>
          <w:b w:val="false"/>
          <w:color w:val="000000"/>
          <w:sz w:val="22"/>
          <w:u w:val="single"/>
        </w:rPr>
        <w:t>Section 2.16</w:t>
      </w:r>
      <w:r>
        <w:rPr>
          <w:rFonts w:ascii="Times New Roman;serif" w:hAnsi="Times New Roman;serif"/>
          <w:b w:val="false"/>
          <w:color w:val="000000"/>
          <w:sz w:val="22"/>
        </w:rPr>
        <w:t>. In addition, unless otherwise specifically provided herein, all references in Loan Documents to Revolving Loans or, if applicable, term loans shall be deemed, unless the context otherwise requires, to include references to Revolving Loans made pursuant to Incremental Revolving Commitments and Incremental Term Loans.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Terms of Incremental Commitment</w:t>
      </w:r>
      <w:r>
        <w:rPr>
          <w:rFonts w:ascii="Times New Roman;serif" w:hAnsi="Times New Roman;serif"/>
          <w:b w:val="false"/>
          <w:color w:val="000000"/>
          <w:sz w:val="22"/>
        </w:rPr>
        <w:t>. The terms and conditions of Incremental Commitments shall be as follows: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(i)all of the terms and conditions applicable to any Incremental Revolving Commitment shall be identical to the terms and conditions applicable to the then existing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701675"/>
                <wp:effectExtent l="0" t="0" r="0" b="0"/>
                <wp:wrapNone/>
                <wp:docPr id="217" name="Frame21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Revolving Facility, including maturity, Applicable Margin and Commitment Fees;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(x) any upfront fees payable by the Borrower to the Lenders under any Incremental Revolving Commitment may differ from those payable under the then existing Revolving Commitments and (y) the Applicable Margins or Commitment Fees or interest rate floor applicable to any Incremental Revolving Commitment may be higher than the Applicable Margins or Commitment Fees or interest rate floor applicable to the Revolving Facility if the Applicable Margins or Commitment Fees or interest rate floor applicable to the Revolving Facility are increased to equal the Applicable Margins and Commitment Fees and interest rate floor applicable to such Incremental Revolving Commitment;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(ii)any Incremental Term Loan will mature and amortize in a manner reasonably acceptable to the Lenders making such Incremental Term Loan and the Borrower, but in any event the Weighted Average Life to Maturity of any Incremental Term Loans shall be no shorter than the remaining Weighted Average Life to Maturity of the then existing term loans, if any (the “</w:t>
      </w:r>
      <w:r>
        <w:rPr>
          <w:rFonts w:ascii="Times New Roman;serif" w:hAnsi="Times New Roman;serif"/>
          <w:b w:val="false"/>
          <w:i/>
          <w:color w:val="000000"/>
          <w:sz w:val="22"/>
          <w:u w:val="single"/>
        </w:rPr>
        <w:t>Existing Term Loan</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(iii)the maturity of any such Incremental Term Loan shall not be earlier than the latest scheduled maturity date of any outstanding Existing Term Loans in effect as of the Increase Effective Date;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(iv)the Applicable Rate for Incremental Term Loans shall be determined by the Borrower, the Administrative Agent and the Lenders of the Incremental Term Loans;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(v)the inclusion of any mandatory prepayments, if applicable, for such Incremental Term Loan shall be determined by the Borrower, the Administrative Agent and the Lenders of such Incremental Term Loan (provided that any such mandatory prepayment provisions for any Incremental Term Loans shall be consistent with any mandatory prepayment terms of any then outstanding Incremental Term Loans and the Lenders of such Incremental Term Loans may choose to participate on a pro rata basis or less than pro rata basis (but not on a greater than pro rata basis) in any mandatory prepayments of Term Loans hereunder, as specified in the applicable Incremental Amendment);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(vi)except as provided above, all other terms and conditions applicable to any Incremental Term Loan shall be reasonably satisfactory to the Administrative Agent, the Borrower and the Lenders of the Incremental Term Loans (provided that to the extent any terms of any Incremental Term Loans are more favorable (with respect to the lenders thereunder) than the comparable terms hereunder, such terms shall be no more restrictive, when taken as a whole, than those under the then-existing Loan Documents (except for covenants or other provisions (x) applicable only to periods after the latest scheduled maturity date of any outstanding Existing Term Loans, or (y) as are incorporated into this Agreement (or any other applicable Loan Document) for the benefit of the applicable Lenders (to the extent applicable to such Lender) (which may be accomplished by the Administrative Agent, Borrower and the Lenders providing such Incremental Term Loan).</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xml:space="preserve">. The proceeds of any Incremental Commitments may be used by the Borrower and its Subsidiaries in accordance with </w:t>
      </w:r>
      <w:r>
        <w:rPr>
          <w:rFonts w:ascii="Times New Roman;serif" w:hAnsi="Times New Roman;serif"/>
          <w:b w:val="false"/>
          <w:color w:val="000000"/>
          <w:sz w:val="22"/>
          <w:u w:val="single"/>
        </w:rPr>
        <w:t>Section 6.11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Conflicting Provisions</w:t>
      </w:r>
      <w:r>
        <w:rPr>
          <w:rFonts w:ascii="Times New Roman;serif" w:hAnsi="Times New Roman;serif"/>
          <w:b w:val="false"/>
          <w:color w:val="000000"/>
          <w:sz w:val="22"/>
        </w:rPr>
        <w:t xml:space="preserve">. This Section shall supersede any provisions in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11.01</w:t>
      </w:r>
      <w:r>
        <w:rPr>
          <w:color w:val="000000"/>
        </w:rPr>
        <w:t xml:space="preserve"> </w:t>
      </w:r>
      <w:r>
        <w:rPr>
          <w:rFonts w:ascii="Times New Roman;serif" w:hAnsi="Times New Roman;serif"/>
          <w:b w:val="false"/>
          <w:color w:val="000000"/>
          <w:sz w:val="22"/>
        </w:rPr>
        <w:t>to the contrary.</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701675"/>
                <wp:effectExtent l="0" t="0" r="0" b="0"/>
                <wp:wrapNone/>
                <wp:docPr id="218" name="Frame21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2"/>
        </w:rPr>
        <w:t>Article III</w:t>
      </w:r>
      <w:r>
        <w:rPr>
          <w:rFonts w:ascii="Times New Roman;serif" w:hAnsi="Times New Roman;serif"/>
          <w:b/>
          <w:color w:val="000000"/>
          <w:sz w:val="22"/>
        </w:rPr>
        <w:br/>
        <w:br/>
      </w:r>
      <w:r>
        <w:rPr>
          <w:rFonts w:ascii="Times New Roman;serif" w:hAnsi="Times New Roman;serif"/>
          <w:b/>
          <w:color w:val="000000"/>
          <w:sz w:val="22"/>
          <w:u w:val="single"/>
        </w:rPr>
        <w:t>TAXES, YIELD PROTECTION AND ILLEGALITY</w:t>
      </w:r>
    </w:p>
    <w:p>
      <w:pPr>
        <w:pStyle w:val="TextBody"/>
        <w:bidi w:val="0"/>
        <w:spacing w:lineRule="auto" w:line="240" w:before="0" w:after="240"/>
        <w:ind w:left="0" w:right="0" w:firstLine="720"/>
        <w:jc w:val="both"/>
        <w:rPr/>
      </w:pPr>
      <w:r>
        <w:rPr>
          <w:rFonts w:ascii="Times New Roman;serif" w:hAnsi="Times New Roman;serif"/>
          <w:b/>
          <w:color w:val="000000"/>
          <w:sz w:val="22"/>
        </w:rPr>
        <w:t>3.01</w:t>
      </w:r>
      <w:r>
        <w:rPr>
          <w:rFonts w:ascii="Times New Roman;serif" w:hAnsi="Times New Roman;serif"/>
          <w:b/>
          <w:color w:val="000000"/>
          <w:sz w:val="22"/>
          <w:u w:val="single"/>
        </w:rPr>
        <w:t>Taxes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Defined Terms</w:t>
      </w:r>
      <w:r>
        <w:rPr>
          <w:rFonts w:ascii="Times New Roman;serif" w:hAnsi="Times New Roman;serif"/>
          <w:b w:val="false"/>
          <w:color w:val="000000"/>
          <w:sz w:val="22"/>
        </w:rPr>
        <w:t xml:space="preserve">. For purposes of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term “Applicable Law” includes FATCA and the term “Lender” includes any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Payments Free of Taxes; Obligation to Withhold; Payments on Account of Taxes</w:t>
      </w:r>
      <w:r>
        <w:rPr>
          <w:rFonts w:ascii="Times New Roman;serif" w:hAnsi="Times New Roman;serif"/>
          <w:b w:val="false"/>
          <w:color w:val="000000"/>
          <w:sz w:val="22"/>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 the deduction or withholding of any Tax from any such payment by the applicable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any required withholding or the making of all required deductions (including such withholdings and deductions applicable to additional sums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applicable Recipient receives an amount equal to the sum it would have received had no such withholding or deduction been made.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Payment of Other Taxes by the Loan Parties</w:t>
      </w:r>
      <w:r>
        <w:rPr>
          <w:rFonts w:ascii="Times New Roman;serif" w:hAnsi="Times New Roman;serif"/>
          <w:b w:val="false"/>
          <w:color w:val="000000"/>
          <w:sz w:val="22"/>
        </w:rPr>
        <w:t>. The Loan Parties shall timely pay to the relevant Governmental Authority in accordance with Applicable Law, or at the option of the Administrative Agent timely reimburse it for the payment of, any Other Taxes.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Tax Indemnifications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(i)Each of the Loan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Recipient, 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(ii)Each Lender shall, and does hereby, severally indemnify and shall make payment in respect thereof within ten (10) days after demand therefor, (A) the Administrative Agent against any Indemnified Taxes attributable to such Lender (but only to the extent that any Loan Party has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r>
        <w:rPr>
          <w:rFonts w:ascii="Times New Roman;serif" w:hAnsi="Times New Roman;serif"/>
          <w:b w:val="false"/>
          <w:color w:val="000000"/>
          <w:sz w:val="22"/>
          <w:u w:val="single"/>
        </w:rPr>
        <w:t>Section 11.06(d</w:t>
      </w:r>
      <w:r>
        <w:rPr>
          <w:rFonts w:ascii="Times New Roman;serif" w:hAnsi="Times New Roman;serif"/>
          <w:b w:val="false"/>
          <w:color w:val="000000"/>
          <w:sz w:val="22"/>
        </w:rPr>
        <w:t xml:space="preserve">) relating to the maintenance of a Participant Register and (C) the Administrative Agent and the Loan Parties, as applicable, against any Excluded Taxes 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701675"/>
                <wp:effectExtent l="0" t="0" r="0" b="0"/>
                <wp:wrapNone/>
                <wp:docPr id="219" name="Frame21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Administrative Agent to the Lender from any other source against any amount due to the Administrative Agent under this </w:t>
      </w:r>
      <w:r>
        <w:rPr>
          <w:rFonts w:ascii="Times New Roman;serif" w:hAnsi="Times New Roman;serif"/>
          <w:b w:val="false"/>
          <w:color w:val="000000"/>
          <w:sz w:val="22"/>
          <w:u w:val="single"/>
        </w:rPr>
        <w:t>clause (d)(ii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Evidence of Payments</w:t>
      </w:r>
      <w:r>
        <w:rPr>
          <w:rFonts w:ascii="Times New Roman;serif" w:hAnsi="Times New Roman;serif"/>
          <w:b w:val="false"/>
          <w:color w:val="000000"/>
          <w:sz w:val="22"/>
        </w:rPr>
        <w:t xml:space="preserve">. As soon as practicable after any payment of Taxes by any Loan Party to a Governmental Authority, as provided in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Borrower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Status of Lenders; Tax Documentation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2"/>
          <w:u w:val="single"/>
        </w:rPr>
        <w:t>Section 3.01(f)(ii)(A</w:t>
      </w:r>
      <w:r>
        <w:rPr>
          <w:rFonts w:ascii="Times New Roman;serif" w:hAnsi="Times New Roman;serif"/>
          <w:b w:val="false"/>
          <w:color w:val="000000"/>
          <w:sz w:val="22"/>
        </w:rPr>
        <w:t>), (</w:t>
      </w:r>
      <w:r>
        <w:rPr>
          <w:rFonts w:ascii="Times New Roman;serif" w:hAnsi="Times New Roman;serif"/>
          <w:b w:val="false"/>
          <w:color w:val="000000"/>
          <w:sz w:val="22"/>
          <w:u w:val="single"/>
        </w:rPr>
        <w:t>ii)(B</w:t>
      </w:r>
      <w:r>
        <w:rPr>
          <w:rFonts w:ascii="Times New Roman;serif" w:hAnsi="Times New Roman;serif"/>
          <w:b w:val="false"/>
          <w:color w:val="000000"/>
          <w:sz w:val="22"/>
        </w:rPr>
        <w:t>) and (</w:t>
      </w:r>
      <w:r>
        <w:rPr>
          <w:rFonts w:ascii="Times New Roman;serif" w:hAnsi="Times New Roman;serif"/>
          <w:b w:val="false"/>
          <w:color w:val="000000"/>
          <w:sz w:val="22"/>
          <w:u w:val="single"/>
        </w:rPr>
        <w:t>ii)(D</w:t>
      </w:r>
      <w:r>
        <w:rPr>
          <w:rFonts w:ascii="Times New Roman;serif" w:hAnsi="Times New Roman;serif"/>
          <w:b w:val="false"/>
          <w:color w:val="000000"/>
          <w:sz w:val="22"/>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(ii)Without limiting the generality of the foregoing, in the event that the Borrower is a U.S. Person,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(2)executed copies of IRS Form W-8ECI;</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701675"/>
                <wp:effectExtent l="0" t="0" r="0" b="0"/>
                <wp:wrapNone/>
                <wp:docPr id="220" name="Frame21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(3)in the case of a Foreign Lender claiming the benefits of the exemption for portfolio interest under Section 881(c) of the Code, (x) a certificate substantially in the form of </w:t>
      </w:r>
      <w:r>
        <w:rPr>
          <w:rFonts w:ascii="Times New Roman;serif" w:hAnsi="Times New Roman;serif"/>
          <w:b w:val="false"/>
          <w:color w:val="000000"/>
          <w:sz w:val="22"/>
          <w:u w:val="single"/>
        </w:rPr>
        <w:t>Exhibit M-1</w:t>
      </w:r>
      <w:r>
        <w:rPr>
          <w:color w:val="000000"/>
        </w:rPr>
        <w:t xml:space="preserve"> </w:t>
      </w:r>
      <w:r>
        <w:rPr>
          <w:rFonts w:ascii="Times New Roman;serif" w:hAnsi="Times New Roman;serif"/>
          <w:b w:val="false"/>
          <w:color w:val="000000"/>
          <w:sz w:val="22"/>
        </w:rPr>
        <w:t>to the effect that such Foreign Lender is not a “bank” within the meaning of Section 881(c)(3)(A) of the Code, a “10-percent shareholder” of the Borrower within the meaning of Section 881(c)(3)(B) of the Code, or a “controlled foreign corporation” described in Section 881(c)(3)(C) of the Code (a “</w:t>
      </w:r>
      <w:r>
        <w:rPr>
          <w:rFonts w:ascii="Times New Roman;serif" w:hAnsi="Times New Roman;serif"/>
          <w:b w:val="false"/>
          <w:i/>
          <w:color w:val="000000"/>
          <w:sz w:val="22"/>
          <w:u w:val="single"/>
        </w:rPr>
        <w:t>U</w:t>
      </w:r>
      <w:r>
        <w:rPr>
          <w:rFonts w:ascii="Times New Roman;serif" w:hAnsi="Times New Roman;serif"/>
          <w:b w:val="false"/>
          <w:color w:val="000000"/>
          <w:sz w:val="22"/>
          <w:u w:val="single"/>
        </w:rPr>
        <w:t>.</w:t>
      </w:r>
      <w:r>
        <w:rPr>
          <w:rFonts w:ascii="Times New Roman;serif" w:hAnsi="Times New Roman;serif"/>
          <w:b w:val="false"/>
          <w:i/>
          <w:color w:val="000000"/>
          <w:sz w:val="22"/>
          <w:u w:val="single"/>
        </w:rPr>
        <w:t>S</w:t>
      </w:r>
      <w:r>
        <w:rPr>
          <w:rFonts w:ascii="Times New Roman;serif" w:hAnsi="Times New Roman;serif"/>
          <w:b w:val="false"/>
          <w:color w:val="000000"/>
          <w:sz w:val="22"/>
          <w:u w:val="single"/>
        </w:rPr>
        <w:t xml:space="preserve">. </w:t>
      </w:r>
      <w:r>
        <w:rPr>
          <w:rFonts w:ascii="Times New Roman;serif" w:hAnsi="Times New Roman;serif"/>
          <w:b w:val="false"/>
          <w:i/>
          <w:color w:val="000000"/>
          <w:sz w:val="22"/>
          <w:u w:val="single"/>
        </w:rPr>
        <w:t>Tax Compliance Certificate</w:t>
      </w:r>
      <w:r>
        <w:rPr>
          <w:color w:val="000000"/>
        </w:rPr>
        <w:t>”</w:t>
      </w:r>
      <w:r>
        <w:rPr>
          <w:rFonts w:ascii="Times New Roman;serif" w:hAnsi="Times New Roman;serif"/>
          <w:b w:val="false"/>
          <w:color w:val="000000"/>
          <w:sz w:val="22"/>
        </w:rPr>
        <w:t>) and (y) executed copies of IRS Form W-8BEN-E (or W-8BEN, as applicable);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(4)to the extent a Foreign Lender is not the beneficial owner, executed copies of IRS Form W-8IMY, accompanied by IRS Form W-8ECI, IRS Form W-8BEN-E (or W-8BEN, as applicable), a U.S. Tax Compliance Certificate substantially in the form of </w:t>
      </w:r>
      <w:r>
        <w:rPr>
          <w:rFonts w:ascii="Times New Roman;serif" w:hAnsi="Times New Roman;serif"/>
          <w:b w:val="false"/>
          <w:color w:val="000000"/>
          <w:sz w:val="22"/>
          <w:u w:val="single"/>
        </w:rPr>
        <w:t>Exhibit M-2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Exhibit M-3</w:t>
      </w:r>
      <w:r>
        <w:rPr>
          <w:rFonts w:ascii="Times New Roman;serif" w:hAnsi="Times New Roman;serif"/>
          <w:b w:val="false"/>
          <w:color w:val="000000"/>
          <w:sz w:val="22"/>
        </w:rPr>
        <w:t xml:space="preserve">, IRS Form W-9, and/or other certification documents from each beneficial owner,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val="false"/>
          <w:color w:val="000000"/>
          <w:sz w:val="22"/>
          <w:u w:val="single"/>
        </w:rPr>
        <w:t>Exhibit M-4</w:t>
      </w:r>
      <w:r>
        <w:rPr>
          <w:color w:val="000000"/>
        </w:rPr>
        <w:t xml:space="preserve"> </w:t>
      </w:r>
      <w:r>
        <w:rPr>
          <w:rFonts w:ascii="Times New Roman;serif" w:hAnsi="Times New Roman;serif"/>
          <w:b w:val="false"/>
          <w:color w:val="000000"/>
          <w:sz w:val="22"/>
        </w:rPr>
        <w:t>on behalf of each such direct and indirect partner;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the purposes of this </w:t>
      </w:r>
      <w:r>
        <w:rPr>
          <w:rFonts w:ascii="Times New Roman;serif" w:hAnsi="Times New Roman;serif"/>
          <w:b w:val="false"/>
          <w:color w:val="000000"/>
          <w:sz w:val="22"/>
          <w:u w:val="single"/>
        </w:rPr>
        <w:t>clause (f)(ii)(D</w:t>
      </w:r>
      <w:r>
        <w:rPr>
          <w:rFonts w:ascii="Times New Roman;serif" w:hAnsi="Times New Roman;serif"/>
          <w:b w:val="false"/>
          <w:color w:val="000000"/>
          <w:sz w:val="22"/>
        </w:rPr>
        <w:t>), “FATCA” shall include any amendments made to FATCA after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(iii)Each Lender agrees that if any form or certification it previously delivered pursuant to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Treatment of Certain Refunds</w:t>
      </w:r>
      <w:r>
        <w:rPr>
          <w:rFonts w:ascii="Times New Roman;serif" w:hAnsi="Times New Roman;serif"/>
          <w:b w:val="false"/>
          <w:color w:val="000000"/>
          <w:sz w:val="22"/>
        </w:rPr>
        <w:t xml:space="preserve">. If any Recipient determines, in its sole discretion exercised in good faith, that it has received a refund of any Taxes as to which it has been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701675"/>
                <wp:effectExtent l="0" t="0" r="0" b="0"/>
                <wp:wrapNone/>
                <wp:docPr id="221" name="Frame22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indemnified by any Loan Party or with respect to which any Loan Party has paid additional amounts pursuant to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it shall pay to such Loan Party an amount equal to such refund (but only to the extent of indemnity payments made, or additional amounts paid, by such Loan Party under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with respect to the Taxes giving rise to such refund), net of all out-of-pocket expenses (including Taxes) incurred by such Recipient, as the case may be, and without interest (other than any interest paid by the relevant Governmental Authority with respect to such refund), provided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w:t>
      </w:r>
      <w:r>
        <w:rPr>
          <w:rFonts w:ascii="Times New Roman;serif" w:hAnsi="Times New Roman;serif"/>
          <w:b w:val="false"/>
          <w:color w:val="000000"/>
          <w:sz w:val="22"/>
          <w:u w:val="single"/>
        </w:rPr>
        <w:t>clause (g</w:t>
      </w:r>
      <w:r>
        <w:rPr>
          <w:rFonts w:ascii="Times New Roman;serif" w:hAnsi="Times New Roman;serif"/>
          <w:b w:val="false"/>
          <w:color w:val="000000"/>
          <w:sz w:val="22"/>
        </w:rPr>
        <w:t xml:space="preserve">), in no event will the applicable Recipient be required to pay any amount to such Loan Party pursuant to this </w:t>
      </w:r>
      <w:r>
        <w:rPr>
          <w:rFonts w:ascii="Times New Roman;serif" w:hAnsi="Times New Roman;serif"/>
          <w:b w:val="false"/>
          <w:color w:val="000000"/>
          <w:sz w:val="22"/>
          <w:u w:val="single"/>
        </w:rPr>
        <w:t>clause (g</w:t>
      </w:r>
      <w:r>
        <w:rPr>
          <w:rFonts w:ascii="Times New Roman;serif" w:hAnsi="Times New Roman;serif"/>
          <w:b w:val="false"/>
          <w:color w:val="000000"/>
          <w:sz w:val="22"/>
        </w:rPr>
        <w:t xml:space="preserve">)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serif" w:hAnsi="Times New Roman;serif"/>
          <w:b w:val="false"/>
          <w:color w:val="000000"/>
          <w:sz w:val="22"/>
          <w:u w:val="single"/>
        </w:rPr>
        <w:t>clause (g</w:t>
      </w:r>
      <w:r>
        <w:rPr>
          <w:rFonts w:ascii="Times New Roman;serif" w:hAnsi="Times New Roman;serif"/>
          <w:b w:val="false"/>
          <w:color w:val="000000"/>
          <w:sz w:val="22"/>
        </w:rPr>
        <w:t>) shall not be construed to require any Recipient to make available its tax returns (or any other information relating to its Taxes that it deems confidential) to any Loan Party or any other Person.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Each party’s obligations under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shall survive the resignation or replacement of the Administrative Agent or any assignment of rights by, or the replacement of, a Lender, the termination of the Commitments and the repayment, satisfaction or discharge of all other Obligations.</w:t>
      </w:r>
    </w:p>
    <w:p>
      <w:pPr>
        <w:pStyle w:val="TextBody"/>
        <w:bidi w:val="0"/>
        <w:spacing w:lineRule="auto" w:line="240" w:before="0" w:after="240"/>
        <w:ind w:left="0" w:right="0" w:firstLine="720"/>
        <w:jc w:val="both"/>
        <w:rPr/>
      </w:pPr>
      <w:r>
        <w:rPr>
          <w:rFonts w:ascii="Times New Roman;serif" w:hAnsi="Times New Roman;serif"/>
          <w:b/>
          <w:color w:val="000000"/>
          <w:sz w:val="22"/>
        </w:rPr>
        <w:t>3.02</w:t>
      </w:r>
      <w:r>
        <w:rPr>
          <w:rFonts w:ascii="Times New Roman;serif" w:hAnsi="Times New Roman;serif"/>
          <w:b/>
          <w:color w:val="000000"/>
          <w:sz w:val="22"/>
          <w:u w:val="single"/>
        </w:rPr>
        <w:t>Illegality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If any Lender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such Lender to make, maintain or fund Term SOFR Loans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 to such day, or immediately, if such Lender may not lawfully continue to maintain such Term SOFR Loan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701675"/>
                <wp:effectExtent l="0" t="0" r="0" b="0"/>
                <wp:wrapNone/>
                <wp:docPr id="222" name="Frame22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3.03</w:t>
      </w:r>
      <w:r>
        <w:rPr>
          <w:rFonts w:ascii="Times New Roman;serif" w:hAnsi="Times New Roman;serif"/>
          <w:b/>
          <w:color w:val="000000"/>
          <w:sz w:val="22"/>
          <w:u w:val="single"/>
        </w:rPr>
        <w:t>Inability to Determine Rates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(a)If in connection with any request for a Term SOFR Loan or a conversion of Base Rate Loans to Term SOFR Loans or a continuation of any of such Loans, as applicable, (i) the Administrative Agent determines (which determination shall be conclusive absent manifest error) that (A) no Successor Rate has been determined in accordance with </w:t>
      </w:r>
      <w:r>
        <w:rPr>
          <w:rFonts w:ascii="Times New Roman;serif" w:hAnsi="Times New Roman;serif"/>
          <w:b w:val="false"/>
          <w:color w:val="000000"/>
          <w:sz w:val="22"/>
          <w:u w:val="single"/>
        </w:rPr>
        <w:t>Section 3.03(b),</w:t>
      </w:r>
      <w:r>
        <w:rPr>
          <w:color w:val="000000"/>
        </w:rPr>
        <w:t xml:space="preserve"> </w:t>
      </w:r>
      <w:r>
        <w:rPr>
          <w:rFonts w:ascii="Times New Roman;serif" w:hAnsi="Times New Roman;serif"/>
          <w:b w:val="false"/>
          <w:color w:val="000000"/>
          <w:sz w:val="22"/>
        </w:rPr>
        <w:t xml:space="preserve">and the circumstances under clause (i) of </w:t>
      </w:r>
      <w:r>
        <w:rPr>
          <w:rFonts w:ascii="Times New Roman;serif" w:hAnsi="Times New Roman;serif"/>
          <w:b w:val="false"/>
          <w:color w:val="000000"/>
          <w:sz w:val="22"/>
          <w:u w:val="single"/>
        </w:rPr>
        <w:t>Section 3.03(b)</w:t>
      </w:r>
      <w:r>
        <w:rPr>
          <w:color w:val="000000"/>
        </w:rPr>
        <w:t xml:space="preserve"> </w:t>
      </w:r>
      <w:r>
        <w:rPr>
          <w:rFonts w:ascii="Times New Roman;serif" w:hAnsi="Times New Roman;serif"/>
          <w:b w:val="false"/>
          <w:color w:val="000000"/>
          <w:sz w:val="22"/>
        </w:rPr>
        <w:t>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Term SOFR for any requested Interest Period with respect to a proposed Loan does not adequately and fairly reflect the cost to such Lenders of funding such Loan, the Administrative Agent will promptly so notify the Borrower and each Lender.</w:t>
      </w:r>
    </w:p>
    <w:p>
      <w:pPr>
        <w:pStyle w:val="TextBody"/>
        <w:bidi w:val="0"/>
        <w:spacing w:lineRule="auto" w:line="288" w:before="0" w:after="240"/>
        <w:jc w:val="both"/>
        <w:rPr/>
      </w:pPr>
      <w:r>
        <w:rPr>
          <w:rFonts w:ascii="Times New Roman;serif" w:hAnsi="Times New Roman;serif"/>
          <w:b w:val="false"/>
          <w:color w:val="000000"/>
          <w:sz w:val="22"/>
        </w:rPr>
        <w:t xml:space="preserve">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serif" w:hAnsi="Times New Roman;serif"/>
          <w:b w:val="false"/>
          <w:color w:val="000000"/>
          <w:sz w:val="22"/>
          <w:u w:val="single"/>
        </w:rPr>
        <w:t>Section 3.03(a)</w:t>
      </w:r>
      <w:r>
        <w:rPr>
          <w:rFonts w:ascii="Times New Roman;serif" w:hAnsi="Times New Roman;serif"/>
          <w:b w:val="false"/>
          <w:color w:val="000000"/>
          <w:sz w:val="22"/>
        </w:rPr>
        <w:t>, until the Administrative Agent upon instruction of the Required Lenders) revokes such notice.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(ii)CME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w:t>
      </w:r>
      <w:r>
        <w:rPr>
          <w:color w:val="0000FF"/>
        </w:rPr>
        <w:t xml:space="preserve"> </w:t>
      </w:r>
      <w:r>
        <w:rPr>
          <w:rFonts w:ascii="Times New Roman;serif" w:hAnsi="Times New Roman;serif"/>
          <w:b w:val="false"/>
          <w:color w:val="000000"/>
          <w:sz w:val="22"/>
        </w:rPr>
        <w:t>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serif" w:hAnsi="Times New Roman;serif"/>
          <w:b w:val="false"/>
          <w:i/>
          <w:color w:val="000000"/>
          <w:sz w:val="22"/>
          <w:u w:val="single"/>
        </w:rPr>
        <w:t>Scheduled Unavailability Date</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701675"/>
                <wp:effectExtent l="0" t="0" r="0" b="0"/>
                <wp:wrapNone/>
                <wp:docPr id="223" name="Frame22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then, on a date and time determined by the Administrative Agent (any such date, the “</w:t>
      </w:r>
      <w:r>
        <w:rPr>
          <w:rFonts w:ascii="Times New Roman;serif" w:hAnsi="Times New Roman;serif"/>
          <w:b w:val="false"/>
          <w:i/>
          <w:color w:val="000000"/>
          <w:sz w:val="22"/>
          <w:u w:val="single"/>
        </w:rPr>
        <w:t>Term SOFR Replacement Date</w:t>
      </w:r>
      <w:r>
        <w:rPr>
          <w:color w:val="000000"/>
        </w:rPr>
        <w:t>”</w:t>
      </w:r>
      <w:r>
        <w:rPr>
          <w:rFonts w:ascii="Times New Roman;serif" w:hAnsi="Times New Roman;serif"/>
          <w:b w:val="false"/>
          <w:color w:val="000000"/>
          <w:sz w:val="22"/>
        </w:rPr>
        <w:t xml:space="preserve">), which date shall be at the end of an Interest Period or on the relevant interest payment date, as applicable, for interest calculated and, solely with respect to </w:t>
      </w:r>
      <w:r>
        <w:rPr>
          <w:rFonts w:ascii="Times New Roman;serif" w:hAnsi="Times New Roman;serif"/>
          <w:b w:val="false"/>
          <w:color w:val="000000"/>
          <w:sz w:val="22"/>
          <w:u w:val="single"/>
        </w:rPr>
        <w:t>Section 3.03(b)(ii)</w:t>
      </w:r>
      <w:r>
        <w:rPr>
          <w:color w:val="000000"/>
        </w:rPr>
        <w:t xml:space="preserve"> </w:t>
      </w:r>
      <w:r>
        <w:rPr>
          <w:rFonts w:ascii="Times New Roman;serif" w:hAnsi="Times New Roman;serif"/>
          <w:b w:val="false"/>
          <w:color w:val="000000"/>
          <w:sz w:val="22"/>
        </w:rPr>
        <w:t xml:space="preserve">above, (i) no later than the Scheduled Unavailability Date, or (ii) if the events or circumstances of the type described in </w:t>
      </w:r>
      <w:r>
        <w:rPr>
          <w:rFonts w:ascii="Times New Roman;serif" w:hAnsi="Times New Roman;serif"/>
          <w:b w:val="false"/>
          <w:color w:val="000000"/>
          <w:sz w:val="22"/>
          <w:u w:val="single"/>
        </w:rPr>
        <w:t>Section 3.03(b)(i)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3.03(b)(ii)</w:t>
      </w:r>
      <w:r>
        <w:rPr>
          <w:color w:val="000000"/>
        </w:rPr>
        <w:t xml:space="preserve"> </w:t>
      </w:r>
      <w:r>
        <w:rPr>
          <w:rFonts w:ascii="Times New Roman;serif" w:hAnsi="Times New Roman;serif"/>
          <w:b w:val="false"/>
          <w:color w:val="000000"/>
          <w:sz w:val="22"/>
        </w:rPr>
        <w:t xml:space="preserve">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serif" w:hAnsi="Times New Roman;serif"/>
          <w:b w:val="false"/>
          <w:color w:val="000000"/>
          <w:sz w:val="22"/>
          <w:u w:val="single"/>
        </w:rPr>
        <w:t>Section 3.03</w:t>
      </w:r>
      <w:r>
        <w:rPr>
          <w:color w:val="000000"/>
        </w:rPr>
        <w:t xml:space="preserve"> </w:t>
      </w:r>
      <w:r>
        <w:rPr>
          <w:rFonts w:ascii="Times New Roman;serif" w:hAnsi="Times New Roman;serif"/>
          <w:b w:val="false"/>
          <w:color w:val="000000"/>
          <w:sz w:val="22"/>
        </w:rPr>
        <w:t>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Times New Roman;serif" w:hAnsi="Times New Roman;serif"/>
          <w:b w:val="false"/>
          <w:color w:val="000000"/>
          <w:sz w:val="22"/>
          <w:u w:val="single"/>
        </w:rPr>
        <w:t>Successor Rate</w:t>
      </w:r>
      <w:r>
        <w:rPr>
          <w:color w:val="000000"/>
        </w:rPr>
        <w:t>”</w:t>
      </w:r>
      <w:r>
        <w:rPr>
          <w:rFonts w:ascii="Times New Roman;serif" w:hAnsi="Times New Roman;serif"/>
          <w:b w:val="false"/>
          <w:color w:val="000000"/>
          <w:sz w:val="22"/>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Administrative Agent will promptly (in one or more notices) notify the Borrower and each Lender of the implementation of any Successor Rate.</w:t>
      </w:r>
    </w:p>
    <w:p>
      <w:pPr>
        <w:pStyle w:val="TextBody"/>
        <w:bidi w:val="0"/>
        <w:spacing w:lineRule="auto" w:line="288" w:before="0" w:after="240"/>
        <w:jc w:val="both"/>
        <w:rPr/>
      </w:pPr>
      <w:r>
        <w:rPr>
          <w:rFonts w:ascii="Times New Roman;serif" w:hAnsi="Times New Roman;serif"/>
          <w:b w:val="false"/>
          <w:color w:val="000000"/>
          <w:sz w:val="22"/>
        </w:rPr>
        <w:t xml:space="preserve">Any Successor Rate shall be applied in a manner consistent with market practice;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to the extent such market practice is not administratively feasible for the Administrative Agent, such Successor Rate shall be applied in a manner as otherwise reasonably determined by the Administrative Agent.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anything else herein, if at any time any Successor Rate as so determined would otherwise be less than zero, the Successor Rate will be deemed to be zero for the purposes of this Agreement and the other Loan Documents.</w:t>
      </w:r>
    </w:p>
    <w:p>
      <w:pPr>
        <w:pStyle w:val="TextBody"/>
        <w:bidi w:val="0"/>
        <w:spacing w:lineRule="auto" w:line="288" w:before="0" w:after="240"/>
        <w:jc w:val="both"/>
        <w:rPr/>
      </w:pPr>
      <w:r>
        <w:rPr>
          <w:rFonts w:ascii="Times New Roman;serif" w:hAnsi="Times New Roman;serif"/>
          <w:b w:val="false"/>
          <w:color w:val="000000"/>
          <w:sz w:val="22"/>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lineRule="auto" w:line="288" w:before="0" w:after="240"/>
        <w:jc w:val="both"/>
        <w:rPr/>
      </w:pPr>
      <w:r>
        <w:rPr>
          <w:rFonts w:ascii="Times New Roman;serif" w:hAnsi="Times New Roman;serif"/>
          <w:b w:val="false"/>
          <w:color w:val="000000"/>
          <w:sz w:val="22"/>
        </w:rPr>
        <w:t xml:space="preserve">(d)For purposes of this </w:t>
      </w:r>
      <w:r>
        <w:rPr>
          <w:rFonts w:ascii="Times New Roman;serif" w:hAnsi="Times New Roman;serif"/>
          <w:b w:val="false"/>
          <w:color w:val="000000"/>
          <w:sz w:val="22"/>
          <w:u w:val="single"/>
        </w:rPr>
        <w:t>Section 3.03</w:t>
      </w:r>
      <w:r>
        <w:rPr>
          <w:rFonts w:ascii="Times New Roman;serif" w:hAnsi="Times New Roman;serif"/>
          <w:b w:val="false"/>
          <w:color w:val="000000"/>
          <w:sz w:val="22"/>
        </w:rPr>
        <w:t>, those Lenders that either have not made, or do not have an obligation under this Agreement to make, the relevant Loans in Dollars shall be excluded from any determination of Required Lenders.</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701675"/>
                <wp:effectExtent l="0" t="0" r="0" b="0"/>
                <wp:wrapNone/>
                <wp:docPr id="224" name="Frame22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3.04</w:t>
      </w:r>
      <w:r>
        <w:rPr>
          <w:rFonts w:ascii="Times New Roman;serif" w:hAnsi="Times New Roman;serif"/>
          <w:b/>
          <w:color w:val="000000"/>
          <w:sz w:val="22"/>
          <w:u w:val="single"/>
        </w:rPr>
        <w:t>Increased Costs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Increased Costs Generally</w:t>
      </w:r>
      <w:r>
        <w:rPr>
          <w:rFonts w:ascii="Times New Roman;serif" w:hAnsi="Times New Roman;serif"/>
          <w:b w:val="false"/>
          <w:color w:val="000000"/>
          <w:sz w:val="22"/>
        </w:rPr>
        <w:t>. If any Change in Law shall:</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(i)impose, modify or deem applicable any reserve, special deposit, compulsory loan, insurance charge or similar requirement against assets of, deposits with or for the account of, or credit extended or participated in by, any Lender or any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(ii)subject any Recipient to any Taxes (other than (A) Indemnified Taxes, (B) Taxes described in </w:t>
      </w:r>
      <w:r>
        <w:rPr>
          <w:rFonts w:ascii="Times New Roman;serif" w:hAnsi="Times New Roman;serif"/>
          <w:b w:val="false"/>
          <w:color w:val="000000"/>
          <w:sz w:val="22"/>
          <w:u w:val="single"/>
        </w:rPr>
        <w:t>clauses (b</w:t>
      </w:r>
      <w:r>
        <w:rPr>
          <w:rFonts w:ascii="Times New Roman;serif" w:hAnsi="Times New Roman;serif"/>
          <w:b w:val="false"/>
          <w:color w:val="000000"/>
          <w:sz w:val="22"/>
        </w:rPr>
        <w:t>) through (</w:t>
      </w:r>
      <w:r>
        <w:rPr>
          <w:rFonts w:ascii="Times New Roman;serif" w:hAnsi="Times New Roman;serif"/>
          <w:b w:val="false"/>
          <w:color w:val="000000"/>
          <w:sz w:val="22"/>
          <w:u w:val="single"/>
        </w:rPr>
        <w:t>d</w:t>
      </w:r>
      <w:r>
        <w:rPr>
          <w:rFonts w:ascii="Times New Roman;serif" w:hAnsi="Times New Roman;serif"/>
          <w:b w:val="false"/>
          <w:color w:val="000000"/>
          <w:sz w:val="22"/>
        </w:rPr>
        <w:t>)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(iii)impose on any Lender or any L/C Issuer any other condition, cost or expense (other than Taxes) affecting this Agreement or Term SOFR Loans made by such Lender or any Letter of Credit or participation therein;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the result of any of the foregoing shall be to increase the cost to such Lender of making, converting to, continuing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Capital Requirements</w:t>
      </w:r>
      <w:r>
        <w:rPr>
          <w:rFonts w:ascii="Times New Roman;serif" w:hAnsi="Times New Roman;serif"/>
          <w:b w:val="false"/>
          <w:color w:val="000000"/>
          <w:sz w:val="22"/>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then from time to time the Borrower will pay to such Lender or such L/C Issuer, as the case may be, such additional amount or amounts as will compensate such Lender or such L/C Issuer or such Lender’s or such L/C Issuer’s holding company for any such reduction suffered.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Certificates for Reimbursement</w:t>
      </w:r>
      <w:r>
        <w:rPr>
          <w:rFonts w:ascii="Times New Roman;serif" w:hAnsi="Times New Roman;serif"/>
          <w:b w:val="false"/>
          <w:color w:val="000000"/>
          <w:sz w:val="22"/>
        </w:rPr>
        <w:t xml:space="preserve">. A certificate of a Lender or an L/C Issuer setting forth the amount or amounts necessary to compensate such Lender or such L/C Issuer or its holding company, as the case may be, as specified in </w:t>
      </w:r>
      <w:r>
        <w:rPr>
          <w:rFonts w:ascii="Times New Roman;serif" w:hAnsi="Times New Roman;serif"/>
          <w:b w:val="false"/>
          <w:color w:val="000000"/>
          <w:sz w:val="22"/>
          <w:u w:val="single"/>
        </w:rPr>
        <w:t>clause (a</w:t>
      </w:r>
      <w:r>
        <w:rPr>
          <w:rFonts w:ascii="Times New Roman;serif" w:hAnsi="Times New Roman;serif"/>
          <w:b w:val="false"/>
          <w:color w:val="000000"/>
          <w:sz w:val="22"/>
        </w:rPr>
        <w:t>) 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and delivered to the Borrower shall be conclusive absent manifest error. The Borrower shall pay such Lender or such L/C Issuer, as the case may be, the amount shown as due on any such certificate within ten (10) days after receipt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Delay in Requests</w:t>
      </w:r>
      <w:r>
        <w:rPr>
          <w:rFonts w:ascii="Times New Roman;serif" w:hAnsi="Times New Roman;serif"/>
          <w:b w:val="false"/>
          <w:color w:val="000000"/>
          <w:sz w:val="22"/>
        </w:rPr>
        <w:t xml:space="preserve">. Failure or delay on the part of any Lender or any L/C Issuer to demand compensation pursuant to the foregoing provisions of this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 xml:space="preserve">shall not constitute a waiver of such Lender’s or such L/C Issuer’s right to demand such compensation, provided that the Borrower shall not be required to compensate a Lender or an L/C Issuer pursuant to the foregoing provisions of this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 xml:space="preserve">for any increased costs incurred or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701675"/>
                <wp:effectExtent l="0" t="0" r="0" b="0"/>
                <wp:wrapNone/>
                <wp:docPr id="225" name="Frame22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reductions suffered more than nine (9)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 (9) month period referred to above shall be extended to include the period of retroactive effect thereof).</w:t>
      </w:r>
    </w:p>
    <w:p>
      <w:pPr>
        <w:pStyle w:val="TextBody"/>
        <w:bidi w:val="0"/>
        <w:spacing w:lineRule="auto" w:line="240" w:before="0" w:after="240"/>
        <w:ind w:left="0" w:right="0" w:firstLine="720"/>
        <w:jc w:val="both"/>
        <w:rPr/>
      </w:pPr>
      <w:r>
        <w:rPr>
          <w:rFonts w:ascii="Times New Roman;serif" w:hAnsi="Times New Roman;serif"/>
          <w:b/>
          <w:color w:val="000000"/>
          <w:sz w:val="22"/>
        </w:rPr>
        <w:t>3.05</w:t>
      </w:r>
      <w:r>
        <w:rPr>
          <w:rFonts w:ascii="Times New Roman;serif" w:hAnsi="Times New Roman;serif"/>
          <w:b/>
          <w:color w:val="000000"/>
          <w:sz w:val="22"/>
          <w:u w:val="single"/>
        </w:rPr>
        <w:t>Compensation for Losses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demand of any Lender (with a copy to the Administrative Agent) from time to time, the Borrower shall promptly compensate such Lender for and hold such Lender harmless from any loss, cost or expense incurred by it as a result 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(a)any continuation, conversion, payment or prepayment of any Loan other than a Base Rate Loan on a day other than the last day of the Interest Period for such Loan (whether voluntary, mandatory, automatic, by reason of acceleration,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2"/>
        </w:rPr>
        <w:t>(b)any failure by the Borrower (for a reason other than the failure of such Lender to make a Loan) to prepay, borrow, continue or convert any Loan other than a Base Rate Loan</w:t>
      </w:r>
      <w:r>
        <w:rPr>
          <w:color w:val="7030A0"/>
        </w:rPr>
        <w:t xml:space="preserve"> </w:t>
      </w:r>
      <w:r>
        <w:rPr>
          <w:rFonts w:ascii="Times New Roman;serif" w:hAnsi="Times New Roman;serif"/>
          <w:b w:val="false"/>
          <w:color w:val="000000"/>
          <w:sz w:val="22"/>
        </w:rPr>
        <w:t>on the date or in the amount notified by the Borrower;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(c)any assignment of a Term SOFR Loan on a day other than the last day of the Interest Period therefor as a result of a request by the Borrower pursuant to </w:t>
      </w:r>
      <w:r>
        <w:rPr>
          <w:rFonts w:ascii="Times New Roman;serif" w:hAnsi="Times New Roman;serif"/>
          <w:b w:val="false"/>
          <w:color w:val="000000"/>
          <w:sz w:val="22"/>
          <w:u w:val="single"/>
        </w:rPr>
        <w:t>Section 11.13</w:t>
      </w:r>
      <w:r>
        <w:rPr>
          <w:rFonts w:ascii="Times New Roman;serif" w:hAnsi="Times New Roman;serif"/>
          <w:b w:val="false"/>
          <w:color w:val="000000"/>
          <w:sz w:val="22"/>
        </w:rPr>
        <w:t xml:space="preserv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 A certificate of any Lender setting forth any amount or amounts that such Lender is entitled to receive pursuant to this Section shall be delivered to the Borrower and shall be conclusive absent manifest error. Such certificate shall set forth the basis for the claim for amounts, the amounts (calculated in reasonable detail) required to be paid by the Borrower to such Lender. The Borrower shall pay such Lender the amount shown as due on any such certificate within ten (10) days after receipt thereof.</w:t>
      </w:r>
    </w:p>
    <w:p>
      <w:pPr>
        <w:pStyle w:val="TextBody"/>
        <w:bidi w:val="0"/>
        <w:spacing w:lineRule="auto" w:line="240" w:before="0" w:after="240"/>
        <w:ind w:left="0" w:right="0" w:firstLine="720"/>
        <w:jc w:val="both"/>
        <w:rPr/>
      </w:pPr>
      <w:r>
        <w:rPr>
          <w:rFonts w:ascii="Times New Roman;serif" w:hAnsi="Times New Roman;serif"/>
          <w:b/>
          <w:color w:val="000000"/>
          <w:sz w:val="22"/>
        </w:rPr>
        <w:t>3.06</w:t>
      </w:r>
      <w:r>
        <w:rPr>
          <w:rFonts w:ascii="Times New Roman;serif" w:hAnsi="Times New Roman;serif"/>
          <w:b/>
          <w:color w:val="000000"/>
          <w:sz w:val="22"/>
          <w:u w:val="single"/>
        </w:rPr>
        <w:t>Mitigation Obligations</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Replacement of Lenders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Designation of a Different Lending Office</w:t>
      </w:r>
      <w:r>
        <w:rPr>
          <w:rFonts w:ascii="Times New Roman;serif" w:hAnsi="Times New Roman;serif"/>
          <w:b w:val="false"/>
          <w:color w:val="000000"/>
          <w:sz w:val="22"/>
        </w:rPr>
        <w:t xml:space="preserve">. If any Lender requests compensation under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or requires the Borrower to pay any Indemnified Taxes or additional amounts to any Lender, any L/C Issuer, or any Governmental Authority for the account of any Lender or any L/C Issuer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or if any Lender gives a notice pursuant to </w:t>
      </w:r>
      <w:r>
        <w:rPr>
          <w:rFonts w:ascii="Times New Roman;serif" w:hAnsi="Times New Roman;serif"/>
          <w:b w:val="false"/>
          <w:color w:val="000000"/>
          <w:sz w:val="22"/>
          <w:u w:val="single"/>
        </w:rPr>
        <w:t>Section 3.02</w:t>
      </w:r>
      <w:r>
        <w:rPr>
          <w:rFonts w:ascii="Times New Roman;serif" w:hAnsi="Times New Roman;serif"/>
          <w:b w:val="false"/>
          <w:color w:val="000000"/>
          <w:sz w:val="22"/>
        </w:rPr>
        <w:t xml:space="preserve">, then at the request of the Borrower,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as the case may be, in the future, or eliminate the need for the notice pursuant to </w:t>
      </w:r>
      <w:r>
        <w:rPr>
          <w:rFonts w:ascii="Times New Roman;serif" w:hAnsi="Times New Roman;serif"/>
          <w:b w:val="false"/>
          <w:color w:val="000000"/>
          <w:sz w:val="22"/>
          <w:u w:val="single"/>
        </w:rPr>
        <w:t>Section 3.02</w:t>
      </w:r>
      <w:r>
        <w:rPr>
          <w:rFonts w:ascii="Times New Roman;serif" w:hAnsi="Times New Roman;serif"/>
          <w:b w:val="false"/>
          <w:color w:val="000000"/>
          <w:sz w:val="22"/>
        </w:rPr>
        <w:t>, as applicable, and (ii) in each case, would not subject such Lender or such L/C Issuer, as the case may be, to any unreimbursed cost or expense and would not otherwise be disadvantageous to such Lender or such L/C Issuer, as the case may be. The Borrower hereby agrees to pay all reasonable costs and expenses incurred by any Lender or any L/C Issuer in connection with any such designation or assignment.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Replacement of Lenders</w:t>
      </w:r>
      <w:r>
        <w:rPr>
          <w:rFonts w:ascii="Times New Roman;serif" w:hAnsi="Times New Roman;serif"/>
          <w:b w:val="false"/>
          <w:color w:val="000000"/>
          <w:sz w:val="22"/>
        </w:rPr>
        <w:t xml:space="preserve">. If any Lender requests compensation under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or if the Borrower is required to pay any Indemnified Taxes or additional amounts to any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701675"/>
                <wp:effectExtent l="0" t="0" r="0" b="0"/>
                <wp:wrapNone/>
                <wp:docPr id="226" name="Frame22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Lender or any Governmental Authority for the account of any Lender pursuant to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and, in each case, such Lender has declined or is unable to designate a different lending office in accordance with </w:t>
      </w:r>
      <w:r>
        <w:rPr>
          <w:rFonts w:ascii="Times New Roman;serif" w:hAnsi="Times New Roman;serif"/>
          <w:b w:val="false"/>
          <w:color w:val="000000"/>
          <w:sz w:val="22"/>
          <w:u w:val="single"/>
        </w:rPr>
        <w:t>Section 3.06(a</w:t>
      </w:r>
      <w:r>
        <w:rPr>
          <w:rFonts w:ascii="Times New Roman;serif" w:hAnsi="Times New Roman;serif"/>
          <w:b w:val="false"/>
          <w:color w:val="000000"/>
          <w:sz w:val="22"/>
        </w:rPr>
        <w:t xml:space="preserve">), the Borrower may replace such Lender in accordance with </w:t>
      </w:r>
      <w:r>
        <w:rPr>
          <w:rFonts w:ascii="Times New Roman;serif" w:hAnsi="Times New Roman;serif"/>
          <w:b w:val="false"/>
          <w:color w:val="000000"/>
          <w:sz w:val="22"/>
          <w:u w:val="single"/>
        </w:rPr>
        <w:t>Section 11.13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3.07</w:t>
      </w:r>
      <w:r>
        <w:rPr>
          <w:rFonts w:ascii="Times New Roman;serif" w:hAnsi="Times New Roman;serif"/>
          <w:b/>
          <w:color w:val="000000"/>
          <w:sz w:val="22"/>
          <w:u w:val="single"/>
        </w:rPr>
        <w:t>Survival</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All of the Borrower’s obligations under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shall survive termination of the Aggregate Commitments, repayment of all other Obligations hereunder, resignation of the Administrative Agent and the Facility Termination Date.</w:t>
      </w:r>
    </w:p>
    <w:p>
      <w:pPr>
        <w:pStyle w:val="TextBody"/>
        <w:bidi w:val="0"/>
        <w:spacing w:lineRule="auto" w:line="240" w:before="0" w:after="240"/>
        <w:jc w:val="center"/>
        <w:rPr/>
      </w:pPr>
      <w:r>
        <w:rPr>
          <w:rFonts w:ascii="Times New Roman;serif" w:hAnsi="Times New Roman;serif"/>
          <w:b/>
          <w:color w:val="000000"/>
          <w:sz w:val="22"/>
        </w:rPr>
        <w:t>Article IV</w:t>
      </w:r>
      <w:r>
        <w:rPr>
          <w:rFonts w:ascii="Times New Roman;serif" w:hAnsi="Times New Roman;serif"/>
          <w:b/>
          <w:color w:val="000000"/>
          <w:sz w:val="22"/>
        </w:rPr>
        <w:br/>
        <w:br/>
      </w:r>
      <w:r>
        <w:rPr>
          <w:rFonts w:ascii="Times New Roman;serif" w:hAnsi="Times New Roman;serif"/>
          <w:b/>
          <w:color w:val="000000"/>
          <w:sz w:val="22"/>
          <w:u w:val="single"/>
        </w:rPr>
        <w:t>CONDITIONS PRECEDENT TO CREDIT EXTENSIONS</w:t>
      </w:r>
    </w:p>
    <w:p>
      <w:pPr>
        <w:pStyle w:val="TextBody"/>
        <w:bidi w:val="0"/>
        <w:spacing w:lineRule="auto" w:line="240" w:before="0" w:after="240"/>
        <w:ind w:left="0" w:right="0" w:firstLine="720"/>
        <w:jc w:val="both"/>
        <w:rPr/>
      </w:pPr>
      <w:r>
        <w:rPr>
          <w:rFonts w:ascii="Times New Roman;serif" w:hAnsi="Times New Roman;serif"/>
          <w:b/>
          <w:color w:val="000000"/>
          <w:sz w:val="22"/>
        </w:rPr>
        <w:t>4.01</w:t>
      </w:r>
      <w:r>
        <w:rPr>
          <w:rFonts w:ascii="Times New Roman;serif" w:hAnsi="Times New Roman;serif"/>
          <w:b/>
          <w:color w:val="000000"/>
          <w:sz w:val="22"/>
          <w:u w:val="single"/>
        </w:rPr>
        <w:t>Conditions of Initial Credit Extension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obligation of each L/C Issuer and each Lender to make its initial Credit Extension hereunder is subject to satisfaction of the following conditions precedent: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Execution of Credit Agreement; Loan Documents</w:t>
      </w:r>
      <w:r>
        <w:rPr>
          <w:rFonts w:ascii="Times New Roman;serif" w:hAnsi="Times New Roman;serif"/>
          <w:b w:val="false"/>
          <w:color w:val="000000"/>
          <w:sz w:val="22"/>
        </w:rPr>
        <w:t>. The Administrative Agent shall have received (i) counterparts of this Agreement, executed by a Responsible Officer of each Loan Party and a duly authorized officer of each Lender, (ii) for the account of each Lender requesting a Note, a Note executed by a Responsible Officer of the Borrower, (iii) counterparts of the Security Agreement and each other Collateral Document required to be delivered on the Closing Date, executed by a Responsible Officer of the applicable Loan Parties and a duly authorized officer of each other Person party thereto, as applicable and (iv) counterparts of the Perfection Certificate</w:t>
      </w:r>
      <w:r>
        <w:rPr>
          <w:rFonts w:ascii="Times New Roman;serif" w:hAnsi="Times New Roman;serif"/>
          <w:b w:val="false"/>
          <w:color w:val="7030A0"/>
          <w:sz w:val="22"/>
        </w:rPr>
        <w:t>,</w:t>
      </w:r>
      <w:r>
        <w:rPr>
          <w:color w:val="000000"/>
        </w:rPr>
        <w:t xml:space="preserve"> </w:t>
      </w:r>
      <w:r>
        <w:rPr>
          <w:rFonts w:ascii="Times New Roman;serif" w:hAnsi="Times New Roman;serif"/>
          <w:b w:val="false"/>
          <w:color w:val="000000"/>
          <w:sz w:val="22"/>
        </w:rPr>
        <w:t>executed by a Responsible Officer of the Borrower and Parent.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Secretary’s Certificate</w:t>
      </w:r>
      <w:r>
        <w:rPr>
          <w:rFonts w:ascii="Times New Roman;serif" w:hAnsi="Times New Roman;serif"/>
          <w:b w:val="false"/>
          <w:color w:val="000000"/>
          <w:sz w:val="22"/>
        </w:rPr>
        <w:t>. The Administrative Agent shall have received an Secretary’s Certificate dated the Closing Date, certifying as to the Organization Documents of each Loan Party (which, to the extent filed with a Governmental Authority, shall be certified as of a recent date by such Governmental Authority), the resolutions of the governing body of each Loan Party, the good standing, existence or its equivalent of each Loan Party in its jurisdiction of organization and of the incumbency (including specimen signatures) of the Responsible Officers of each Loan Party.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Legal Opinions of Counsel</w:t>
      </w:r>
      <w:r>
        <w:rPr>
          <w:rFonts w:ascii="Times New Roman;serif" w:hAnsi="Times New Roman;serif"/>
          <w:b w:val="false"/>
          <w:color w:val="000000"/>
          <w:sz w:val="22"/>
        </w:rPr>
        <w:t xml:space="preserve">. The Administrative Agent shall have received an opinion or opinions of counsel for the Loan Parties, dated the Closing Date and addressed to the Administrative Agent and the Lenders, in form and substance reasonably acceptable to the Administrative Agent.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 xml:space="preserve">. The Administrative Agent and the Lenders shall have received copies of the financial statements referred to in </w:t>
      </w:r>
      <w:r>
        <w:rPr>
          <w:rFonts w:ascii="Times New Roman;serif" w:hAnsi="Times New Roman;serif"/>
          <w:b w:val="false"/>
          <w:color w:val="000000"/>
          <w:sz w:val="22"/>
          <w:u w:val="single"/>
        </w:rPr>
        <w:t>Section 5.05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Personal Property Collateral</w:t>
      </w:r>
      <w:r>
        <w:rPr>
          <w:rFonts w:ascii="Times New Roman;serif" w:hAnsi="Times New Roman;serif"/>
          <w:b w:val="false"/>
          <w:color w:val="000000"/>
          <w:sz w:val="22"/>
        </w:rPr>
        <w:t>. The Administrative Agent shall have received, in form and substance satisfactory to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 searches of UCC filings in the jurisdiction of incorporation or formation, as applicable, of each Loan Party and each Managed Company and each jurisdiction where any material portion of the Collateral is located or where a filing would need to be made in order to perfect the Administrative Agent’s security interest in the Collateral, copies of the financing statements on file in such jurisdictions and evidence that no Liens exist other than Permitted Liens and (B) tax lien, judgment and litigation searches;</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701675"/>
                <wp:effectExtent l="0" t="0" r="0" b="0"/>
                <wp:wrapNone/>
                <wp:docPr id="227" name="Frame22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(ii)searches of ownership of Intellectual Property in the appropriate governmental offices and such patent/trademark/copyright filings as requested by the Administrative Agent in order to perfect the Administrative Agent’s security interest in the Intellectual Property;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(iii)completed UCC financing statements for each appropriate jurisdiction as is necessary, in the Administrative Agent’s reasonable discretion, to perfect the Administrative Agent’s security interest in the Collateral;</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(iv)stock or membership certificates, if any, evidencing the Pledged Equity and undated stock or transfer powers duly executed in blank; in each case to the extent such Pledged Equity is certificated;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(v)subject to </w:t>
      </w:r>
      <w:r>
        <w:rPr>
          <w:rFonts w:ascii="Times New Roman;serif" w:hAnsi="Times New Roman;serif"/>
          <w:b w:val="false"/>
          <w:color w:val="000000"/>
          <w:sz w:val="22"/>
          <w:u w:val="single"/>
        </w:rPr>
        <w:t>Section 6.22</w:t>
      </w:r>
      <w:r>
        <w:rPr>
          <w:rFonts w:ascii="Times New Roman;serif" w:hAnsi="Times New Roman;serif"/>
          <w:b w:val="false"/>
          <w:color w:val="000000"/>
          <w:sz w:val="22"/>
        </w:rPr>
        <w:t>, to the extent required to be delivered, filed, registered or recorded pursuant to the terms and conditions of the Collateral Documents, all instruments, documents and chattel paper in the possession of any of the Loan Parties, together with allonges or assignments as may be necessary or appropriate to create and perfect the Administrative Agent’s and the Lenders’ security interest in the Collateral.</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Insurance</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6.22</w:t>
      </w:r>
      <w:r>
        <w:rPr>
          <w:rFonts w:ascii="Times New Roman;serif" w:hAnsi="Times New Roman;serif"/>
          <w:b w:val="false"/>
          <w:color w:val="000000"/>
          <w:sz w:val="22"/>
        </w:rPr>
        <w:t xml:space="preserve">, the Administrative Agent shall have received copies of certificates of insurance, evidencing liability and property insurance meeting the requirements set forth herein and in the Collateral Documents, together with endorsements naming Administrative Agent as an additional insured or lenders loss payee, as the case may be. </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Solvency Certificate</w:t>
      </w:r>
      <w:r>
        <w:rPr>
          <w:rFonts w:ascii="Times New Roman;serif" w:hAnsi="Times New Roman;serif"/>
          <w:b w:val="false"/>
          <w:color w:val="000000"/>
          <w:sz w:val="22"/>
        </w:rPr>
        <w:t xml:space="preserve">. The Administrative Agent shall have received a Solvency Certificate signed by a Responsible Officer of the Parent and the Borrower as of the Closing Date, substantially in the form of </w:t>
      </w:r>
      <w:r>
        <w:rPr>
          <w:rFonts w:ascii="Times New Roman;serif" w:hAnsi="Times New Roman;serif"/>
          <w:b w:val="false"/>
          <w:color w:val="000000"/>
          <w:sz w:val="22"/>
          <w:u w:val="single"/>
        </w:rPr>
        <w:t>Exhibit 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Closing Certificate</w:t>
      </w:r>
      <w:r>
        <w:rPr>
          <w:rFonts w:ascii="Times New Roman;serif" w:hAnsi="Times New Roman;serif"/>
          <w:b w:val="false"/>
          <w:color w:val="000000"/>
          <w:sz w:val="22"/>
        </w:rPr>
        <w:t xml:space="preserve">. The Administrative Agent shall have received a certificate executed by a Responsible Officer of the Loan Parties as of the Closing Date, as to certain conditions to closing, substantially in the form of </w:t>
      </w:r>
      <w:r>
        <w:rPr>
          <w:rFonts w:ascii="Times New Roman;serif" w:hAnsi="Times New Roman;serif"/>
          <w:b w:val="false"/>
          <w:color w:val="000000"/>
          <w:sz w:val="22"/>
          <w:u w:val="single"/>
        </w:rPr>
        <w:t>Exhibit P</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Loan Notice</w:t>
      </w:r>
      <w:r>
        <w:rPr>
          <w:rFonts w:ascii="Times New Roman;serif" w:hAnsi="Times New Roman;serif"/>
          <w:b w:val="false"/>
          <w:color w:val="000000"/>
          <w:sz w:val="22"/>
        </w:rPr>
        <w:t>. The Administrative Agent shall have received a Loan Notice with respect to the Loans to be made on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Anti-Money-Laundering; Beneficial Ownership</w:t>
      </w:r>
      <w:r>
        <w:rPr>
          <w:rFonts w:ascii="Times New Roman;serif" w:hAnsi="Times New Roman;serif"/>
          <w:b w:val="false"/>
          <w:color w:val="000000"/>
          <w:sz w:val="22"/>
        </w:rPr>
        <w:t>. (i) At least three (3) Business Days prior to the Closing Date, the Loan Parties shall have provided to each Lender, and such Lender shall be satisfied with, the documentation and other information so requested in connection with applicable “know your customer” and anti-money-laundering rules and regulations, including, without limitation, the PATRIOT Act, in each case to the extent requested at least seven (7) Business Days prior to the Closing Date and (ii) at least three (3) Business Days prior to the Closing Date, any Loan Party that qualifies as a “legal entity customer” under the Beneficial Ownership Regulation shall have delivered to each Lender a Beneficial Ownership Certification in relation to such Loan Party.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u w:val="single"/>
        </w:rPr>
        <w:t>Consents</w:t>
      </w:r>
      <w:r>
        <w:rPr>
          <w:rFonts w:ascii="Times New Roman;serif" w:hAnsi="Times New Roman;serif"/>
          <w:b w:val="false"/>
          <w:color w:val="000000"/>
          <w:sz w:val="22"/>
        </w:rPr>
        <w:t>. The Administrative Agent shall have received certified copies of all material licenses, consents, authorizations and approvals of, and notices to and filings and registrations with, any Governmental Authority (including all foreign exchange approvals), and of all third-party consents and approvals, necessary in connection with the execution, delivery and performance by the Loan Parties of the Loan Documents and the Revolving Facility.</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701675"/>
                <wp:effectExtent l="0" t="0" r="0" b="0"/>
                <wp:wrapNone/>
                <wp:docPr id="228" name="Frame22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u w:val="single"/>
        </w:rPr>
        <w:t>Litigation</w:t>
      </w:r>
      <w:r>
        <w:rPr>
          <w:rFonts w:ascii="Times New Roman;serif" w:hAnsi="Times New Roman;serif"/>
          <w:b w:val="false"/>
          <w:color w:val="000000"/>
          <w:sz w:val="22"/>
        </w:rPr>
        <w:t xml:space="preserve">. No action, suit, proceeding or investigation shall be pending or, to the knowledge of the Loan Parties, threatened in any court or before any arbitrator or any Governmental Authority to enjoin, restrain, or prohibit, or which is related to or arises out of the Revolving Facility, this Agreement or the other Loan Documents.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u w:val="single"/>
        </w:rPr>
        <w:t>Fees</w:t>
      </w:r>
      <w:r>
        <w:rPr>
          <w:rFonts w:ascii="Times New Roman;serif" w:hAnsi="Times New Roman;serif"/>
          <w:b w:val="false"/>
          <w:color w:val="000000"/>
          <w:sz w:val="22"/>
        </w:rPr>
        <w:t xml:space="preserve">. The Administrative Agent, the Lead Arranger and the Lenders shall have received all fees owing pursuant to the Fee Letter and </w:t>
      </w:r>
      <w:r>
        <w:rPr>
          <w:rFonts w:ascii="Times New Roman;serif" w:hAnsi="Times New Roman;serif"/>
          <w:b w:val="false"/>
          <w:color w:val="000000"/>
          <w:sz w:val="22"/>
          <w:u w:val="single"/>
        </w:rPr>
        <w:t>Section 2.09</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u w:val="single"/>
        </w:rPr>
        <w:t>Expenses</w:t>
      </w:r>
      <w:r>
        <w:rPr>
          <w:rFonts w:ascii="Times New Roman;serif" w:hAnsi="Times New Roman;serif"/>
          <w:b w:val="false"/>
          <w:color w:val="000000"/>
          <w:sz w:val="22"/>
        </w:rPr>
        <w:t xml:space="preserve">. The Borrower shall have paid all reasonable and documented out-of-pocket fees, charges and disbursements of external counsel to the Administrative Agent and the Lead Arranger as required pursuant to </w:t>
      </w:r>
      <w:r>
        <w:rPr>
          <w:rFonts w:ascii="Times New Roman;serif" w:hAnsi="Times New Roman;serif"/>
          <w:b w:val="false"/>
          <w:color w:val="000000"/>
          <w:sz w:val="22"/>
          <w:u w:val="single"/>
        </w:rPr>
        <w:t>Section 11.04(a)</w:t>
      </w:r>
      <w:r>
        <w:rPr>
          <w:color w:val="000000"/>
        </w:rPr>
        <w:t xml:space="preserve"> </w:t>
      </w:r>
      <w:r>
        <w:rPr>
          <w:rFonts w:ascii="Times New Roman;serif" w:hAnsi="Times New Roman;serif"/>
          <w:b w:val="false"/>
          <w:color w:val="000000"/>
          <w:sz w:val="22"/>
        </w:rPr>
        <w:t>(directly to such counsel if requested by the Administrative Agent) to the extent invoiced at least two (2) Business Days prior to the Closing Date, plus such additional amounts of such fees, charges and disbursements as shall constitute its reasonable estimate of such fees, charges and disbursements incurred or to be incurred by it through the closing proceedings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estimate shall not thereafter preclude a final settling of accounts between the Borrower and 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Without limiting the generality of the provisions of </w:t>
      </w:r>
      <w:r>
        <w:rPr>
          <w:rFonts w:ascii="Times New Roman;serif" w:hAnsi="Times New Roman;serif"/>
          <w:b w:val="false"/>
          <w:color w:val="000000"/>
          <w:sz w:val="22"/>
          <w:u w:val="single"/>
        </w:rPr>
        <w:t>Section 9.03(c</w:t>
      </w:r>
      <w:r>
        <w:rPr>
          <w:rFonts w:ascii="Times New Roman;serif" w:hAnsi="Times New Roman;serif"/>
          <w:b w:val="false"/>
          <w:color w:val="000000"/>
          <w:sz w:val="22"/>
        </w:rPr>
        <w:t xml:space="preserve">), for purposes of determining compliance with the conditions specified in this </w:t>
      </w:r>
      <w:r>
        <w:rPr>
          <w:rFonts w:ascii="Times New Roman;serif" w:hAnsi="Times New Roman;serif"/>
          <w:b w:val="false"/>
          <w:color w:val="000000"/>
          <w:sz w:val="22"/>
          <w:u w:val="single"/>
        </w:rPr>
        <w:t>Section 4.01</w:t>
      </w:r>
      <w:r>
        <w:rPr>
          <w:rFonts w:ascii="Times New Roman;serif" w:hAnsi="Times New Roman;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lineRule="auto" w:line="240" w:before="0" w:after="240"/>
        <w:ind w:left="0" w:right="0" w:firstLine="720"/>
        <w:jc w:val="both"/>
        <w:rPr/>
      </w:pPr>
      <w:r>
        <w:rPr>
          <w:rFonts w:ascii="Times New Roman;serif" w:hAnsi="Times New Roman;serif"/>
          <w:b/>
          <w:color w:val="000000"/>
          <w:sz w:val="22"/>
        </w:rPr>
        <w:t>4.02</w:t>
      </w:r>
      <w:r>
        <w:rPr>
          <w:rFonts w:ascii="Times New Roman;serif" w:hAnsi="Times New Roman;serif"/>
          <w:b/>
          <w:color w:val="000000"/>
          <w:sz w:val="22"/>
          <w:u w:val="single"/>
        </w:rPr>
        <w:t>Conditions to all Credit Extensions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obligation of each Lender and each L/C Issuer to honor any Request for Credit Extension (other than a Loan Notice requesting only a conversion of Loans to the other Type, or a continuation of Term SOFR Loans) is subject to the following conditions precedent: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The representations and warranties of the Borrower and each other Loan Party contained in Article V or any other Loan Document, or which are contained in any document furnished at any time under or in connection herewith or therewith, shall be true and correct in all material respects (except, if a qualifier relating to materiality, Material Adverse Effect or a similar concept applies, such representation or warranty shall be true and correct in all respects) on and as of the date of such Credit Extension, except to the extent that such representations and warranties specifically refer to an earlier date, in which case they shall be true and correct in all material respects (except, if a qualifier relating to materiality, Material Adverse Effect or a similar concept applies, such representation or warranty shall be true and correct in all respects) as of such earlier date, and except that for purposes of this Section 4.02, the representations and warranties contained in Sections 5.05(a) and (c), and Section 5.05(b) shall be deemed to refer to the most recent statements furnished pursuant to Sections 6.01(a) and Section 6.01(b), respectively.</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Default</w:t>
      </w:r>
      <w:r>
        <w:rPr>
          <w:rFonts w:ascii="Times New Roman;serif" w:hAnsi="Times New Roman;serif"/>
          <w:b w:val="false"/>
          <w:color w:val="000000"/>
          <w:sz w:val="22"/>
        </w:rPr>
        <w:t>. No Default or Event of Default shall exist immediately prior to, or would result immediately after, such proposed Credit Extension or from the application of the proceeds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Request for Credit Extension</w:t>
      </w:r>
      <w:r>
        <w:rPr>
          <w:rFonts w:ascii="Times New Roman;serif" w:hAnsi="Times New Roman;serif"/>
          <w:b w:val="false"/>
          <w:color w:val="000000"/>
          <w:sz w:val="22"/>
        </w:rPr>
        <w:t>. The Administrative Agent and, if applicable, the applicable L/C Issuer or the Swingline Lender shall have received a Request for Credit Extension in accordance with the requirements hereof.</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701675"/>
                <wp:effectExtent l="0" t="0" r="0" b="0"/>
                <wp:wrapNone/>
                <wp:docPr id="229" name="Frame22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Request for Credit Extension (other than a Loan Notice requesting only a conversion of Loans to the other Type or a continuation of Term SOFR Loans) submitted by the Borrower shall be deemed to be a representation and warranty that the conditions specified in </w:t>
      </w:r>
      <w:r>
        <w:rPr>
          <w:rFonts w:ascii="Times New Roman;serif" w:hAnsi="Times New Roman;serif"/>
          <w:b w:val="false"/>
          <w:color w:val="000000"/>
          <w:sz w:val="22"/>
          <w:u w:val="single"/>
        </w:rPr>
        <w:t>Sections 4.02(a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 have been satisfied on and as of the date of the applicable Credit Extension.</w:t>
      </w:r>
    </w:p>
    <w:p>
      <w:pPr>
        <w:pStyle w:val="TextBody"/>
        <w:bidi w:val="0"/>
        <w:spacing w:lineRule="auto" w:line="240" w:before="0" w:after="240"/>
        <w:jc w:val="center"/>
        <w:rPr/>
      </w:pPr>
      <w:r>
        <w:rPr>
          <w:rFonts w:ascii="Times New Roman;serif" w:hAnsi="Times New Roman;serif"/>
          <w:b/>
          <w:color w:val="000000"/>
          <w:sz w:val="22"/>
        </w:rPr>
        <w:t>Article V</w:t>
      </w:r>
      <w:r>
        <w:rPr>
          <w:rFonts w:ascii="Times New Roman;serif" w:hAnsi="Times New Roman;serif"/>
          <w:b/>
          <w:color w:val="000000"/>
          <w:sz w:val="22"/>
        </w:rPr>
        <w:br/>
        <w:br/>
      </w:r>
      <w:r>
        <w:rPr>
          <w:rFonts w:ascii="Times New Roman;serif" w:hAnsi="Times New Roman;serif"/>
          <w:b/>
          <w:color w:val="000000"/>
          <w:sz w:val="22"/>
          <w:u w:val="single"/>
        </w:rPr>
        <w:t>REPRESENTATIONS AND WARRANTIES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Each Loan Party represents and warrants to the Administrative Agent and the Lenders that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any representations and warranties (other than </w:t>
      </w:r>
      <w:r>
        <w:rPr>
          <w:rFonts w:ascii="Times New Roman;serif" w:hAnsi="Times New Roman;serif"/>
          <w:b w:val="false"/>
          <w:color w:val="000000"/>
          <w:sz w:val="22"/>
          <w:u w:val="single"/>
        </w:rPr>
        <w:t>Section 5.19(c)</w:t>
      </w:r>
      <w:r>
        <w:rPr>
          <w:rFonts w:ascii="Times New Roman;serif" w:hAnsi="Times New Roman;serif"/>
          <w:b w:val="false"/>
          <w:color w:val="000000"/>
          <w:sz w:val="22"/>
        </w:rPr>
        <w:t>) with respect to the Managed Companies are made to the knowledge of the Loan Parties):</w:t>
      </w:r>
    </w:p>
    <w:p>
      <w:pPr>
        <w:pStyle w:val="TextBody"/>
        <w:bidi w:val="0"/>
        <w:spacing w:lineRule="auto" w:line="240" w:before="0" w:after="240"/>
        <w:ind w:left="0" w:right="0" w:firstLine="720"/>
        <w:jc w:val="both"/>
        <w:rPr/>
      </w:pPr>
      <w:r>
        <w:rPr>
          <w:rFonts w:ascii="Times New Roman;serif" w:hAnsi="Times New Roman;serif"/>
          <w:b/>
          <w:color w:val="000000"/>
          <w:sz w:val="22"/>
        </w:rPr>
        <w:t>5.01</w:t>
      </w:r>
      <w:r>
        <w:rPr>
          <w:rFonts w:ascii="Times New Roman;serif" w:hAnsi="Times New Roman;serif"/>
          <w:b/>
          <w:color w:val="000000"/>
          <w:sz w:val="22"/>
          <w:u w:val="single"/>
        </w:rPr>
        <w:t>Existence</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Qualification and Power</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Loan Party, each of its Subsidiaries and each Managed Company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with respect to the Loan Parties,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serif" w:hAnsi="Times New Roman;serif"/>
          <w:b w:val="false"/>
          <w:color w:val="000000"/>
          <w:sz w:val="22"/>
          <w:u w:val="single"/>
        </w:rPr>
        <w:t>clause (b)(i</w:t>
      </w:r>
      <w:r>
        <w:rPr>
          <w:rFonts w:ascii="Times New Roman;serif" w:hAnsi="Times New Roman;serif"/>
          <w:b w:val="false"/>
          <w:color w:val="000000"/>
          <w:sz w:val="22"/>
        </w:rPr>
        <w:t>) or (</w:t>
      </w:r>
      <w:r>
        <w:rPr>
          <w:rFonts w:ascii="Times New Roman;serif" w:hAnsi="Times New Roman;serif"/>
          <w:b w:val="false"/>
          <w:color w:val="000000"/>
          <w:sz w:val="22"/>
          <w:u w:val="single"/>
        </w:rPr>
        <w:t>c</w:t>
      </w:r>
      <w:r>
        <w:rPr>
          <w:rFonts w:ascii="Times New Roman;serif" w:hAnsi="Times New Roman;serif"/>
          <w:b w:val="false"/>
          <w:color w:val="000000"/>
          <w:sz w:val="22"/>
        </w:rPr>
        <w:t>), to the extent that failure to do so could not, individually or in the aggregate,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5.02</w:t>
      </w:r>
      <w:r>
        <w:rPr>
          <w:rFonts w:ascii="Times New Roman;serif" w:hAnsi="Times New Roman;serif"/>
          <w:b/>
          <w:color w:val="000000"/>
          <w:sz w:val="22"/>
          <w:u w:val="single"/>
        </w:rPr>
        <w:t>Authorization</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No Contravention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in any material respect, or the creation of (or the requirement to create) any Lien under, or require any payment to be made under (i) any material Contractual Obligation to which such Person is a party or affecting such Person or the properties of such Person or any of its Subsidiaries or (ii) any material order, injunction, writ or decree of any Governmental Authority or any material arbitral award to which such Person or its property is subject; or (c) violate any Applicable Law in any material respect.</w:t>
      </w:r>
    </w:p>
    <w:p>
      <w:pPr>
        <w:pStyle w:val="TextBody"/>
        <w:bidi w:val="0"/>
        <w:spacing w:lineRule="auto" w:line="240" w:before="0" w:after="240"/>
        <w:ind w:left="0" w:right="0" w:firstLine="720"/>
        <w:jc w:val="both"/>
        <w:rPr/>
      </w:pPr>
      <w:r>
        <w:rPr>
          <w:rFonts w:ascii="Times New Roman;serif" w:hAnsi="Times New Roman;serif"/>
          <w:b/>
          <w:color w:val="000000"/>
          <w:sz w:val="22"/>
        </w:rPr>
        <w:t>5.03</w:t>
      </w:r>
      <w:r>
        <w:rPr>
          <w:rFonts w:ascii="Times New Roman;serif" w:hAnsi="Times New Roman;serif"/>
          <w:b/>
          <w:color w:val="000000"/>
          <w:sz w:val="22"/>
          <w:u w:val="single"/>
        </w:rPr>
        <w:t>Governmental Authorization</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Other Consents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Except as disclosed on </w:t>
      </w:r>
      <w:r>
        <w:rPr>
          <w:rFonts w:ascii="Times New Roman;serif" w:hAnsi="Times New Roman;serif"/>
          <w:b w:val="false"/>
          <w:color w:val="000000"/>
          <w:sz w:val="22"/>
          <w:u w:val="single"/>
        </w:rPr>
        <w:t>Schedule 5.03</w:t>
      </w:r>
      <w:r>
        <w:rPr>
          <w:rFonts w:ascii="Times New Roman;serif" w:hAnsi="Times New Roman;serif"/>
          <w:b w:val="false"/>
          <w:color w:val="000000"/>
          <w:sz w:val="22"/>
        </w:rPr>
        <w:t>, no approval, consent, exemption, authorization, or other action by, or notice to, or filing with, any Governmental Authority (including, without limitation, the Applicable Insurance Regulatory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(including, without limitation, the pledge of the Pledged Equity of any Regulated Insurance Subsidiary and the Borrower), or (c) the perfection or maintenance of the Liens created under the Collateral Documents (including the first priority nature thereof, subject to Permitted Liens), other than (i) authorizations, consent, exemption, approvals, actions, notices and filings which have been duly obtained and (ii) filings to perfect the Liens created by the Collateral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701675"/>
                <wp:effectExtent l="0" t="0" r="0" b="0"/>
                <wp:wrapNone/>
                <wp:docPr id="230" name="Frame22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5.04</w:t>
      </w:r>
      <w:r>
        <w:rPr>
          <w:rFonts w:ascii="Times New Roman;serif" w:hAnsi="Times New Roman;serif"/>
          <w:b/>
          <w:color w:val="000000"/>
          <w:sz w:val="22"/>
          <w:u w:val="single"/>
        </w:rPr>
        <w:t>Binding Effect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principals of equity (regardless of whether such enforceability is considered in a proceeding in equity or at law).</w:t>
      </w:r>
    </w:p>
    <w:p>
      <w:pPr>
        <w:pStyle w:val="TextBody"/>
        <w:bidi w:val="0"/>
        <w:spacing w:lineRule="auto" w:line="240" w:before="0" w:after="240"/>
        <w:ind w:left="0" w:right="0" w:firstLine="720"/>
        <w:jc w:val="both"/>
        <w:rPr/>
      </w:pPr>
      <w:r>
        <w:rPr>
          <w:rFonts w:ascii="Times New Roman;serif" w:hAnsi="Times New Roman;serif"/>
          <w:b/>
          <w:color w:val="000000"/>
          <w:sz w:val="22"/>
        </w:rPr>
        <w:t>5.05</w:t>
      </w:r>
      <w:r>
        <w:rPr>
          <w:rFonts w:ascii="Times New Roman;serif" w:hAnsi="Times New Roman;serif"/>
          <w:b/>
          <w:color w:val="000000"/>
          <w:sz w:val="22"/>
          <w:u w:val="single"/>
        </w:rPr>
        <w:t>Financial Statements</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No Material Adverse Effect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Audited Financial Statements</w:t>
      </w:r>
      <w:r>
        <w:rPr>
          <w:rFonts w:ascii="Times New Roman;serif" w:hAnsi="Times New Roman;serif"/>
          <w:b w:val="false"/>
          <w:color w:val="000000"/>
          <w:sz w:val="22"/>
        </w:rPr>
        <w:t>. The Audited Financial Statements (i) were prepared in accordance with GAAP consistently applied throughout the period covered thereby, except as otherwise expressly noted therein; (ii) fairly present in all material respects the financial condition of the Combined Group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Combined Group as of the date thereof as determined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Quarterly Financial Statements</w:t>
      </w:r>
      <w:r>
        <w:rPr>
          <w:rFonts w:ascii="Times New Roman;serif" w:hAnsi="Times New Roman;serif"/>
          <w:b w:val="false"/>
          <w:color w:val="000000"/>
          <w:sz w:val="22"/>
        </w:rPr>
        <w:t xml:space="preserve">. The unaudited consolidated balance sheets of the Combined Group for the fiscal quarters ended March 31, 2025, June 30, 2025 and September 30, 2025 and the related consolidated statements of income or operations, Shareholders’ Equity and cash flows for each such fiscal quarter ended on that date (i) were prepared in accordance with GAAP consistently applied throughout the period covered thereby, except as otherwise expressly noted therein, and (ii) fairly present in all material respects the financial condition of the Combined Group as of the date thereof and their results of operations, cash flows and changes in Shareholders’ Equity for the period covered thereby, subject, in the case of </w:t>
      </w:r>
      <w:r>
        <w:rPr>
          <w:rFonts w:ascii="Times New Roman;serif" w:hAnsi="Times New Roman;serif"/>
          <w:b w:val="false"/>
          <w:color w:val="000000"/>
          <w:sz w:val="22"/>
          <w:u w:val="single"/>
        </w:rPr>
        <w:t>clauses (i</w:t>
      </w:r>
      <w:r>
        <w:rPr>
          <w:rFonts w:ascii="Times New Roman;serif" w:hAnsi="Times New Roman;serif"/>
          <w:b w:val="false"/>
          <w:color w:val="000000"/>
          <w:sz w:val="22"/>
        </w:rPr>
        <w:t>) and (</w:t>
      </w:r>
      <w:r>
        <w:rPr>
          <w:rFonts w:ascii="Times New Roman;serif" w:hAnsi="Times New Roman;serif"/>
          <w:b w:val="false"/>
          <w:color w:val="000000"/>
          <w:sz w:val="22"/>
          <w:u w:val="single"/>
        </w:rPr>
        <w:t>ii</w:t>
      </w:r>
      <w:r>
        <w:rPr>
          <w:rFonts w:ascii="Times New Roman;serif" w:hAnsi="Times New Roman;serif"/>
          <w:b w:val="false"/>
          <w:color w:val="000000"/>
          <w:sz w:val="22"/>
        </w:rPr>
        <w:t>), to the absence of footnotes and to normal year-end audit adjustments.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Material Adverse Effect</w:t>
      </w:r>
      <w:r>
        <w:rPr>
          <w:rFonts w:ascii="Times New Roman;serif" w:hAnsi="Times New Roman;serif"/>
          <w:b w:val="false"/>
          <w:color w:val="000000"/>
          <w:sz w:val="22"/>
        </w:rPr>
        <w:t>. Since December 31, 2024, there has been no event or circumstance, either individually or in the aggregate, that has had or could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5.06</w:t>
      </w:r>
      <w:r>
        <w:rPr>
          <w:rFonts w:ascii="Times New Roman;serif" w:hAnsi="Times New Roman;serif"/>
          <w:b/>
          <w:color w:val="000000"/>
          <w:sz w:val="22"/>
          <w:u w:val="single"/>
        </w:rPr>
        <w:t>Litigation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actions, suits, proceedings, claims or disputes pending or, to any Loan Party’s knowledge, threatened in writing, at law, in equity, in arbitration or before any Governmental Authority, by or against any Loan Party, any Subsidiary or any Managed Company or against any of their properties or revenues that (a) purport to affect or pertain to this Agreement or any other Loan Document or any of the transactions contemplated hereby, or (b)  if adversely determined, either individually or in the aggregate could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5.07</w:t>
      </w:r>
      <w:r>
        <w:rPr>
          <w:rFonts w:ascii="Times New Roman;serif" w:hAnsi="Times New Roman;serif"/>
          <w:b/>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5.08</w:t>
      </w:r>
      <w:r>
        <w:rPr>
          <w:rFonts w:ascii="Times New Roman;serif" w:hAnsi="Times New Roman;serif"/>
          <w:b/>
          <w:color w:val="000000"/>
          <w:sz w:val="22"/>
          <w:u w:val="single"/>
        </w:rPr>
        <w:t>Ownership of Property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Loan Party, each of its Subsidiaries and each Managed Company has good record and marketable title in fee simple to, or valid leasehold interests in, all real property necessary or used in the ordinary conduct of its business, subject to Permitted Liens and except for such defects in title as could not, individually or in the aggregate, reasonably be expected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701675"/>
                <wp:effectExtent l="0" t="0" r="0" b="0"/>
                <wp:wrapNone/>
                <wp:docPr id="231" name="Frame23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5.09</w:t>
      </w:r>
      <w:r>
        <w:rPr>
          <w:rFonts w:ascii="Times New Roman;serif" w:hAnsi="Times New Roman;serif"/>
          <w:b/>
          <w:color w:val="000000"/>
          <w:sz w:val="22"/>
          <w:u w:val="single"/>
        </w:rPr>
        <w:t>Environmental Matters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could not, individually or in the aggregate, reasonably be expected to result in a Material Adverse Effect, the Loan Parties and their respective Subsidiaries and the Managed Companies: (i) are, and within the period of all applicable statutes of limitation have been, in compliance with all applicable Environmental Laws; (ii) hold all Environmental Permits (each of which is in full force and effect) required for any of their current or intended operations or for any property owned, leased, or otherwise operated by any of them; and (iii) are, and within the period of all applicable statutes of limitation have been, in compliance with all of their Environmental Permits.</w:t>
      </w:r>
    </w:p>
    <w:p>
      <w:pPr>
        <w:pStyle w:val="TextBody"/>
        <w:bidi w:val="0"/>
        <w:spacing w:lineRule="auto" w:line="240" w:before="0" w:after="240"/>
        <w:ind w:left="0" w:right="0" w:firstLine="720"/>
        <w:jc w:val="both"/>
        <w:rPr/>
      </w:pPr>
      <w:r>
        <w:rPr>
          <w:rFonts w:ascii="Times New Roman;serif" w:hAnsi="Times New Roman;serif"/>
          <w:b/>
          <w:color w:val="000000"/>
          <w:sz w:val="22"/>
        </w:rPr>
        <w:t>5.10</w:t>
      </w:r>
      <w:r>
        <w:rPr>
          <w:rFonts w:ascii="Times New Roman;serif" w:hAnsi="Times New Roman;serif"/>
          <w:b/>
          <w:color w:val="000000"/>
          <w:sz w:val="22"/>
          <w:u w:val="single"/>
        </w:rPr>
        <w:t>Insurance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properties and business of the Loan Parties, their respective Subsidiaries and the Managed Companies are insured with financially sound and reputable insurance companies not Affiliates of the Loan Parties, in such amounts (after giving effect to any self-insurance compatible with the following standards), with such deductibles and covering such risks as are customarily carried by companies engaged in similar businesses and owning similar properties in localities where the applicable Loan Party, or the applicable Subsidiary or Managed Company operates.</w:t>
      </w:r>
    </w:p>
    <w:p>
      <w:pPr>
        <w:pStyle w:val="TextBody"/>
        <w:bidi w:val="0"/>
        <w:spacing w:lineRule="auto" w:line="240" w:before="0" w:after="240"/>
        <w:ind w:left="0" w:right="0" w:firstLine="720"/>
        <w:jc w:val="both"/>
        <w:rPr/>
      </w:pPr>
      <w:r>
        <w:rPr>
          <w:rFonts w:ascii="Times New Roman;serif" w:hAnsi="Times New Roman;serif"/>
          <w:b/>
          <w:color w:val="000000"/>
          <w:sz w:val="22"/>
        </w:rPr>
        <w:t>5.11</w:t>
      </w:r>
      <w:r>
        <w:rPr>
          <w:rFonts w:ascii="Times New Roman;serif" w:hAnsi="Times New Roman;serif"/>
          <w:b/>
          <w:color w:val="000000"/>
          <w:sz w:val="22"/>
          <w:u w:val="single"/>
        </w:rPr>
        <w:t>Taxes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Loan Party, each of its Subsidiaries and the Managed Companies has timely filed (taking into account valid extensions) all federal and state income tax returns and other material tax returns and reports required to be filed, and have timely paid (taking into account valid extensions) all federal and state income Taxes and other material Taxes, including in its capacity as a withholding agent, levied or imposed upon it or its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any Subsidiary or any Managed Company that would, individually or in the aggregate, reasonably be expected to, if made, have a Material Adverse Effect, nor is there any tax sharing agreement applicable to any Loan Party, any Subsidiary or any Managed Company (other than any commercial agreement entered into in the ordinary course of business that is not primarily related to Taxes).</w:t>
      </w:r>
    </w:p>
    <w:p>
      <w:pPr>
        <w:pStyle w:val="TextBody"/>
        <w:bidi w:val="0"/>
        <w:spacing w:lineRule="auto" w:line="240" w:before="0" w:after="240"/>
        <w:ind w:left="0" w:right="0" w:firstLine="720"/>
        <w:jc w:val="both"/>
        <w:rPr/>
      </w:pPr>
      <w:r>
        <w:rPr>
          <w:rFonts w:ascii="Times New Roman;serif" w:hAnsi="Times New Roman;serif"/>
          <w:b/>
          <w:color w:val="000000"/>
          <w:sz w:val="22"/>
        </w:rPr>
        <w:t>5.12</w:t>
      </w:r>
      <w:r>
        <w:rPr>
          <w:rFonts w:ascii="Times New Roman;serif" w:hAnsi="Times New Roman;serif"/>
          <w:b/>
          <w:color w:val="000000"/>
          <w:sz w:val="22"/>
          <w:u w:val="single"/>
        </w:rPr>
        <w:t>ERISA Compliance</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(a)Except as could not, individually or in the aggregate, reasonably be expected to result in a Material Adverse Effect, (i) each Plan is in compliance with the applicable provisions of ERISA, the Code and other federal or state laws, (ii) each Pension Plan that is intended to be a qualified plan under Section 401(a) of the Code has received a favorable determination letter or is subject to a favorable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and to the knowledge of the Loan Parties, nothing has occurred that would prevent or cause the loss of such tax-qualified status.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(b)There are no pending or, to the knowledge of the Loan Parties, threatened claims, actions or lawsuits, or action by any Governmental Authority, with respect to any Plan that could, individually or in the aggregate, reasonably be expected to have a Material Adverse Effect. There has been no prohibited transaction or violation of the fiduciary responsibility rules with respect to any Plan that has resulted or could, individually or in the aggregate, reasonably be expected to result in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701675"/>
                <wp:effectExtent l="0" t="0" r="0" b="0"/>
                <wp:wrapNone/>
                <wp:docPr id="232" name="Frame23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(c)Except as could not, individually or in the aggregate, reasonably be expected to result in a Material Adverse Effect, (i) no ERISA Event has occurred, and no Loan Party nor any ERISA Affiliate is aware of any fact, event or circumstance that could reasonably be expected to constitute or result in an ERISA Event with respect to any Pension Plan or Multiemployer Plan; (ii) as of the most recent valuation date for any Pension Plan, the funding target attainment percentage (as defined in Section 430(d)(2) of the Code) is 60% or higher and no Loan Party nor any ERISA Affiliate knows of any facts or circumstances that could reasonably be expected to cause the funding target attainment percentage for any such plan to drop below 60% as of the most recent valuation date; (iii)  no Loan Party nor any ERISA Affiliate has incurred any liability to the PBGC other than for the payment of premiums, and there are no premium payments which have become due that are unpaid; (iv) neither any Loan Party nor any ERISA Affiliate has engaged in a transaction that could be subject to Section 4069 or Section 4212(c) of ERISA; and (v)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(d)Neither any Loan Party nor, except as could not, individually and in the aggregate, reasonably be expected to result in a Material Adverse Effect, any ERISA Affiliate maintains or contributes to, or has any unsatisfied obligation to contribute to, or liability under, any active or terminated Pension Plan other than after the Closing Date, Pension Plans not otherwise prohibited by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(e)Each Loan Party represents and warrants as of the Closing Date that no Loan Party is and no Loan Party will be using “plan assets” (within the meaning of Section 3(42) of ERISA or otherwise) of one or more Benefit Plans with respect to any Loan Party’s entrance into, participation in, administration of and performance of the Loans, the Letters of Credit, the Commitments or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5.13</w:t>
      </w:r>
      <w:r>
        <w:rPr>
          <w:rFonts w:ascii="Times New Roman;serif" w:hAnsi="Times New Roman;serif"/>
          <w:b/>
          <w:color w:val="000000"/>
          <w:sz w:val="22"/>
          <w:u w:val="single"/>
        </w:rPr>
        <w:t>Margin Regulations</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Investment Company Act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Margin Regulations</w:t>
      </w:r>
      <w:r>
        <w:rPr>
          <w:rFonts w:ascii="Times New Roman;serif" w:hAnsi="Times New Roman;serif"/>
          <w:b w:val="false"/>
          <w:color w:val="000000"/>
          <w:sz w:val="22"/>
        </w:rPr>
        <w:t xml:space="preserve">. No Loan Party nor any Subsidiary is engaged or will engage, principally or as one of its important activities, in the business of purchasing or carrying margin stock (within the meaning of Regulation U), or extending credit for the purpose of purchasing or carrying margin stock. No part of the proceeds of the Loans or Letters of Credit will be used, directly or indirectly, to buy or carry any margin stock in violation of Regulation T, U or X.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Investment Company Act</w:t>
      </w:r>
      <w:r>
        <w:rPr>
          <w:rFonts w:ascii="Times New Roman;serif" w:hAnsi="Times New Roman;serif"/>
          <w:b w:val="false"/>
          <w:color w:val="000000"/>
          <w:sz w:val="22"/>
        </w:rPr>
        <w:t>. None of the Parent, or any Subsidiary is or is required to be registered as an “investment company” under the Investment Company Act of 1940.</w:t>
      </w:r>
    </w:p>
    <w:p>
      <w:pPr>
        <w:pStyle w:val="TextBody"/>
        <w:bidi w:val="0"/>
        <w:spacing w:lineRule="auto" w:line="240" w:before="0" w:after="240"/>
        <w:ind w:left="0" w:right="0" w:firstLine="720"/>
        <w:jc w:val="both"/>
        <w:rPr/>
      </w:pPr>
      <w:r>
        <w:rPr>
          <w:rFonts w:ascii="Times New Roman;serif" w:hAnsi="Times New Roman;serif"/>
          <w:b/>
          <w:color w:val="000000"/>
          <w:sz w:val="22"/>
        </w:rPr>
        <w:t>5.14</w:t>
      </w:r>
      <w:r>
        <w:rPr>
          <w:rFonts w:ascii="Times New Roman;serif" w:hAnsi="Times New Roman;serif"/>
          <w:b/>
          <w:color w:val="000000"/>
          <w:sz w:val="22"/>
          <w:u w:val="single"/>
        </w:rPr>
        <w:t>Disclosure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 report, financial statement, certificate or other written information (other than information of a general economic or industry specific nature) furnished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when taken as a whole, omits to state any material fact necessary to make the statements therein, in the light of the circumstances under which they were made, not materially misleading;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with respect to projected financial information (including forecasts) and forward-looking statements, each Loan Party represents only that such information and statements are prepared in good faith based upon estimate and assumptions believed by such Loan Party to be reasonable at the time made, it being recognized by the Administrative Agent and the Lenders that such projected financial information as to future events and forward-looking statements may not occur and are not to be viewed as facts or a guarantee of performance and are subject to significant uncertainties and contingencies many of which are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701675"/>
                <wp:effectExtent l="0" t="0" r="0" b="0"/>
                <wp:wrapNone/>
                <wp:docPr id="233" name="Frame23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beyond the control of Parent and its Subsidiaries and that actual results during the period or periods covered by any such projected financial information may differ significantly from the projected results and such differences may be material.</w:t>
      </w:r>
    </w:p>
    <w:p>
      <w:pPr>
        <w:pStyle w:val="TextBody"/>
        <w:bidi w:val="0"/>
        <w:spacing w:lineRule="auto" w:line="240" w:before="0" w:after="240"/>
        <w:ind w:left="0" w:right="0" w:firstLine="720"/>
        <w:jc w:val="both"/>
        <w:rPr/>
      </w:pPr>
      <w:r>
        <w:rPr>
          <w:rFonts w:ascii="Times New Roman;serif" w:hAnsi="Times New Roman;serif"/>
          <w:b/>
          <w:color w:val="000000"/>
          <w:sz w:val="22"/>
        </w:rPr>
        <w:t>5.15</w:t>
      </w:r>
      <w:r>
        <w:rPr>
          <w:rFonts w:ascii="Times New Roman;serif" w:hAnsi="Times New Roman;serif"/>
          <w:b/>
          <w:color w:val="000000"/>
          <w:sz w:val="22"/>
          <w:u w:val="single"/>
        </w:rPr>
        <w:t>Compliance with Laws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Loan Party, each Subsidiary thereof and each Managed Company is in compliance with the requirements of all Applicable Laws (other than Health Care Laws or the Applicable Insurance Code, which compliance therewith is specified in </w:t>
      </w:r>
      <w:r>
        <w:rPr>
          <w:rFonts w:ascii="Times New Roman;serif" w:hAnsi="Times New Roman;serif"/>
          <w:b w:val="false"/>
          <w:color w:val="000000"/>
          <w:sz w:val="22"/>
          <w:u w:val="single"/>
        </w:rPr>
        <w:t>Section 5.26</w:t>
      </w:r>
      <w:r>
        <w:rPr>
          <w:rFonts w:ascii="Times New Roman;serif" w:hAnsi="Times New Roman;serif"/>
          <w:b w:val="false"/>
          <w:color w:val="000000"/>
          <w:sz w:val="22"/>
        </w:rPr>
        <w:t>) and in all material respects with all orders, writs, injunctions and decrees applicable to it or to its properties, except (a) in such instances in which such requirement of Law or order, writ, injunction or decree is being contested in good faith by appropriate proceedings diligently conducted and (b) in the instance of compliance with Applicable Laws, the failure to do so, individually or in the aggregate, could not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5.16</w:t>
      </w:r>
      <w:r>
        <w:rPr>
          <w:rFonts w:ascii="Times New Roman;serif" w:hAnsi="Times New Roman;serif"/>
          <w:b/>
          <w:color w:val="000000"/>
          <w:sz w:val="22"/>
          <w:u w:val="single"/>
        </w:rPr>
        <w:t>Solvency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Loan Parties and their Subsidiaries on a consolidated basis are Solvent.</w:t>
      </w:r>
    </w:p>
    <w:p>
      <w:pPr>
        <w:pStyle w:val="TextBody"/>
        <w:bidi w:val="0"/>
        <w:spacing w:lineRule="auto" w:line="240" w:before="0" w:after="240"/>
        <w:ind w:left="0" w:right="0" w:firstLine="720"/>
        <w:jc w:val="both"/>
        <w:rPr/>
      </w:pPr>
      <w:r>
        <w:rPr>
          <w:rFonts w:ascii="Times New Roman;serif" w:hAnsi="Times New Roman;serif"/>
          <w:b/>
          <w:color w:val="000000"/>
          <w:sz w:val="22"/>
        </w:rPr>
        <w:t>5.17</w:t>
      </w:r>
      <w:r>
        <w:rPr>
          <w:rFonts w:ascii="Times New Roman;serif" w:hAnsi="Times New Roman;serif"/>
          <w:b/>
          <w:color w:val="000000"/>
          <w:sz w:val="22"/>
          <w:u w:val="single"/>
        </w:rPr>
        <w:t>Sanctions Concerns; Anti</w:t>
      </w:r>
      <w:r>
        <w:rPr>
          <w:rFonts w:ascii="Times New Roman;serif" w:hAnsi="Times New Roman;serif"/>
          <w:b w:val="false"/>
          <w:color w:val="000000"/>
          <w:sz w:val="22"/>
          <w:u w:val="single"/>
        </w:rPr>
        <w:t>-</w:t>
      </w:r>
      <w:r>
        <w:rPr>
          <w:rFonts w:ascii="Times New Roman;serif" w:hAnsi="Times New Roman;serif"/>
          <w:b/>
          <w:color w:val="000000"/>
          <w:sz w:val="22"/>
          <w:u w:val="single"/>
        </w:rPr>
        <w:t>Corruption Laws; Outbound Investment Rules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Sanctions Concerns</w:t>
      </w:r>
      <w:r>
        <w:rPr>
          <w:rFonts w:ascii="Times New Roman;serif" w:hAnsi="Times New Roman;serif"/>
          <w:b w:val="false"/>
          <w:color w:val="000000"/>
          <w:sz w:val="22"/>
        </w:rPr>
        <w:t>. No Loan Party nor any Subsidiary or Managed Company, nor, to the knowledge of the Loan Parties and their Subsidiaries, any director or representative of any Loan Party or Subsidiary or Managed Company, is an individual or entity that is, or is owned or controlled by one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or (iii) located, organized or resident in a Designated Jurisdiction. The Parent, its Subsidiaries and the Managed Companies have conducted their businesses in compliance with all applicable Sanctions and have instituted and maintained policies and procedures designed to promote and achieve compliance with such Sanctions.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Anti-Corruption Laws</w:t>
      </w:r>
      <w:r>
        <w:rPr>
          <w:rFonts w:ascii="Times New Roman;serif" w:hAnsi="Times New Roman;serif"/>
          <w:b w:val="false"/>
          <w:color w:val="000000"/>
          <w:sz w:val="22"/>
        </w:rPr>
        <w:t>. The Loan Parties, their Subsidiaries and the Managed Companies have conducted their business in compliance in all material 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Outbound Investment Rules</w:t>
      </w:r>
      <w:r>
        <w:rPr>
          <w:rFonts w:ascii="Times New Roman;serif" w:hAnsi="Times New Roman;serif"/>
          <w:b w:val="false"/>
          <w:color w:val="000000"/>
          <w:sz w:val="22"/>
        </w:rPr>
        <w:t>. Neither the Parent nor any of its Subsidiaries or any Managed Company (i) is a “covered foreign person” as that term is used in the Outbound Investment Rules or (ii) currently engages, or has any present intention to engage in the future, directly or indirectly, in (x) a “covered activity” or a “covered transaction”, as each such term is defined in the Outbound Investment Rules, (y) any activity or transaction that would constitute a “covered activity” or a “covered transaction”, as each such term is defined in the Outbound Investment Rules, if such Person were a United States Person or (z)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5.18</w:t>
      </w:r>
      <w:r>
        <w:rPr>
          <w:rFonts w:ascii="Times New Roman;serif" w:hAnsi="Times New Roman;serif"/>
          <w:b/>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5.19</w:t>
      </w:r>
      <w:r>
        <w:rPr>
          <w:rFonts w:ascii="Times New Roman;serif" w:hAnsi="Times New Roman;serif"/>
          <w:b/>
          <w:color w:val="000000"/>
          <w:sz w:val="22"/>
          <w:u w:val="single"/>
        </w:rPr>
        <w:t>Subsidiaries; Equity Interests; Loan Parties; Managed Companies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Subsidiaries, Joint Ventures, Partnerships and Equity Investments</w:t>
      </w:r>
      <w:r>
        <w:rPr>
          <w:rFonts w:ascii="Times New Roman;serif" w:hAnsi="Times New Roman;serif"/>
          <w:b w:val="false"/>
          <w:color w:val="000000"/>
          <w:sz w:val="22"/>
        </w:rPr>
        <w:t xml:space="preserve">. Set forth on </w:t>
      </w:r>
      <w:r>
        <w:rPr>
          <w:rFonts w:ascii="Times New Roman;serif" w:hAnsi="Times New Roman;serif"/>
          <w:b w:val="false"/>
          <w:color w:val="000000"/>
          <w:sz w:val="22"/>
          <w:u w:val="single"/>
        </w:rPr>
        <w:t>Schedule 5.19(a</w:t>
      </w:r>
      <w:r>
        <w:rPr>
          <w:rFonts w:ascii="Times New Roman;serif" w:hAnsi="Times New Roman;serif"/>
          <w:b w:val="false"/>
          <w:color w:val="000000"/>
          <w:sz w:val="22"/>
        </w:rPr>
        <w:t xml:space="preserve">) is the following information as of the Closing Date: (i) a complete and accurate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701675"/>
                <wp:effectExtent l="0" t="0" r="0" b="0"/>
                <wp:wrapNone/>
                <wp:docPr id="234" name="Frame23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list of all Subsidiaries (including a description if such Subsidiary is an Excluded Subsidiary and which type of Excluded Subsidiary), Joint Ventures and partnerships and other equity investments of the Loan Parties, and (ii)  the number and percentage of outstanding shares of each class of Equity Interests owned by the Loan Parties and their Subsidiaries. The outstanding Equity Interests in all Subsidiaries are validly issued, fully paid and, as applicable, non-assessable and are owned free and clear of all Liens, other than Permitted Liens. As of the Closing Date, there are no outstanding subscriptions, options, warrants, calls, rights or other agreements or commitments (other than stock options granted to employees or directors and directors’ qualifying shares) of any nature relating to the Equity Interests of any Loan Party (other than the Parent) or any Subsidiary thereof, except as contemplated in connection with the Loan Documents or as set forth on such Schedule.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Loan Parties</w:t>
      </w:r>
      <w:r>
        <w:rPr>
          <w:rFonts w:ascii="Times New Roman;serif" w:hAnsi="Times New Roman;serif"/>
          <w:b w:val="false"/>
          <w:color w:val="000000"/>
          <w:sz w:val="22"/>
        </w:rPr>
        <w:t xml:space="preserve">. Set forth on </w:t>
      </w:r>
      <w:r>
        <w:rPr>
          <w:rFonts w:ascii="Times New Roman;serif" w:hAnsi="Times New Roman;serif"/>
          <w:b w:val="false"/>
          <w:color w:val="000000"/>
          <w:sz w:val="22"/>
          <w:u w:val="single"/>
        </w:rPr>
        <w:t>Schedule 5.19(b</w:t>
      </w:r>
      <w:r>
        <w:rPr>
          <w:rFonts w:ascii="Times New Roman;serif" w:hAnsi="Times New Roman;serif"/>
          <w:b w:val="false"/>
          <w:color w:val="000000"/>
          <w:sz w:val="22"/>
        </w:rPr>
        <w:t>) is a complete and accurate list of all Loan Parties as of the Closing Date specifying: (i) the exact legal name, (ii) any former legal names of such Person in the five (5) years prior to the Closing Date, (iii) the jurisdiction of its incorporation or organization, as applicable, (iv) the type of organization, (v) the jurisdictions in which such Person is qualified to do business, (vi) the address of its chief executive office, (vii)  its U.S. federal taxpayer identification number (if any) or, in the case of any non-U.S. Loan Party that does not have a U.S. taxpayer identification number, its unique identification number issued to it by the jurisdiction of its incorporation or organization, (viii) the organization identification number, and (ix) ownership information (</w:t>
      </w:r>
      <w:r>
        <w:rPr>
          <w:rFonts w:ascii="Times New Roman;serif" w:hAnsi="Times New Roman;serif"/>
          <w:b w:val="false"/>
          <w:i/>
          <w:color w:val="000000"/>
          <w:sz w:val="22"/>
        </w:rPr>
        <w:t>e</w:t>
      </w:r>
      <w:r>
        <w:rPr>
          <w:rFonts w:ascii="Times New Roman;serif" w:hAnsi="Times New Roman;serif"/>
          <w:b w:val="false"/>
          <w:color w:val="000000"/>
          <w:sz w:val="22"/>
        </w:rPr>
        <w:t>.</w:t>
      </w:r>
      <w:r>
        <w:rPr>
          <w:rFonts w:ascii="Times New Roman;serif" w:hAnsi="Times New Roman;serif"/>
          <w:b w:val="false"/>
          <w:i/>
          <w:color w:val="000000"/>
          <w:sz w:val="22"/>
        </w:rPr>
        <w:t>g</w:t>
      </w:r>
      <w:r>
        <w:rPr>
          <w:rFonts w:ascii="Times New Roman;serif" w:hAnsi="Times New Roman;serif"/>
          <w:b w:val="false"/>
          <w:color w:val="000000"/>
          <w:sz w:val="22"/>
        </w:rPr>
        <w:t>., publicly held or if private or partnership, the owners and partners of each such Person).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Managed Companies</w:t>
      </w:r>
      <w:r>
        <w:rPr>
          <w:rFonts w:ascii="Times New Roman;serif" w:hAnsi="Times New Roman;serif"/>
          <w:b w:val="false"/>
          <w:color w:val="000000"/>
          <w:sz w:val="22"/>
        </w:rPr>
        <w:t xml:space="preserve">. Set forth on </w:t>
      </w:r>
      <w:r>
        <w:rPr>
          <w:rFonts w:ascii="Times New Roman;serif" w:hAnsi="Times New Roman;serif"/>
          <w:b w:val="false"/>
          <w:color w:val="000000"/>
          <w:sz w:val="22"/>
          <w:u w:val="single"/>
        </w:rPr>
        <w:t>Schedule 5.19(c)</w:t>
      </w:r>
      <w:r>
        <w:rPr>
          <w:color w:val="000000"/>
        </w:rPr>
        <w:t xml:space="preserve"> </w:t>
      </w:r>
      <w:r>
        <w:rPr>
          <w:rFonts w:ascii="Times New Roman;serif" w:hAnsi="Times New Roman;serif"/>
          <w:b w:val="false"/>
          <w:color w:val="000000"/>
          <w:sz w:val="22"/>
        </w:rPr>
        <w:t xml:space="preserve">is a complete and accurate list of all Managed Companies as of the Closing Date (including (i) the exact legal name, (ii) the jurisdiction of its incorporation or organization, as applicable and (iii) the type of organization). </w:t>
      </w:r>
    </w:p>
    <w:p>
      <w:pPr>
        <w:pStyle w:val="TextBody"/>
        <w:bidi w:val="0"/>
        <w:spacing w:lineRule="auto" w:line="240" w:before="0" w:after="240"/>
        <w:ind w:left="0" w:right="0" w:firstLine="720"/>
        <w:jc w:val="both"/>
        <w:rPr/>
      </w:pPr>
      <w:r>
        <w:rPr>
          <w:rFonts w:ascii="Times New Roman;serif" w:hAnsi="Times New Roman;serif"/>
          <w:b/>
          <w:color w:val="000000"/>
          <w:sz w:val="22"/>
        </w:rPr>
        <w:t>5.20</w:t>
      </w:r>
      <w:r>
        <w:rPr>
          <w:rFonts w:ascii="Times New Roman;serif" w:hAnsi="Times New Roman;serif"/>
          <w:b/>
          <w:color w:val="000000"/>
          <w:sz w:val="22"/>
          <w:u w:val="single"/>
        </w:rPr>
        <w:t>Collateral Representations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Collateral Documents</w:t>
      </w:r>
      <w:r>
        <w:rPr>
          <w:rFonts w:ascii="Times New Roman;serif" w:hAnsi="Times New Roman;serif"/>
          <w:b w:val="false"/>
          <w:color w:val="000000"/>
          <w:sz w:val="22"/>
        </w:rPr>
        <w:t>. The Collateral Documents are effective to create in favor of the Administrative Agent for the benefit of the Secured Parties a legal, valid and enforceable first priority Lien (subject to Permitted Liens and the provisions of the Collateral Documents) on all right, title and interest of the respective Loan Parties in the Collateral described therein. Except for filings or actions completed prior to the Closing Date and as contemplated hereby and by the Collateral Documents, no filing or other action will be necessary to perfect such Liens to the extent required under this Agreement or the Collateral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 xml:space="preserve">.  Set forth on </w:t>
      </w:r>
      <w:r>
        <w:rPr>
          <w:rFonts w:ascii="Times New Roman;serif" w:hAnsi="Times New Roman;serif"/>
          <w:b w:val="false"/>
          <w:color w:val="000000"/>
          <w:sz w:val="22"/>
          <w:u w:val="single"/>
        </w:rPr>
        <w:t>Schedule 5.20(b)</w:t>
      </w:r>
      <w:r>
        <w:rPr>
          <w:rFonts w:ascii="Times New Roman;serif" w:hAnsi="Times New Roman;serif"/>
          <w:b w:val="false"/>
          <w:color w:val="000000"/>
          <w:sz w:val="22"/>
        </w:rPr>
        <w:t xml:space="preserve">, as of the Closing Date and as of the last date such Schedule was required to be updated in accordance with </w:t>
      </w:r>
      <w:r>
        <w:rPr>
          <w:rFonts w:ascii="Times New Roman;serif" w:hAnsi="Times New Roman;serif"/>
          <w:b w:val="false"/>
          <w:color w:val="000000"/>
          <w:sz w:val="22"/>
          <w:u w:val="single"/>
        </w:rPr>
        <w:t>Sections 6.02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6.13</w:t>
      </w:r>
      <w:r>
        <w:rPr>
          <w:rFonts w:ascii="Times New Roman;serif" w:hAnsi="Times New Roman;serif"/>
          <w:b w:val="false"/>
          <w:color w:val="000000"/>
          <w:sz w:val="22"/>
        </w:rPr>
        <w:t>, is a list of all registered or issued Intellectual Property (including all applications for registration and issuance) owned by each of the Loan Parties (including the name/title, current owner, registration or application number, and registration or application date and such other information as reasonably requested by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Instruments and Tangible Chattel Paper</w:t>
      </w:r>
      <w:r>
        <w:rPr>
          <w:rFonts w:ascii="Times New Roman;serif" w:hAnsi="Times New Roman;serif"/>
          <w:b w:val="false"/>
          <w:color w:val="000000"/>
          <w:sz w:val="22"/>
        </w:rPr>
        <w:t xml:space="preserve">. Set forth on </w:t>
      </w:r>
      <w:r>
        <w:rPr>
          <w:rFonts w:ascii="Times New Roman;serif" w:hAnsi="Times New Roman;serif"/>
          <w:b w:val="false"/>
          <w:color w:val="000000"/>
          <w:sz w:val="22"/>
          <w:u w:val="single"/>
        </w:rPr>
        <w:t>Schedule 5.20(c</w:t>
      </w:r>
      <w:r>
        <w:rPr>
          <w:rFonts w:ascii="Times New Roman;serif" w:hAnsi="Times New Roman;serif"/>
          <w:b w:val="false"/>
          <w:color w:val="000000"/>
          <w:sz w:val="22"/>
        </w:rPr>
        <w:t xml:space="preserve">), as of the Closing Date and as of the last date such </w:t>
      </w:r>
      <w:r>
        <w:rPr>
          <w:rFonts w:ascii="Times New Roman;serif" w:hAnsi="Times New Roman;serif"/>
          <w:b w:val="false"/>
          <w:color w:val="000000"/>
          <w:sz w:val="22"/>
          <w:u w:val="single"/>
        </w:rPr>
        <w:t>Schedule 5.20(c</w:t>
      </w:r>
      <w:r>
        <w:rPr>
          <w:rFonts w:ascii="Times New Roman;serif" w:hAnsi="Times New Roman;serif"/>
          <w:b w:val="false"/>
          <w:color w:val="000000"/>
          <w:sz w:val="22"/>
        </w:rPr>
        <w:t xml:space="preserve">) was required to be updated in accordance with </w:t>
      </w:r>
      <w:r>
        <w:rPr>
          <w:rFonts w:ascii="Times New Roman;serif" w:hAnsi="Times New Roman;serif"/>
          <w:b w:val="false"/>
          <w:color w:val="000000"/>
          <w:sz w:val="22"/>
          <w:u w:val="single"/>
        </w:rPr>
        <w:t>Sections 6.02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6.13</w:t>
      </w:r>
      <w:r>
        <w:rPr>
          <w:rFonts w:ascii="Times New Roman;serif" w:hAnsi="Times New Roman;serif"/>
          <w:b w:val="false"/>
          <w:color w:val="000000"/>
          <w:sz w:val="22"/>
        </w:rPr>
        <w:t>, is a description of all Instruments and Tangible Chattel Paper (each as defined in the UCC) of the Loan Parties with a face value in excess of $10,000,000 individually or in the aggregate (including the Loan Party owning such Instrument and Tangible Chattel Paper and such other information as reasonably requested by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Deposit Accounts and Securities Accounts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(i)Set forth on </w:t>
      </w:r>
      <w:r>
        <w:rPr>
          <w:rFonts w:ascii="Times New Roman;serif" w:hAnsi="Times New Roman;serif"/>
          <w:b w:val="false"/>
          <w:color w:val="000000"/>
          <w:sz w:val="22"/>
          <w:u w:val="single"/>
        </w:rPr>
        <w:t>Schedule 5.20(d)(i</w:t>
      </w:r>
      <w:r>
        <w:rPr>
          <w:rFonts w:ascii="Times New Roman;serif" w:hAnsi="Times New Roman;serif"/>
          <w:b w:val="false"/>
          <w:color w:val="000000"/>
          <w:sz w:val="22"/>
        </w:rPr>
        <w:t xml:space="preserve">), as of the Closing Date and as of the last date such </w:t>
      </w:r>
      <w:r>
        <w:rPr>
          <w:rFonts w:ascii="Times New Roman;serif" w:hAnsi="Times New Roman;serif"/>
          <w:b w:val="false"/>
          <w:color w:val="000000"/>
          <w:sz w:val="22"/>
          <w:u w:val="single"/>
        </w:rPr>
        <w:t>Schedule 5.20(d)(i</w:t>
      </w:r>
      <w:r>
        <w:rPr>
          <w:rFonts w:ascii="Times New Roman;serif" w:hAnsi="Times New Roman;serif"/>
          <w:b w:val="false"/>
          <w:color w:val="000000"/>
          <w:sz w:val="22"/>
        </w:rPr>
        <w:t xml:space="preserve">) was required to be updated in accordance with </w:t>
      </w:r>
      <w:r>
        <w:rPr>
          <w:rFonts w:ascii="Times New Roman;serif" w:hAnsi="Times New Roman;serif"/>
          <w:b w:val="false"/>
          <w:color w:val="000000"/>
          <w:sz w:val="22"/>
          <w:u w:val="single"/>
        </w:rPr>
        <w:t>Sections 6.02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6.13</w:t>
      </w:r>
      <w:r>
        <w:rPr>
          <w:rFonts w:ascii="Times New Roman;serif" w:hAnsi="Times New Roman;serif"/>
          <w:b w:val="false"/>
          <w:color w:val="000000"/>
          <w:sz w:val="22"/>
        </w:rPr>
        <w:t xml:space="preserve">, is a description of all deposit accounts and securities accounts of the Loan Parties, including (x) the name of the applicable Loan Party, (y) the name of the applicable depository institution or the securities intermediary (or issuer), as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701675"/>
                <wp:effectExtent l="0" t="0" r="0" b="0"/>
                <wp:wrapNone/>
                <wp:docPr id="235" name="Frame23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maintaining such deposit account or securities account and (z) a description if such deposit account or securities account is an Excluded Account, and which type of Excluded Account.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Commercial Tort Claims</w:t>
      </w:r>
      <w:r>
        <w:rPr>
          <w:rFonts w:ascii="Times New Roman;serif" w:hAnsi="Times New Roman;serif"/>
          <w:b w:val="false"/>
          <w:color w:val="000000"/>
          <w:sz w:val="22"/>
        </w:rPr>
        <w:t xml:space="preserve">. Set forth on </w:t>
      </w:r>
      <w:r>
        <w:rPr>
          <w:rFonts w:ascii="Times New Roman;serif" w:hAnsi="Times New Roman;serif"/>
          <w:b w:val="false"/>
          <w:color w:val="000000"/>
          <w:sz w:val="22"/>
          <w:u w:val="single"/>
        </w:rPr>
        <w:t>Schedule 5.20(e</w:t>
      </w:r>
      <w:r>
        <w:rPr>
          <w:rFonts w:ascii="Times New Roman;serif" w:hAnsi="Times New Roman;serif"/>
          <w:b w:val="false"/>
          <w:color w:val="000000"/>
          <w:sz w:val="22"/>
        </w:rPr>
        <w:t xml:space="preserve">), as of the Closing Date and as of the last date such </w:t>
      </w:r>
      <w:r>
        <w:rPr>
          <w:rFonts w:ascii="Times New Roman;serif" w:hAnsi="Times New Roman;serif"/>
          <w:b w:val="false"/>
          <w:color w:val="000000"/>
          <w:sz w:val="22"/>
          <w:u w:val="single"/>
        </w:rPr>
        <w:t>Schedule 5.20(e</w:t>
      </w:r>
      <w:r>
        <w:rPr>
          <w:rFonts w:ascii="Times New Roman;serif" w:hAnsi="Times New Roman;serif"/>
          <w:b w:val="false"/>
          <w:color w:val="000000"/>
          <w:sz w:val="22"/>
        </w:rPr>
        <w:t xml:space="preserve">) was required to be updated in accordance with </w:t>
      </w:r>
      <w:r>
        <w:rPr>
          <w:rFonts w:ascii="Times New Roman;serif" w:hAnsi="Times New Roman;serif"/>
          <w:b w:val="false"/>
          <w:color w:val="000000"/>
          <w:sz w:val="22"/>
          <w:u w:val="single"/>
        </w:rPr>
        <w:t>Sections 6.02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6.13</w:t>
      </w:r>
      <w:r>
        <w:rPr>
          <w:rFonts w:ascii="Times New Roman;serif" w:hAnsi="Times New Roman;serif"/>
          <w:b w:val="false"/>
          <w:color w:val="000000"/>
          <w:sz w:val="22"/>
        </w:rPr>
        <w:t>, is a description of all Commercial Tort Claims (as defined in the UCC) where the amount of damages is reasonably expected to be realized by the applicable Loan Party in such Commercial Tort Claim (as determined by the Borrower in good faith) is in excess of $10,000,000 (detailing such Commercial Tort Claim in such detail as reasonably requested by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Pledged Equity Interests</w:t>
      </w:r>
      <w:r>
        <w:rPr>
          <w:rFonts w:ascii="Times New Roman;serif" w:hAnsi="Times New Roman;serif"/>
          <w:b w:val="false"/>
          <w:color w:val="000000"/>
          <w:sz w:val="22"/>
        </w:rPr>
        <w:t xml:space="preserve">. Set forth on </w:t>
      </w:r>
      <w:r>
        <w:rPr>
          <w:rFonts w:ascii="Times New Roman;serif" w:hAnsi="Times New Roman;serif"/>
          <w:b w:val="false"/>
          <w:color w:val="000000"/>
          <w:sz w:val="22"/>
          <w:u w:val="single"/>
        </w:rPr>
        <w:t>Schedule 5.20(f</w:t>
      </w:r>
      <w:r>
        <w:rPr>
          <w:rFonts w:ascii="Times New Roman;serif" w:hAnsi="Times New Roman;serif"/>
          <w:b w:val="false"/>
          <w:color w:val="000000"/>
          <w:sz w:val="22"/>
        </w:rPr>
        <w:t xml:space="preserve">), as of the Closing Date and as of the last date such </w:t>
      </w:r>
      <w:r>
        <w:rPr>
          <w:rFonts w:ascii="Times New Roman;serif" w:hAnsi="Times New Roman;serif"/>
          <w:b w:val="false"/>
          <w:color w:val="000000"/>
          <w:sz w:val="22"/>
          <w:u w:val="single"/>
        </w:rPr>
        <w:t>Schedule 5.20(f</w:t>
      </w:r>
      <w:r>
        <w:rPr>
          <w:rFonts w:ascii="Times New Roman;serif" w:hAnsi="Times New Roman;serif"/>
          <w:b w:val="false"/>
          <w:color w:val="000000"/>
          <w:sz w:val="22"/>
        </w:rPr>
        <w:t xml:space="preserve">) was required to be updated in accordance with </w:t>
      </w:r>
      <w:r>
        <w:rPr>
          <w:rFonts w:ascii="Times New Roman;serif" w:hAnsi="Times New Roman;serif"/>
          <w:b w:val="false"/>
          <w:color w:val="000000"/>
          <w:sz w:val="22"/>
          <w:u w:val="single"/>
        </w:rPr>
        <w:t>Sections 6.02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6.13</w:t>
      </w:r>
      <w:r>
        <w:rPr>
          <w:rFonts w:ascii="Times New Roman;serif" w:hAnsi="Times New Roman;serif"/>
          <w:b w:val="false"/>
          <w:color w:val="000000"/>
          <w:sz w:val="22"/>
        </w:rPr>
        <w:t>, is a list of (i) all Pledged Equity and (ii) all other Equity Interests required to be pledged to the Administrative Agent pursuant to the Collateral Documents (in each case, detailing the Grantor (as defined in the Security Agreement), the Person whose Equity Interests are pledged, the number of shares of each class of Equity Interests, and the certificate number (as applicable) and percentage ownership of outstanding shares of each class of Equity Interests.</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Properties</w:t>
      </w:r>
      <w:r>
        <w:rPr>
          <w:rFonts w:ascii="Times New Roman;serif" w:hAnsi="Times New Roman;serif"/>
          <w:b w:val="false"/>
          <w:color w:val="000000"/>
          <w:sz w:val="22"/>
        </w:rPr>
        <w:t xml:space="preserve">. Set forth on </w:t>
      </w:r>
      <w:r>
        <w:rPr>
          <w:rFonts w:ascii="Times New Roman;serif" w:hAnsi="Times New Roman;serif"/>
          <w:b w:val="false"/>
          <w:color w:val="000000"/>
          <w:sz w:val="22"/>
          <w:u w:val="single"/>
        </w:rPr>
        <w:t>Schedule 5.20(g)</w:t>
      </w:r>
      <w:r>
        <w:rPr>
          <w:rFonts w:ascii="Times New Roman;serif" w:hAnsi="Times New Roman;serif"/>
          <w:b w:val="false"/>
          <w:color w:val="000000"/>
          <w:sz w:val="22"/>
        </w:rPr>
        <w:t xml:space="preserve">, as of the Closing Date and as of the last date such </w:t>
      </w:r>
      <w:r>
        <w:rPr>
          <w:rFonts w:ascii="Times New Roman;serif" w:hAnsi="Times New Roman;serif"/>
          <w:b w:val="false"/>
          <w:color w:val="000000"/>
          <w:sz w:val="22"/>
          <w:u w:val="single"/>
        </w:rPr>
        <w:t>Schedule 5.20(g)</w:t>
      </w:r>
      <w:r>
        <w:rPr>
          <w:color w:val="000000"/>
        </w:rPr>
        <w:t xml:space="preserve"> </w:t>
      </w:r>
      <w:r>
        <w:rPr>
          <w:rFonts w:ascii="Times New Roman;serif" w:hAnsi="Times New Roman;serif"/>
          <w:b w:val="false"/>
          <w:color w:val="000000"/>
          <w:sz w:val="22"/>
        </w:rPr>
        <w:t xml:space="preserve">was required to be updated in accordance with </w:t>
      </w:r>
      <w:r>
        <w:rPr>
          <w:rFonts w:ascii="Times New Roman;serif" w:hAnsi="Times New Roman;serif"/>
          <w:b w:val="false"/>
          <w:color w:val="000000"/>
          <w:sz w:val="22"/>
          <w:u w:val="single"/>
        </w:rPr>
        <w:t>Sections 6.02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6.13</w:t>
      </w:r>
      <w:r>
        <w:rPr>
          <w:rFonts w:ascii="Times New Roman;serif" w:hAnsi="Times New Roman;serif"/>
          <w:b w:val="false"/>
          <w:color w:val="000000"/>
          <w:sz w:val="22"/>
        </w:rPr>
        <w:t>, is a list of (A) each chief executive office location of the Loan Parties, and (B) each location owned or leased by a Loan Party (in each case, including (1) an indication if such location is leased or owned, (2) if leased, which Loan Party is the lessee, and if owned, the name of the Loan Party owning such property, (3) the address of such property and (4) to the extent owned, the approximate fair market value of such property).</w:t>
      </w:r>
    </w:p>
    <w:p>
      <w:pPr>
        <w:pStyle w:val="TextBody"/>
        <w:bidi w:val="0"/>
        <w:spacing w:lineRule="auto" w:line="240" w:before="0" w:after="240"/>
        <w:ind w:left="0" w:right="0" w:firstLine="720"/>
        <w:jc w:val="both"/>
        <w:rPr/>
      </w:pPr>
      <w:r>
        <w:rPr>
          <w:rFonts w:ascii="Times New Roman;serif" w:hAnsi="Times New Roman;serif"/>
          <w:b/>
          <w:color w:val="000000"/>
          <w:sz w:val="22"/>
        </w:rPr>
        <w:t>5.21</w:t>
      </w:r>
      <w:r>
        <w:rPr>
          <w:rFonts w:ascii="Times New Roman;serif" w:hAnsi="Times New Roman;serif"/>
          <w:b/>
          <w:color w:val="000000"/>
          <w:sz w:val="22"/>
          <w:u w:val="single"/>
        </w:rPr>
        <w:t>EEA Financial Institutions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Loan Party is an EEA Financial Institution.</w:t>
      </w:r>
    </w:p>
    <w:p>
      <w:pPr>
        <w:pStyle w:val="TextBody"/>
        <w:bidi w:val="0"/>
        <w:spacing w:lineRule="auto" w:line="240" w:before="0" w:after="240"/>
        <w:ind w:left="0" w:right="0" w:firstLine="720"/>
        <w:jc w:val="both"/>
        <w:rPr/>
      </w:pPr>
      <w:r>
        <w:rPr>
          <w:rFonts w:ascii="Times New Roman;serif" w:hAnsi="Times New Roman;serif"/>
          <w:b/>
          <w:color w:val="000000"/>
          <w:sz w:val="22"/>
        </w:rPr>
        <w:t>5.22</w:t>
      </w:r>
      <w:r>
        <w:rPr>
          <w:rFonts w:ascii="Times New Roman;serif" w:hAnsi="Times New Roman;serif"/>
          <w:b/>
          <w:color w:val="000000"/>
          <w:sz w:val="22"/>
          <w:u w:val="single"/>
        </w:rPr>
        <w:t>Covered Entities</w:t>
      </w:r>
      <w:r>
        <w:rPr>
          <w:rFonts w:ascii="Times New Roman;serif" w:hAnsi="Times New Roman;serif"/>
          <w:b/>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Loan Party is a Covered Entity.</w:t>
      </w:r>
    </w:p>
    <w:p>
      <w:pPr>
        <w:pStyle w:val="TextBody"/>
        <w:bidi w:val="0"/>
        <w:spacing w:lineRule="auto" w:line="240" w:before="0" w:after="240"/>
        <w:ind w:left="0" w:right="0" w:firstLine="720"/>
        <w:jc w:val="both"/>
        <w:rPr/>
      </w:pPr>
      <w:r>
        <w:rPr>
          <w:rFonts w:ascii="Times New Roman;serif" w:hAnsi="Times New Roman;serif"/>
          <w:b/>
          <w:color w:val="000000"/>
          <w:sz w:val="22"/>
        </w:rPr>
        <w:t>5.23</w:t>
      </w:r>
      <w:r>
        <w:rPr>
          <w:rFonts w:ascii="Times New Roman;serif" w:hAnsi="Times New Roman;serif"/>
          <w:b/>
          <w:color w:val="000000"/>
          <w:sz w:val="22"/>
          <w:u w:val="single"/>
        </w:rPr>
        <w:t>Beneficial Ownership Certification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information included in the Beneficial Ownership Certification, if applicable, is true and correct in all material respects. </w:t>
      </w:r>
    </w:p>
    <w:p>
      <w:pPr>
        <w:pStyle w:val="TextBody"/>
        <w:bidi w:val="0"/>
        <w:spacing w:lineRule="auto" w:line="240" w:before="0" w:after="240"/>
        <w:ind w:left="0" w:right="0" w:firstLine="720"/>
        <w:jc w:val="both"/>
        <w:rPr/>
      </w:pPr>
      <w:r>
        <w:rPr>
          <w:rFonts w:ascii="Times New Roman;serif" w:hAnsi="Times New Roman;serif"/>
          <w:b/>
          <w:color w:val="000000"/>
          <w:sz w:val="22"/>
        </w:rPr>
        <w:t>5.24</w:t>
      </w:r>
      <w:r>
        <w:rPr>
          <w:rFonts w:ascii="Times New Roman;serif" w:hAnsi="Times New Roman;serif"/>
          <w:b/>
          <w:color w:val="000000"/>
          <w:sz w:val="22"/>
          <w:u w:val="single"/>
        </w:rPr>
        <w:t>Intellectual Property; Licenses; Etc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Parent and each of its Subsidiaries own, or possess the right to use, all of the trademarks, service marks, trade names, copyrights, patents, patent rights, trade secrets, know-how, franchises, licenses and other intellectual property rights that are required to operate their respective businesses in all material respects. To the knowledge of the Loan Parties, the operation of the business by any Loan Party or any of its Subsidiaries does not infringe, misappropriate or otherwise violate upon any Intellectual Property rights held by any other Person in any material respect. No claim or litigation regarding any of the foregoing is pending or, to the knowledge of the Loan Parties, threatened in writing, which, either individually or in the aggregate, could reasonably be expected to have a Material Adverse Effect. There has been no unauthorized use, access, interruption, modification, corruption or malfunction of any information technology assets or systems (or any information or transactions stored or contained therein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701675"/>
                <wp:effectExtent l="0" t="0" r="0" b="0"/>
                <wp:wrapNone/>
                <wp:docPr id="236" name="Frame23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or transmitted thereby) owned or used by any Loan Party or any of its Subsidiaries, which, either individually or in the aggregate, could reasonably be expected to have a Material Adverse Effect. </w:t>
      </w:r>
    </w:p>
    <w:p>
      <w:pPr>
        <w:pStyle w:val="TextBody"/>
        <w:bidi w:val="0"/>
        <w:spacing w:lineRule="auto" w:line="240" w:before="0" w:after="240"/>
        <w:ind w:left="0" w:right="0" w:firstLine="720"/>
        <w:jc w:val="both"/>
        <w:rPr/>
      </w:pPr>
      <w:r>
        <w:rPr>
          <w:rFonts w:ascii="Times New Roman;serif" w:hAnsi="Times New Roman;serif"/>
          <w:b/>
          <w:color w:val="000000"/>
          <w:sz w:val="22"/>
        </w:rPr>
        <w:t>5.25</w:t>
      </w:r>
      <w:r>
        <w:rPr>
          <w:rFonts w:ascii="Times New Roman;serif" w:hAnsi="Times New Roman;serif"/>
          <w:b/>
          <w:color w:val="000000"/>
          <w:sz w:val="22"/>
          <w:u w:val="single"/>
        </w:rPr>
        <w:t>Labor Matters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collective bargaining agreements or Multiemployer Plans covering the employees of the Parent or any of its Subsidiaries as of the Closing Date and neither the Parent nor any Subsidiary has suffered any strikes, walkouts, work stoppages or other material labor difficulty within the last five (5) years preceding the Closing Date, in each case that has resulted or would reasonably be expected to result in material liability to any Loan Party or Subsidiary.</w:t>
      </w:r>
    </w:p>
    <w:p>
      <w:pPr>
        <w:pStyle w:val="TextBody"/>
        <w:bidi w:val="0"/>
        <w:spacing w:lineRule="auto" w:line="240" w:before="0" w:after="240"/>
        <w:ind w:left="0" w:right="0" w:firstLine="720"/>
        <w:jc w:val="both"/>
        <w:rPr/>
      </w:pPr>
      <w:r>
        <w:rPr>
          <w:rFonts w:ascii="Times New Roman;serif" w:hAnsi="Times New Roman;serif"/>
          <w:b/>
          <w:color w:val="000000"/>
          <w:sz w:val="22"/>
        </w:rPr>
        <w:t>5.26</w:t>
      </w:r>
      <w:r>
        <w:rPr>
          <w:rFonts w:ascii="Times New Roman;serif" w:hAnsi="Times New Roman;serif"/>
          <w:b/>
          <w:color w:val="000000"/>
          <w:sz w:val="22"/>
          <w:u w:val="single"/>
        </w:rPr>
        <w:t>Health Care Matters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Parent and its Subsidiaries (including each Health Plan Subsidiary) hold, and will continue to hold, either directly or through licensees and agents, all Regulatory Approvals, licenses, permits and similar governmental authorizations of a Governmental Authority necessary or required for Parent and its Subsidiaries to conduct their respective operations and business in the manner currently conducted, except where failure to hold such Regulatory Approvals, licenses, permits and similar governmental authorizations could not, individually or in the aggregate,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Parent and its Subsidiaries (including each Health Plan Subsidiary), and each Managed Company has (i) each material Health Care Permit, necessary to engage in its business, (ii) no knowledge of any material default under, violation of, or other material noncompliance with the terms and conditions of any such material Health Care Permit and (iii) no knowledge that any Governmental Authority is considering limiting, suspending or revoking any such material Health Care Permit, except where such limitation, suspension or revocation could not, individually or in the aggregate, reasonably be expected to have a Material Adverse Effect. All such material Health Care Permits are valid and in full force and effect and Parent and its Subsidiaries (including each Health Plan Subsidiary), and each Managed Company is in compliance with the terms and conditions of all such material Health Care Permits, except where failure to be in such compliance or for a material Health Care Permit to be valid and in full force and effect could not, individually or in the aggregate, reasonably be expected to have a Material Adverse Effect. There is a not a default under any agreement with CMS pursuant to which a Health Plan Subsidiary is contracted to offer Medicare Advantage or Medicare Part D benefits (“</w:t>
      </w:r>
      <w:r>
        <w:rPr>
          <w:rFonts w:ascii="Times New Roman;serif" w:hAnsi="Times New Roman;serif"/>
          <w:b w:val="false"/>
          <w:color w:val="000000"/>
          <w:sz w:val="22"/>
          <w:u w:val="single"/>
        </w:rPr>
        <w:t>CMS Agreement</w:t>
      </w:r>
      <w:r>
        <w:rPr>
          <w:color w:val="000000"/>
        </w:rPr>
        <w:t>”</w:t>
      </w:r>
      <w:r>
        <w:rPr>
          <w:rFonts w:ascii="Times New Roman;serif" w:hAnsi="Times New Roman;serif"/>
          <w:b w:val="false"/>
          <w:color w:val="000000"/>
          <w:sz w:val="22"/>
        </w:rPr>
        <w:t>), except where such default could not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To the knowledge of Parent and its Subsidiaries (including each Health Plan Subsidiary), except as could not be expected individually or in the aggregate to have a Material Adverse Effect, all Licensed Personnel (i) are appropriately licensed in the jurisdiction in which they hold themselves out to the Borrower, its Subsidiaries (including each Health Plan Subsidiary) and each Managed Company as professional health care providers and perform services for Parent, its Subsidiaries (including each Health Plan Subsidiary) and each Managed Company and, to the knowledge of Parent and its Subsidiaries (including each Health Plan Subsidiary), no suspension, revocation, termination, impairment, modification or nonrenewal of any such license is pending or threatened in writing, and (ii) have not been debarred from participating in government contracts, subcontracts, loans, grants and other assistance programs or excluded from participation in a Federal Health Care Program.</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Parent, its Subsidiaries (including any Health Plan Subsidiaries) and the Managed Companies have obtained and maintain accreditation in good standing and without limitation or impairment by all applicable accrediting organizations, to the extent required by Health Care Laws or any Governmental Authority except where failure to do so could not, individually or in the aggregate,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Parent, its Subsidiaries (including each Health Plan Subsidiary) and each Managed Company holds in full force and effect all Third Party Payor authorizations necessary to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701675"/>
                <wp:effectExtent l="0" t="0" r="0" b="0"/>
                <wp:wrapNone/>
                <wp:docPr id="237" name="Frame23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participate in and be reimbursed by all Third Party Payor Programs in which Holdings, its Subsidiaries (including each Health Plan Subsidiary) or each Managed Company participates (if any), except where the failure to do so has not had or could not, individually or in the aggregate, reasonably be expected to have a Material Adverse Effect. To Borrower’s and Holdings’ knowledge, there is no investigation, audit, claim review, or other action pending or, to the knowledge of each Loan Party, threatened in writing, which could result in a suspension, revocation, termination, restriction, limitation, modification or nonrenewal of any authorization from a Third Party Payor or result in the exclusion of Parent, its Subsidiaries (including each Health Plan Subsidiary) or any Managed Company from any Third Party Payor Program that could reasonably be expected to have, individually or in the aggregate,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Neither Parent, nor any of its Subsidiaries (including any Health Plan Subsidiary), nor any Managed Company or , to Borrower’s and Holdings’ knowledge, any Licensed Personnel, is in default or violation of any Health Care Laws that could, individually or in the aggregate, reasonably be expected to have a Material Adverse Effect. The Borrower and its Subsidiaries (including each Health Plan Subsidiary) and each Managed Company is HIPAA Compliant and compliant with all other Applicable Laws regarding the privacy, security, processing, maintenance, use and/or disclosure of medical information (collectively, including HIPAA, </w:t>
      </w:r>
      <w:r>
        <w:rPr>
          <w:color w:val="000000"/>
        </w:rPr>
        <w:t>“</w:t>
      </w:r>
      <w:r>
        <w:rPr>
          <w:rFonts w:ascii="Times New Roman;serif" w:hAnsi="Times New Roman;serif"/>
          <w:b w:val="false"/>
          <w:i/>
          <w:color w:val="000000"/>
          <w:sz w:val="22"/>
          <w:u w:val="single"/>
        </w:rPr>
        <w:t>Privacy Obligations</w:t>
      </w:r>
      <w:r>
        <w:rPr>
          <w:color w:val="000000"/>
        </w:rPr>
        <w:t>”</w:t>
      </w:r>
      <w:r>
        <w:rPr>
          <w:rFonts w:ascii="Times New Roman;serif" w:hAnsi="Times New Roman;serif"/>
          <w:b w:val="false"/>
          <w:color w:val="000000"/>
          <w:sz w:val="22"/>
        </w:rPr>
        <w:t>), except where non-compliance could not reasonably be expected to have a Material Adverse Effect. Neither Parent, nor any of its Subsidiaries (including any Health Plan Subsidiary) nor any Managed Company has experienced a breach relating to its Privacy Obligations that could, individually or in the aggregate, reasonably be expected to have a Material Adverse Effect. Any software, technology, algorithm, artificial intelligence, machine learning model, or automated decision-making tool used by Parent, its Subsidiaries (including any Health Plan Subsidiary), or by any Managed Company or by any Licensed Personnel, in connection with the delivery of clinical services, care management, care coordination, utilization management, member engagement, risk stratification, or similar activities has been used, deployed, validated, and maintained in compliance with applicable Health Care Laws, including any applicable consumer health data or consumer protection Laws, except where such failure to comply could not, individually or in the aggregate,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Neither Parent, nor any of its Subsidiaries (including any Health Plan Subsidiary) or Managed Company nor, to Borrower’s and Holdings’ knowledge, any Licensed Personnel, or any owner, officer, director, managing employee or person with a “direct or indirect ownership interest” (as that phrase is defined in 42 C.F.R. § 420.201) in Parent, any of its Subsidiaries (including any Health Plan Subsidiary) or any Managed Company, have been debarred or excluded from participation under a Federal Health Care Program, except where such debarment or exclusion could not, individually or in the aggregate, reasonably be expected to have a Material Adverse Effect. Neither Parent nor any of its Subsidiaries (including any Health Plan Subsidiary) or Managed Company, nor to Borrower’s and Holding’s knowledge, any Licensed Personnel, is a party to any corporate integrity agreement, corporate compliance agreement, deferred prosecution agreement, monitoring agreement, consent decree, settlement order or similar agreement with or imposed by any Governmental Authority, the entry into or imposition of which could, individually or in the aggregate, reasonably be expected to have a Material Adverse Effect.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To Borrower’s knowledge, neither Parent nor any of its Subsidiaries (including any Health Plan Subsidiary) nor any Managed Company or any Licensed Personnel, are subject to any civil or criminal suit, claim, administrative hearing or, to the Parent’s knowledge, investigation by any Governmental Authority (including the Office of the Inspector General of the U.S. Department of Health and Human Services) (i) which would reasonably be expected to result in the imposition of a fine or other sanction, which could, individually or in the aggregate, have a Material Adverse Effect; (ii) which pertains to a potential overpayment matter or the alleged fraudulent submission of claims to a Third Party Payor by the Borrower, any Subsidiary (including any Health Plan Subsidiary) or any Managed Company (excluding any overpayment investigated in an audit conducted in the ordinary course, e.g., a routine CMS recovery audit contractor audit), the resolution of which matter or allegations could, individually or in the aggregate, reasonably be expected to have a Material Adverse Effect; or (iii) which would reasonably be expected to result in the revocation, transfer, surrender, suspension or other impairment of any Health Care Permits of the Borrower, any of its Subsidiaries (including any Health Plan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701675"/>
                <wp:effectExtent l="0" t="0" r="0" b="0"/>
                <wp:wrapNone/>
                <wp:docPr id="238" name="Frame23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or any Managed Company, which could , individually or in the aggregate,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Except as could not reasonably be expected to have a Material Adverse Effect, neither Parent, nor any Subsidiary (including any Health Plan Subsidiary) nor any Managed Company or to any Loan Party’s knowledge, any Licensed Personnel or any owner, officer, director, managing employee or person with a “direct or indirect ownership interest” (as that phrase is defined in 42 C.F.R. § 420.201) in Parent, any Subsidiary (including any Health Plan Subsidiary) or any Managed Company, has engaged, or is alleged in writing by a Governmental Authority to have engaged, in any of the following: (i) knowingly and willfully making or causing to be made a false statement or representation of a material fact in any application for any benefit or payment under any Federal Health Care Program; (ii) knowingly and willfully making or causing to be made any false statement or false representation of a material fact for use in determining rights to any benefit or payment under any Federal Health Care Program; (iii) failing to disclose knowledge by a claimant of the occurrence of any event affecting the initial or continued right to any benefit or payment under any Federal Health Care Program on its own behalf or on behalf of another, with intent to secure such benefit or payment fraudulently; (iv) knowingly and willfully soliciting or receiving any remuneration (including any kickback, bribe or rebate), directly or indirectly, overtly or covertly, in cash or in kind or offering to pay such remuneration (x) in return for referring an individual to a Person for the furnishing or arranging for the furnishing of any item or service for which payment may be made in whole or in part by any Third Party Payor Program in violation of the Health Care Laws, or (y) in return for purchasing, leasing or ordering or arranging for or recommending the purchasing, leasing or ordering of any good, facility, service, or item for which payment may be made in whole or in part by any Third Party Payor Program in violation of the Health Care Laws; or (v) presenting or causing to be presented a claim for reimbursement for services that is for an item or services that was known, or should have been known, to be (x) not provided as claimed, or (y) false or fraudulent; or (vi) knowingly and willfully making or causing to be made or inducing or seeking to induce the making of any false statement or representation (or omitting to state a fact required to be stated therein or necessary to make the statements contained therein not misleading) of a material fact with respect to the Borrower, its Subsidiaries (including any Health Plan Subsidiary) or any Managed Company in order that the Borrower, its Subsidiaries (including any Health Plan Subsidiary) or any Managed Company may qualify for Governmental Authority certification or accreditation.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Except as could not, individually or in the aggregate, reasonably be expected to have a Material Adverse Effect, neither Parent, nor its Subsidiaries (including any Health Plan Subsidiary) nor any Managed Company or to any Loan Party’s knowledge, any owner, officer, director, managing employee or person with a “direct or indirect ownership interest” (as that phrase is defined in 42 C.F.R. § 420.201) in Parent, its Subsidiaries (including any Health Plan Subsidiary) or any Managed Company has (i) had a civil monetary penalty assessed against him/her/it pursuant to 42 U.S.C. § 1320a-7a or is the subject of a proceeding seeking to assess such penalty; (ii) been excluded from participation in a Federal Health Care Program or to any Loan Party’s knowledge is the subject of a proceeding seeking to assess such penalty; (iii) been convicted (as that term is defined in 42 C.F.R. § 1001.2) of any of those offenses described in 42 U.S.C. § 1320a-7b or 18 U.S.C. § 1347, or is the subject of a proceeding regarding such offense; (iv) to any Loan Party’s knowledge been named as a defendant in a complaint made by any U.S. Attorney or state office of attorney general or any other action taken pursuant to the False Claims Act under 31 U.S.C. §§ 3729-31 or qui tam action brought pursuant to 31 U.S.C. §§ 3729 et seq. or any similar state law; or (v) to any Loan Party’s knowledge, been or become subject to any Governmental Authority investigation, excluding routine audits or reviews, related to its compliance with Health Care Laws or threatening its participation in Medicare, Medicaid, any other Third Party Payor Programs or its billing practices with respect thereto other than routine audits.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Except as could not, individually or in the aggregate, reasonably be expected to have a Material Adverse Effect, Parent, its Subsidiaries (including any Health Plan Subsidiary) and any Managed Company: (A) has not knowingly retained an overpayment received from, or failed to refund any amount due to, any Third Party Payor Program in violation of any Health Care Law; or (B) has not received written notice of, or has no knowledge of, any overpayment or refunds due to any Third Party Payor Program. Parent, its Subsidiaries (including any Health Plan Subsidiary) and any Managed Company that performs, or is responsible for, healthcare services, billing, coding, claims processing, submission, payment, or risk adjustment activities maintains policies and procedures reasonably designed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701675"/>
                <wp:effectExtent l="0" t="0" r="0" b="0"/>
                <wp:wrapNone/>
                <wp:docPr id="239" name="Frame23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to promote compliance with applicable Health Care Laws relating to risk adjustment, diagnosis coding, and related billing practices.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Set forth on </w:t>
      </w:r>
      <w:r>
        <w:rPr>
          <w:rFonts w:ascii="Times New Roman;serif" w:hAnsi="Times New Roman;serif"/>
          <w:b w:val="false"/>
          <w:color w:val="000000"/>
          <w:sz w:val="22"/>
          <w:u w:val="single"/>
        </w:rPr>
        <w:t>Schedule 5.26(l)</w:t>
      </w:r>
      <w:r>
        <w:rPr>
          <w:color w:val="000000"/>
        </w:rPr>
        <w:t xml:space="preserve"> </w:t>
      </w:r>
      <w:r>
        <w:rPr>
          <w:rFonts w:ascii="Times New Roman;serif" w:hAnsi="Times New Roman;serif"/>
          <w:b w:val="false"/>
          <w:color w:val="000000"/>
          <w:sz w:val="22"/>
        </w:rPr>
        <w:t>is a complete and correct list of all Management Services Documents as of the Closing Date. To the extent requested by the Administrative Agent, true and correct copies of all of the Management Services Documents have been provided to Administrative Agent prior to the Closing Date. Parent and each of its Subsidiaries are in compliance with its obligations under each Management Services Document, except where non-compliance could not, individually or in the aggregate, reasonably be expected to result in a Material Adverse Effect. To the knowledge of each Loan Party, no default, event of default or other event entitling any party thereto to terminate any Management Services Document has occurred. To the knowledge of each Loan Party, all other parties to each Management Services Document are in compliance in all material respects with their respective obligations thereunder. Each Management Services Document is valid and existing and enforceable against the Loan Party party thereto and each Managed Company party thereto and, to the knowledge of the Loan Parties, is valid and existing and enforceable against each other Person which is a party thereto, in each case, in accordance with its terms except as enforceability may be limited by applicable Debtor Relief Laws, or other laws affecting creditors’ rights generally and by general principles of equity.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Set forth on </w:t>
      </w:r>
      <w:r>
        <w:rPr>
          <w:rFonts w:ascii="Times New Roman;serif" w:hAnsi="Times New Roman;serif"/>
          <w:b w:val="false"/>
          <w:color w:val="000000"/>
          <w:sz w:val="22"/>
          <w:u w:val="single"/>
        </w:rPr>
        <w:t>Schedule 5.26(m)</w:t>
      </w:r>
      <w:r>
        <w:rPr>
          <w:color w:val="000000"/>
        </w:rPr>
        <w:t xml:space="preserve"> </w:t>
      </w:r>
      <w:r>
        <w:rPr>
          <w:rFonts w:ascii="Times New Roman;serif" w:hAnsi="Times New Roman;serif"/>
          <w:b w:val="false"/>
          <w:color w:val="000000"/>
          <w:sz w:val="22"/>
        </w:rPr>
        <w:t>is a complete and correct list of all Health Plan Subsidiary Management Agreements as of the Closing Date. To the extent requested by the Administrative Agent, true and correct copies of all of the Health Plan Subsidiary Management Agreements have been provided to Administrative Agent prior to the Closing Date. As of the Closing Date, Parent and each of its Subsidiaries are in compliance with its obligations under each Health Plan Subsidiary Management Agreement, except where non-compliance could not, individually or in the aggregate, reasonably be expected to result in a Material Adverse Effect. To the knowledge of each Loan Party, as of the Closing Date, no default, event of default or other event entitling any party thereto to terminate any Health Plan Subsidiary Management Agreement has occurred. To the knowledge of each Loan Party, as of the Closing Date, all other parties to each Health Plan Subsidiary Management Agreement are in compliance in all material respects with their respective obligations thereunder.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Borrower hereby covenants and agrees to notify Administrative Agent within ten (10) Business Days following becoming aware of clear and convincing evidence, that, in the sole judgement of Borrower, after consultation with legal counsel, (A) would make any of the representations and warranties in this </w:t>
      </w:r>
      <w:r>
        <w:rPr>
          <w:rFonts w:ascii="Times New Roman;serif" w:hAnsi="Times New Roman;serif"/>
          <w:b w:val="false"/>
          <w:color w:val="000000"/>
          <w:sz w:val="22"/>
          <w:u w:val="single"/>
        </w:rPr>
        <w:t>Section 5.26</w:t>
      </w:r>
      <w:r>
        <w:rPr>
          <w:color w:val="000000"/>
        </w:rPr>
        <w:t xml:space="preserve"> </w:t>
      </w:r>
      <w:r>
        <w:rPr>
          <w:rFonts w:ascii="Times New Roman;serif" w:hAnsi="Times New Roman;serif"/>
          <w:b w:val="false"/>
          <w:color w:val="000000"/>
          <w:sz w:val="22"/>
        </w:rPr>
        <w:t>untrue, incomplete or incorrect and (B) could, individually or in the aggregate, reasonably be expected to result in a Material Adverse Effect, and shall promptly provide to Administrative Agent information reasonably requested by the Administrative Agent regarding such disclosure.</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All contractual arrangements to which any Loan Party is a party (including without limitation the Management Services Documents and Health Plan Subsidiary Management Agreements), are in compliance with all Health Care Laws, except where any non-compliance could not reasonably be expected to result in a Material Adverse Effect. The corporate structure of the Loan Parties (and any compensation arrangements thereof) comply in all respects with all Health Care Laws (including any Laws prohibiting the corporate practice of licensed professions or fee-splitting), except where any non-compliance could not, individually or in the aggregate,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5.27</w:t>
      </w:r>
      <w:r>
        <w:rPr>
          <w:rFonts w:ascii="Times New Roman;serif" w:hAnsi="Times New Roman;serif"/>
          <w:b/>
          <w:color w:val="000000"/>
          <w:sz w:val="22"/>
          <w:u w:val="single"/>
        </w:rPr>
        <w:t>Insurance Licenses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To the extent required by Applicable Law, each Regulated Insurance Subsidiary holds an Insurance License and is authorized to transact Insurance Business in (a) the line or lines of insurance it is engaged in and (b) the state, states or jurisdictions it transacts Insurance Business in, in each case except as could not, individually or in the aggregate, reasonably be expected to result in a Material Adverse Effect. No such Insurance License is the subject of a proceeding for suspension, limitation or revocation and to each Loan Party’s knowledge, no such suspension, limitation or revocation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701675"/>
                <wp:effectExtent l="0" t="0" r="0" b="0"/>
                <wp:wrapNone/>
                <wp:docPr id="240" name="Frame23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has been threatened in writing by any Applicable Insurance Regulatory Authority or other Governmental Authority, except as could not reasonably be expected to result in a Material Adverse Effect.</w:t>
      </w:r>
    </w:p>
    <w:p>
      <w:pPr>
        <w:pStyle w:val="TextBody"/>
        <w:bidi w:val="0"/>
        <w:spacing w:lineRule="auto" w:line="240" w:before="0" w:after="240"/>
        <w:jc w:val="center"/>
        <w:rPr/>
      </w:pPr>
      <w:r>
        <w:rPr>
          <w:rFonts w:ascii="Times New Roman;serif" w:hAnsi="Times New Roman;serif"/>
          <w:b/>
          <w:color w:val="000000"/>
          <w:sz w:val="22"/>
        </w:rPr>
        <w:t>Article VI</w:t>
      </w:r>
      <w:r>
        <w:rPr>
          <w:rFonts w:ascii="Times New Roman;serif" w:hAnsi="Times New Roman;serif"/>
          <w:b/>
          <w:color w:val="000000"/>
          <w:sz w:val="22"/>
        </w:rPr>
        <w:br/>
        <w:br/>
        <w:t>AFFIRMATIVE COVENANTS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of the Loan Parties hereby covenants and agrees that on the Closing Date and thereafter until the Facility Termination Date, such Loan Party shall, and shall cause each of its Subsidiaries to (and, with respect to (i) </w:t>
      </w:r>
      <w:r>
        <w:rPr>
          <w:rFonts w:ascii="Times New Roman;serif" w:hAnsi="Times New Roman;serif"/>
          <w:b w:val="false"/>
          <w:color w:val="000000"/>
          <w:sz w:val="22"/>
          <w:u w:val="single"/>
        </w:rPr>
        <w:t>Sections 6.04</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6.06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6.07(a)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Sections 6.08</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6.10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6.16</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Section 6.21</w:t>
      </w:r>
      <w:r>
        <w:rPr>
          <w:rFonts w:ascii="Times New Roman;serif" w:hAnsi="Times New Roman;serif"/>
          <w:b w:val="false"/>
          <w:color w:val="000000"/>
          <w:sz w:val="22"/>
        </w:rPr>
        <w:t>, shall use commercially reasonable efforts to cause any Managed Company to, to the extent permitted by Applicable Law and (ii) Section 6.20, shall use commercially reasonable efforts to cause any Managed Company to, to the extent permitted by Applicable Law and consistent with the Management Services Documents):</w:t>
      </w:r>
    </w:p>
    <w:p>
      <w:pPr>
        <w:pStyle w:val="TextBody"/>
        <w:bidi w:val="0"/>
        <w:spacing w:lineRule="auto" w:line="240" w:before="0" w:after="240"/>
        <w:ind w:left="0" w:right="0" w:firstLine="720"/>
        <w:jc w:val="both"/>
        <w:rPr/>
      </w:pPr>
      <w:r>
        <w:rPr>
          <w:rFonts w:ascii="Times New Roman;serif" w:hAnsi="Times New Roman;serif"/>
          <w:b/>
          <w:color w:val="000000"/>
          <w:sz w:val="22"/>
        </w:rPr>
        <w:t>6.01</w:t>
      </w:r>
      <w:r>
        <w:rPr>
          <w:rFonts w:ascii="Times New Roman;serif" w:hAnsi="Times New Roman;serif"/>
          <w:b/>
          <w:color w:val="000000"/>
          <w:sz w:val="22"/>
          <w:u w:val="single"/>
        </w:rPr>
        <w:t>Financial Statements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Deliver to the Administrative Agent and each Lender, in form and detail reasonably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Audited Financial Statements</w:t>
      </w:r>
      <w:r>
        <w:rPr>
          <w:rFonts w:ascii="Times New Roman;serif" w:hAnsi="Times New Roman;serif"/>
          <w:b w:val="false"/>
          <w:color w:val="000000"/>
          <w:sz w:val="22"/>
        </w:rPr>
        <w:t>. As soon as available, but in any event within ninety (90) days after the end of each fiscal year of the Parent (or, if earlier, fifteen (15) days after the date required to be filed with the SEC (without giving effect to any extension permitted by the SEC)) (commencing with the fiscal year ended December 31, 2025), a copy of the consolidated balance sheet of the Combined Group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Deloitte LLP or any other independent certified public accountant of nationally recognized standing reasonably acceptable to the</w:t>
      </w:r>
      <w:r>
        <w:rPr>
          <w:color w:val="000000"/>
        </w:rPr>
        <w:t xml:space="preserve"> </w:t>
      </w:r>
      <w:r>
        <w:rPr>
          <w:rFonts w:ascii="Times New Roman;serif" w:hAnsi="Times New Roman;serif"/>
          <w:b w:val="false"/>
          <w:color w:val="000000"/>
          <w:sz w:val="22"/>
        </w:rPr>
        <w:t xml:space="preserve">Administrative Agent, which report and opinion shall be prepared in accordance with generally accepted auditing standards and shall not be subject to any “going concern” or like qualification or exception as to the scope of such audit (except for any such qualification or exception with respect to, or resulting from, (i) the impending maturity date of any Indebtedness permitted hereunder of the Loan Parties occurring within 12 months of the time such opinion is delivered or (ii) a breach or anticipated breach of financial covenants).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Quarterly Financial Statements</w:t>
      </w:r>
      <w:r>
        <w:rPr>
          <w:rFonts w:ascii="Times New Roman;serif" w:hAnsi="Times New Roman;serif"/>
          <w:b w:val="false"/>
          <w:color w:val="000000"/>
          <w:sz w:val="22"/>
        </w:rPr>
        <w:t>. As soon as available, but in any event within forty-five (45) days after the end of each of the first three (3) fiscal quarters of each fiscal year of the Parent (or, if earlier, five (5) days after the date required to be filed with the SEC (without giving effect to any extension permitted by the SEC)) (commencing with the fiscal quarter ended March 31, 2026), a copy of the consolidated balance sheet of the Combined Group as at the end of such fiscal quarter, and the related consolidated statements of income or operations, changes in Shareholders’ Equity and cash flows for such fiscal quarter and for the portion of the fiscal year then ended, setting forth in each case in comparative form the figures for the corresponding fiscal quarter of the previous fiscal year and the corresponding portion of the previous fiscal year, all in reasonable detail and prepared in accordance with GAAP, subject only to normal year-end audit adjustments and the absence of footnotes and certified by a Responsible Officer of the Parent as fairly presenting the financial condition, results of operations, Shareholders’ Equity and cash flows of the Combined Group.</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Budget</w:t>
      </w:r>
      <w:r>
        <w:rPr>
          <w:rFonts w:ascii="Times New Roman;serif" w:hAnsi="Times New Roman;serif"/>
          <w:b w:val="false"/>
          <w:color w:val="000000"/>
          <w:sz w:val="22"/>
        </w:rPr>
        <w:t xml:space="preserve">. As soon as available, but in any event within ninety (90) days after the beginning of each fiscal year of the Parent, an annual budget of the Combined Group on a consolidated basis, consisting of a projected consolidated balance sheet of the Combined Group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701675"/>
                <wp:effectExtent l="0" t="0" r="0" b="0"/>
                <wp:wrapNone/>
                <wp:docPr id="241" name="Frame24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as of the end of the following fiscal year and the related consolidated statements of projected cash flow and projected income. </w:t>
      </w:r>
    </w:p>
    <w:p>
      <w:pPr>
        <w:pStyle w:val="TextBody"/>
        <w:bidi w:val="0"/>
        <w:spacing w:lineRule="auto" w:line="288" w:before="0" w:after="240"/>
        <w:jc w:val="both"/>
        <w:rPr/>
      </w:pPr>
      <w:r>
        <w:rPr>
          <w:rFonts w:ascii="Times New Roman;serif" w:hAnsi="Times New Roman;serif"/>
          <w:b w:val="false"/>
          <w:color w:val="000000"/>
          <w:sz w:val="22"/>
        </w:rPr>
        <w:t xml:space="preserve">As to any information contained in materials furnished pursuant to </w:t>
      </w:r>
      <w:r>
        <w:rPr>
          <w:rFonts w:ascii="Times New Roman;serif" w:hAnsi="Times New Roman;serif"/>
          <w:b w:val="false"/>
          <w:color w:val="000000"/>
          <w:sz w:val="22"/>
          <w:u w:val="single"/>
        </w:rPr>
        <w:t>Section 6.02(g</w:t>
      </w:r>
      <w:r>
        <w:rPr>
          <w:rFonts w:ascii="Times New Roman;serif" w:hAnsi="Times New Roman;serif"/>
          <w:b w:val="false"/>
          <w:color w:val="000000"/>
          <w:sz w:val="22"/>
        </w:rPr>
        <w:t xml:space="preserve">), the Loan Parties shall not be separately required to furnish such information under </w:t>
      </w:r>
      <w:r>
        <w:rPr>
          <w:rFonts w:ascii="Times New Roman;serif" w:hAnsi="Times New Roman;serif"/>
          <w:b w:val="false"/>
          <w:color w:val="000000"/>
          <w:sz w:val="22"/>
          <w:u w:val="single"/>
        </w:rPr>
        <w:t>Section 6.01(a</w:t>
      </w:r>
      <w:r>
        <w:rPr>
          <w:rFonts w:ascii="Times New Roman;serif" w:hAnsi="Times New Roman;serif"/>
          <w:b w:val="false"/>
          <w:color w:val="000000"/>
          <w:sz w:val="22"/>
        </w:rPr>
        <w:t>) 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above, but the foregoing shall not be in derogation of the obligation of the Loan Parties to furnish the information and materials described in </w:t>
      </w:r>
      <w:r>
        <w:rPr>
          <w:rFonts w:ascii="Times New Roman;serif" w:hAnsi="Times New Roman;serif"/>
          <w:b w:val="false"/>
          <w:color w:val="000000"/>
          <w:sz w:val="22"/>
          <w:u w:val="single"/>
        </w:rPr>
        <w:t>Sections 6.01(a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 above at the times specified therein.</w:t>
      </w:r>
    </w:p>
    <w:p>
      <w:pPr>
        <w:pStyle w:val="TextBody"/>
        <w:bidi w:val="0"/>
        <w:spacing w:lineRule="auto" w:line="240" w:before="0" w:after="240"/>
        <w:ind w:left="0" w:right="0" w:firstLine="720"/>
        <w:jc w:val="both"/>
        <w:rPr/>
      </w:pPr>
      <w:r>
        <w:rPr>
          <w:rFonts w:ascii="Times New Roman;serif" w:hAnsi="Times New Roman;serif"/>
          <w:b/>
          <w:color w:val="000000"/>
          <w:sz w:val="22"/>
        </w:rPr>
        <w:t>6.02</w:t>
      </w:r>
      <w:r>
        <w:rPr>
          <w:rFonts w:ascii="Times New Roman;serif" w:hAnsi="Times New Roman;serif"/>
          <w:b/>
          <w:color w:val="000000"/>
          <w:sz w:val="22"/>
          <w:u w:val="single"/>
        </w:rPr>
        <w:t>Certificates</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Other Information</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Deliver to the Administrative Agent for prompt further distribution to the Lenders, in form and detail reasonably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Compliance Certificate</w:t>
      </w:r>
      <w:r>
        <w:rPr>
          <w:rFonts w:ascii="Times New Roman;serif" w:hAnsi="Times New Roman;serif"/>
          <w:b w:val="false"/>
          <w:color w:val="000000"/>
          <w:sz w:val="22"/>
        </w:rPr>
        <w:t xml:space="preserve">. Concurrently with the delivery of the financial statements referred to in </w:t>
      </w:r>
      <w:r>
        <w:rPr>
          <w:rFonts w:ascii="Times New Roman;serif" w:hAnsi="Times New Roman;serif"/>
          <w:b w:val="false"/>
          <w:color w:val="000000"/>
          <w:sz w:val="22"/>
          <w:u w:val="single"/>
        </w:rPr>
        <w:t>Sections 6.01(a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(commencing with the delivery of the financial statements for the fiscal quarter ended June 30, 2026), a duly completed Compliance Certificate signed by a Responsible Officer of the Parent and the Borrower. Delivery of the Compliance Certificate may be by electronic communication including fax or email and shall be deemed to be an original and authentic counterpart thereof for all purposes.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Updated Schedules and Certain Healthcare Matters</w:t>
      </w:r>
      <w:r>
        <w:rPr>
          <w:rFonts w:ascii="Times New Roman;serif" w:hAnsi="Times New Roman;serif"/>
          <w:b w:val="false"/>
          <w:color w:val="000000"/>
          <w:sz w:val="22"/>
        </w:rPr>
        <w:t xml:space="preserve">. Concurrently with the delivery of the Compliance Certificate referred to in </w:t>
      </w:r>
      <w:r>
        <w:rPr>
          <w:rFonts w:ascii="Times New Roman;serif" w:hAnsi="Times New Roman;serif"/>
          <w:b w:val="false"/>
          <w:color w:val="000000"/>
          <w:sz w:val="22"/>
          <w:u w:val="single"/>
        </w:rPr>
        <w:t>Section 6.02(b</w:t>
      </w:r>
      <w:r>
        <w:rPr>
          <w:rFonts w:ascii="Times New Roman;serif" w:hAnsi="Times New Roman;serif"/>
          <w:b w:val="false"/>
          <w:color w:val="000000"/>
          <w:sz w:val="22"/>
        </w:rPr>
        <w:t xml:space="preserve">), the (i) following updated Schedules to this Agreement (which may be attached to the Compliance Certificate) to the extent required to make the representation related to such Schedule true and correct as of the date of such Compliance Certificate: </w:t>
      </w:r>
      <w:r>
        <w:rPr>
          <w:rFonts w:ascii="Times New Roman;serif" w:hAnsi="Times New Roman;serif"/>
          <w:b w:val="false"/>
          <w:color w:val="000000"/>
          <w:sz w:val="22"/>
          <w:u w:val="single"/>
        </w:rPr>
        <w:t>Schedules 5.20(b),</w:t>
      </w:r>
      <w:r>
        <w:rPr>
          <w:color w:val="000000"/>
        </w:rPr>
        <w:t xml:space="preserve"> </w:t>
      </w:r>
      <w:r>
        <w:rPr>
          <w:rFonts w:ascii="Times New Roman;serif" w:hAnsi="Times New Roman;serif"/>
          <w:b w:val="false"/>
          <w:color w:val="000000"/>
          <w:sz w:val="22"/>
          <w:u w:val="single"/>
        </w:rPr>
        <w:t>5.20(c)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5.20(d)(i)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5.20(e)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5.20(f)</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5.20(g)</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5.26(l)</w:t>
      </w:r>
      <w:r>
        <w:rPr>
          <w:color w:val="000000"/>
        </w:rPr>
        <w:t xml:space="preserve"> </w:t>
      </w:r>
      <w:r>
        <w:rPr>
          <w:rFonts w:ascii="Times New Roman;serif" w:hAnsi="Times New Roman;serif"/>
          <w:b w:val="false"/>
          <w:color w:val="000000"/>
          <w:sz w:val="22"/>
        </w:rPr>
        <w:t>and (ii) notice of the following events (together with such supporting data and information as shall be necessary to fully explain to Administrative Agent the scope and nature of the fact, event or circumstance and any steps being taken with respect thereto) which occurred during such fiscal quarter or the last fiscal quarter of the fiscal year for which Compliance Certificate is delivered (x) the voluntary disclosure of a potential overpayment in excess of the Threshold Amount by an Loan Party, any Managed Company or any of their Subsidiaries, under any Federal Health Care Program pursuant to its Self-Referral Disclosure Protocol, or to the Office of the Inspector General of the United States Department of Health and Human Services pursuant to its Provider Self-Disclosure Protocol and (y) the receipt of a notice of any fines or penalties imposed by any Governmental Authority under any Health Care Law against Parent, any of its Subsidiaries or any Managed Company in excess of the Threshold Amount.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Audit Reports; Management Letters; Recommendations</w:t>
      </w:r>
      <w:r>
        <w:rPr>
          <w:rFonts w:ascii="Times New Roman;serif" w:hAnsi="Times New Roman;serif"/>
          <w:b w:val="false"/>
          <w:color w:val="000000"/>
          <w:sz w:val="22"/>
        </w:rPr>
        <w:t>. Promptly after receipt thereof by any Loan Party, copies of any detailed final audit reports, final management letters or final written recommendations submitted to the board of directors (or the audit committee of the board of directors) of any Loan Party by independent accountants in connection with the accounts or books of any Loan Party or any of its Subsidiaries, or any audit of any of them.</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Annual Reports; Etc</w:t>
      </w:r>
      <w:r>
        <w:rPr>
          <w:rFonts w:ascii="Times New Roman;serif" w:hAnsi="Times New Roman;serif"/>
          <w:b w:val="false"/>
          <w:color w:val="000000"/>
          <w:sz w:val="22"/>
        </w:rPr>
        <w:t>. Promptly after the same are available, copies of each annual report, proxy or financial statement or other report or communication sent to the stockholders of the Parent, and copies of all annual, regular, periodic and special reports and registration statements which the Parent or any of its Subsidiaries may file or be required to file with the SEC under Section 13 or 15(d) of the Securities Exchange Act of 1934, or with any national securities exchange, and in any case not otherwise required to be delivered to the Administrative Agent pursuant hereto.</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701675"/>
                <wp:effectExtent l="0" t="0" r="0" b="0"/>
                <wp:wrapNone/>
                <wp:docPr id="242" name="Frame24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Debt Securities Statements and Reports</w:t>
      </w:r>
      <w:r>
        <w:rPr>
          <w:rFonts w:ascii="Times New Roman;serif" w:hAnsi="Times New Roman;serif"/>
          <w:b w:val="false"/>
          <w:color w:val="000000"/>
          <w:sz w:val="22"/>
        </w:rPr>
        <w:t xml:space="preserve">. Promptly after the furnishing thereof, copies of any material statement or material report furnished to any holder of debt securities of any Loan Party or of any of its Subsidiaries pursuant to the terms of any indenture, loan or credit or similar agreement and not otherwise required to be furnished to the Lenders pursuant to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or any other clause of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 For purposes of this clause (h) and without limitation, any statement or report relating to events, either individually or in the aggregate, that could reasonably be expected to have a Material Adverse Effect or a material adverse effect however defined under any such indenture, loan or credit or similar agreement shall be deemed material.</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SEC Notices</w:t>
      </w:r>
      <w:r>
        <w:rPr>
          <w:rFonts w:ascii="Times New Roman;serif" w:hAnsi="Times New Roman;serif"/>
          <w:b w:val="false"/>
          <w:color w:val="000000"/>
          <w:sz w:val="22"/>
        </w:rPr>
        <w:t>. Promptly, and in any event within five (5) Business Days after receipt thereof by any Loan Party or any Subsidiary thereof, copies of each notice or other correspondence received from the SEC (or comparable agency in any applicable non-U.S. jurisdiction) concerning any investigation or possible investigation or other non-routine inquiry by such agency regarding financial or other operational results of any Loan Party or any Subsidiary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Notices</w:t>
      </w:r>
      <w:r>
        <w:rPr>
          <w:rFonts w:ascii="Times New Roman;serif" w:hAnsi="Times New Roman;serif"/>
          <w:b w:val="false"/>
          <w:color w:val="000000"/>
          <w:sz w:val="22"/>
        </w:rPr>
        <w:t>. Not later than five (5) Business Days after receipt thereof by any Loan Party or any Subsidiary thereof, copies of all material notices, requests and other documents (including amendments, waivers and other modifications) so received under or pursuant to any instrument, indenture, loan or credit or similar agreement regarding or related to any breach or default by any party thereto or any other event that could, individually or in the aggregate,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Environmental Notice</w:t>
      </w:r>
      <w:r>
        <w:rPr>
          <w:rFonts w:ascii="Times New Roman;serif" w:hAnsi="Times New Roman;serif"/>
          <w:b w:val="false"/>
          <w:color w:val="000000"/>
          <w:sz w:val="22"/>
        </w:rPr>
        <w:t>. Promptly after the assertion or occurrence thereof, notice of any action or proceeding against or of any noncompliance by any Loan Party or any of its Subsidiaries with any Environmental Law or Environmental Permit that could, individually or in the aggregate,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Anti-Money-Laundering; Beneficial Ownership Regulation</w:t>
      </w:r>
      <w:r>
        <w:rPr>
          <w:rFonts w:ascii="Times New Roman;serif" w:hAnsi="Times New Roman;serif"/>
          <w:b w:val="false"/>
          <w:color w:val="000000"/>
          <w:sz w:val="22"/>
        </w:rPr>
        <w:t xml:space="preserve">. Promptly following any request therefor, information and documentation reasonably requested by the Administrative Agent or any Lender for purposes of compliance with applicable “know your customer” and anti-money-laundering rules and regulations, including, without limitation, the Patriot Act. </w:t>
      </w:r>
    </w:p>
    <w:p>
      <w:pPr>
        <w:pStyle w:val="TextBody"/>
        <w:bidi w:val="0"/>
        <w:spacing w:lineRule="auto" w:line="240" w:before="24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u w:val="single"/>
        </w:rPr>
        <w:t>Beneficial Ownership</w:t>
      </w:r>
      <w:r>
        <w:rPr>
          <w:rFonts w:ascii="Times New Roman;serif" w:hAnsi="Times New Roman;serif"/>
          <w:b w:val="false"/>
          <w:color w:val="000000"/>
          <w:sz w:val="22"/>
        </w:rPr>
        <w:t>. To the extent any Loan Party qualifies as a “legal entity customer” under the Beneficial Ownership Regulation, an updated Beneficial Ownership Certification promptly following any change in the information provided in the Beneficial Ownership Certification delivered to any Lender in relation to such Loan Party that would result in a change to the list of beneficial owners identified in such certification.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u w:val="single"/>
        </w:rPr>
        <w:t>Additional Information</w:t>
      </w:r>
      <w:r>
        <w:rPr>
          <w:rFonts w:ascii="Times New Roman;serif" w:hAnsi="Times New Roman;serif"/>
          <w:b w:val="false"/>
          <w:color w:val="000000"/>
          <w:sz w:val="22"/>
        </w:rPr>
        <w:t>. Promptly after any reasonable and reasonably detailed request by the Administrative Agent (on behalf of itself or any Lender), such additional information regarding the business, financial, legal or corporate affairs of any Loan Party, any Subsidiary or any Managed Company, or compliance with the terms of the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(p)Documents required to be delivered pursuant to </w:t>
      </w:r>
      <w:r>
        <w:rPr>
          <w:rFonts w:ascii="Times New Roman;serif" w:hAnsi="Times New Roman;serif"/>
          <w:b w:val="false"/>
          <w:color w:val="000000"/>
          <w:sz w:val="22"/>
          <w:u w:val="single"/>
        </w:rPr>
        <w:t>Section 6.01(a</w:t>
      </w:r>
      <w:r>
        <w:rPr>
          <w:rFonts w:ascii="Times New Roman;serif" w:hAnsi="Times New Roman;serif"/>
          <w:b w:val="false"/>
          <w:color w:val="000000"/>
          <w:sz w:val="22"/>
        </w:rPr>
        <w:t>) 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Section 6.02(g)</w:t>
      </w:r>
      <w:r>
        <w:rPr>
          <w:color w:val="000000"/>
        </w:rPr>
        <w:t xml:space="preserve"> </w:t>
      </w:r>
      <w:r>
        <w:rPr>
          <w:rFonts w:ascii="Times New Roman;serif" w:hAnsi="Times New Roman;serif"/>
          <w:b w:val="false"/>
          <w:color w:val="000000"/>
          <w:sz w:val="22"/>
        </w:rPr>
        <w:t>(to the extent any such documents are included in materials otherwise filed with the SEC) may be delivered electronically and if so delivered, shall be deemed to have been delivered on the date (i) on which the Parent posts such documents, or provides a link thereto on the Parent’s website on the Internet; (ii) on which such documents are publicly available on the SEC’s EDGAR website or (iii) on which such documents are posted on the Parent’s behalf on an Internet or intranet website, if any, to which each Lender and the Administrative Agent have access (whether a commercial, third-party website or whether sponsored by the Administrative Agent). The Administrative Agent shall have no obligation to request the delivery of or to maintain paper copies of the documents referred to above, and each Lender shall be solely responsible for timely accessing posted documents or maintaining its copies of such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701675"/>
                <wp:effectExtent l="0" t="0" r="0" b="0"/>
                <wp:wrapNone/>
                <wp:docPr id="243" name="Frame24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(q)Each Loan Party and each Lender hereby acknowledges that (i) the Administrative Agent and/or an Affiliate thereof may, but shall not be obligated to, make available to the Lenders and the L/C Issuers materials and/or information provided by or on behalf of the Loan Parties hereunder (collectively, “</w:t>
      </w:r>
      <w:r>
        <w:rPr>
          <w:rFonts w:ascii="Times New Roman;serif" w:hAnsi="Times New Roman;serif"/>
          <w:b w:val="false"/>
          <w:i/>
          <w:color w:val="000000"/>
          <w:sz w:val="22"/>
          <w:u w:val="single"/>
        </w:rPr>
        <w:t>Borrower Materials</w:t>
      </w:r>
      <w:r>
        <w:rPr>
          <w:color w:val="000000"/>
        </w:rPr>
        <w:t>”</w:t>
      </w:r>
      <w:r>
        <w:rPr>
          <w:rFonts w:ascii="Times New Roman;serif" w:hAnsi="Times New Roman;serif"/>
          <w:b w:val="false"/>
          <w:color w:val="000000"/>
          <w:sz w:val="22"/>
        </w:rPr>
        <w:t>) by posting the Borrower Materials on IntraLinks, Syndtrak, ClearPar or a substantially similar electronic transmission system (the “</w:t>
      </w:r>
      <w:r>
        <w:rPr>
          <w:rFonts w:ascii="Times New Roman;serif" w:hAnsi="Times New Roman;serif"/>
          <w:b w:val="false"/>
          <w:i/>
          <w:color w:val="000000"/>
          <w:sz w:val="22"/>
          <w:u w:val="single"/>
        </w:rPr>
        <w:t>Platform</w:t>
      </w:r>
      <w:r>
        <w:rPr>
          <w:color w:val="000000"/>
        </w:rPr>
        <w:t>”</w:t>
      </w:r>
      <w:r>
        <w:rPr>
          <w:rFonts w:ascii="Times New Roman;serif" w:hAnsi="Times New Roman;serif"/>
          <w:b w:val="false"/>
          <w:color w:val="000000"/>
          <w:sz w:val="22"/>
        </w:rPr>
        <w:t>) and (ii) certain of the Lenders (each, a “</w:t>
      </w:r>
      <w:r>
        <w:rPr>
          <w:rFonts w:ascii="Times New Roman;serif" w:hAnsi="Times New Roman;serif"/>
          <w:b w:val="false"/>
          <w:i/>
          <w:color w:val="000000"/>
          <w:sz w:val="22"/>
          <w:u w:val="single"/>
        </w:rPr>
        <w:t>Public Lender</w:t>
      </w:r>
      <w:r>
        <w:rPr>
          <w:color w:val="000000"/>
        </w:rPr>
        <w:t>”</w:t>
      </w:r>
      <w:r>
        <w:rPr>
          <w:rFonts w:ascii="Times New Roman;serif" w:hAnsi="Times New Roman;serif"/>
          <w:b w:val="false"/>
          <w:color w:val="000000"/>
          <w:sz w:val="22"/>
        </w:rPr>
        <w:t>) may have personnel who do not wish to receive material non-public information with respect to the Loan Parties or their Subsidiaries,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(A) all such Borrower Materials shall be clearly and conspicuously marked “PUBLIC” which, at a minimum, shall mean that the word “PUBLIC” shall appear prominently on the first page thereof; (B) by marking Borrower Materials “PUBLIC,” the Loan Parties shall be deemed to have authorized the Administrative Agent, any Affiliate thereof, the Lead Arranger, the L/C Issuers and the Lenders to treat such Borrower Materials as not containing any material non-public information (although it may be sensitive and proprietary) with respect to the Loan Parties, their Subsidiaries or its securities for purposes of United States federal and state securities laws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such Borrower Materials constitute Information, they shall be treated as set forth in </w:t>
      </w:r>
      <w:r>
        <w:rPr>
          <w:rFonts w:ascii="Times New Roman;serif" w:hAnsi="Times New Roman;serif"/>
          <w:b w:val="false"/>
          <w:color w:val="000000"/>
          <w:sz w:val="22"/>
          <w:u w:val="single"/>
        </w:rPr>
        <w:t>Section 11.07</w:t>
      </w:r>
      <w:r>
        <w:rPr>
          <w:rFonts w:ascii="Times New Roman;serif" w:hAnsi="Times New Roman;serif"/>
          <w:b w:val="false"/>
          <w:color w:val="000000"/>
          <w:sz w:val="22"/>
        </w:rPr>
        <w:t>); (C) all Borrower Materials marked “PUBLIC” are permitted to be made available through a portion of the Platform designated “Public Side Information;” and (D) the Administrative Agent and any Affiliate thereof and the Lead Arranger shall be entitled to treat any Borrower Materials that are not marked “PUBLIC” as being suitable only for posting on a portion of the Platform not designated “Public Side Information.”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(r)Notwithstanding anything to the contrary set forth in this Agreement, the Loan Parties shall not be required to provide or disclose any information (i) that constitutes non-financial trade secrets or non-financial proprietary information of the Parent and/or any of its Subsidiaries, customers and/or suppliers, (ii) in respect of which disclosure to the Administrative Agent or any Lender (or any of their respective representatives or contractors) is prohibited by Applicable Law, (iii) that is subject to attorney-client or similar privilege or constitutes attorney work product, or (iv) in respect of which the Parent or any Subsidiary owes confidentiality obligations (to the extent not created in contemplation of such party’s obligations hereunder) to any third party, provided that, with respect to this clause (iv), the Loan Parties shall make the Administrative Agent aware of such confidentiality obligations (to the extent permitted under the applicable confidentiality obligation).</w:t>
      </w:r>
    </w:p>
    <w:p>
      <w:pPr>
        <w:pStyle w:val="TextBody"/>
        <w:bidi w:val="0"/>
        <w:spacing w:lineRule="auto" w:line="240" w:before="0" w:after="240"/>
        <w:ind w:left="0" w:right="0" w:firstLine="720"/>
        <w:jc w:val="both"/>
        <w:rPr/>
      </w:pPr>
      <w:r>
        <w:rPr>
          <w:rFonts w:ascii="Times New Roman;serif" w:hAnsi="Times New Roman;serif"/>
          <w:b/>
          <w:color w:val="000000"/>
          <w:sz w:val="22"/>
        </w:rPr>
        <w:t>6.03</w:t>
      </w:r>
      <w:r>
        <w:rPr>
          <w:rFonts w:ascii="Times New Roman;serif" w:hAnsi="Times New Roman;serif"/>
          <w:b/>
          <w:color w:val="000000"/>
          <w:sz w:val="22"/>
          <w:u w:val="single"/>
        </w:rPr>
        <w:t>Notices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Promptly, but in any event within five (5) Business Days after a Responsible Officer of a Loan Party has knowledge thereof, notify the Administrative Agent, on behalf of each Lender, 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occurrence of any Default or Event of Default;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(b)any matter that has resulted or could, individually or in the aggregate, reasonably be expected to result in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occurrence of any ERISA Event that would reasonably be expected to result in material liability to a Loan Party;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(d)any material change in accounting policies or financial reporting practices by any Loan Party, any Subsidiary thereof or any Managed Company;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(e)the receipt by Parent or any of its Subsidiaries of any material notice under any Management Services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701675"/>
                <wp:effectExtent l="0" t="0" r="0" b="0"/>
                <wp:wrapNone/>
                <wp:docPr id="244" name="Frame24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(f)the commencement of, or any material adverse development in, any litigation or proceeding affecting any Loan Party, any Subsidiary or, to the knowledge of any Loan Party, any Managed Company (i) in which the amount of damages claimed exceeds the Threshold Amount, (ii) in which injunctive or similar relief is sought, and which, if adversely determined, could, individually or in the aggregate, reasonably be expected to have a Material Adverse Effect, or (iii) in which the relief sought is an injunction or other stay of the performance of this Agreement or any other Loan Document;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(g)(i) the receipt by any Loan Party, Subsidiary or Managed Company of any notice of violation of, or potential liability under, any Environmental Law or similar notice, which would reasonably be expected to result in Environmental Liabilities exceeding the Threshold Amount, and (ii)(A) the occurrence of Releases in violation of Environmental Law, (B) the existence of any condition that would reasonably be expected to result in violations of or Environmental Liabilities under, any Environmental Law or (C) the commencement of, or any material change to, any action, investigation, suit, proceeding, audit, claim, demand, dispute alleging a violation of or Environmental Liability under any Environmental Law, in each case, which would reasonably be expected to result in Environmental Liabilities exceeding the Threshold Amount;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notice pursuant to this </w:t>
      </w:r>
      <w:r>
        <w:rPr>
          <w:rFonts w:ascii="Times New Roman;serif" w:hAnsi="Times New Roman;serif"/>
          <w:b w:val="false"/>
          <w:color w:val="000000"/>
          <w:sz w:val="22"/>
          <w:u w:val="single"/>
        </w:rPr>
        <w:t>Section 6.03</w:t>
      </w:r>
      <w:r>
        <w:rPr>
          <w:color w:val="000000"/>
        </w:rPr>
        <w:t xml:space="preserve"> </w:t>
      </w:r>
      <w:r>
        <w:rPr>
          <w:rFonts w:ascii="Times New Roman;serif" w:hAnsi="Times New Roman;serif"/>
          <w:b w:val="false"/>
          <w:color w:val="000000"/>
          <w:sz w:val="22"/>
        </w:rPr>
        <w:t xml:space="preserve">shall be accompanied by a statement of a Responsible Officer of the Borrower setting forth details of the occurrence referred to therein and to the extent applicable, stating what action the applicable Loan Party, Subsidiary or Managed Company has taken and proposes to take with respect thereto. Each notice pursuant to </w:t>
      </w:r>
      <w:r>
        <w:rPr>
          <w:rFonts w:ascii="Times New Roman;serif" w:hAnsi="Times New Roman;serif"/>
          <w:b w:val="false"/>
          <w:color w:val="000000"/>
          <w:sz w:val="22"/>
          <w:u w:val="single"/>
        </w:rPr>
        <w:t>Section 6.03(a</w:t>
      </w:r>
      <w:r>
        <w:rPr>
          <w:rFonts w:ascii="Times New Roman;serif" w:hAnsi="Times New Roman;serif"/>
          <w:b w:val="false"/>
          <w:color w:val="000000"/>
          <w:sz w:val="22"/>
        </w:rPr>
        <w:t>) shall describe with particularity any and all provisions of this Agreement and any other Loan Document that have been breached.</w:t>
      </w:r>
    </w:p>
    <w:p>
      <w:pPr>
        <w:pStyle w:val="TextBody"/>
        <w:bidi w:val="0"/>
        <w:spacing w:lineRule="auto" w:line="240" w:before="0" w:after="240"/>
        <w:ind w:left="0" w:right="0" w:firstLine="720"/>
        <w:jc w:val="both"/>
        <w:rPr/>
      </w:pPr>
      <w:r>
        <w:rPr>
          <w:rFonts w:ascii="Times New Roman;serif" w:hAnsi="Times New Roman;serif"/>
          <w:b/>
          <w:color w:val="000000"/>
          <w:sz w:val="22"/>
        </w:rPr>
        <w:t>6.04</w:t>
      </w:r>
      <w:r>
        <w:rPr>
          <w:rFonts w:ascii="Times New Roman;serif" w:hAnsi="Times New Roman;serif"/>
          <w:b/>
          <w:color w:val="000000"/>
          <w:sz w:val="22"/>
          <w:u w:val="single"/>
        </w:rPr>
        <w:t>Payment of Obligations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Pay and discharge as the same shall become due and payable, (a) all material tax liabilities, assessments and governmental charges or levies upon it or its properties or assets, unless (i) the same are being contested in good faith by appropriate proceedings diligently conducted and adequate reserves in accordance with GAAP are being maintained by such Loan Party, Subsidiary or Managed Company or (ii) if such failure to pay or discharge such liabilities, assessments or charges could not reasonably be expected to have, individually or in the aggregate, a Material Adverse Effect; and (b) all material lawful claims which, if unpaid, would by law become a Lien upon its property not otherwise permitted under </w:t>
      </w:r>
      <w:r>
        <w:rPr>
          <w:rFonts w:ascii="Times New Roman;serif" w:hAnsi="Times New Roman;serif"/>
          <w:b w:val="false"/>
          <w:color w:val="000000"/>
          <w:sz w:val="22"/>
          <w:u w:val="single"/>
        </w:rPr>
        <w:t>Section 7.01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6.05</w:t>
      </w:r>
      <w:r>
        <w:rPr>
          <w:rFonts w:ascii="Times New Roman;serif" w:hAnsi="Times New Roman;serif"/>
          <w:b/>
          <w:color w:val="000000"/>
          <w:sz w:val="22"/>
          <w:u w:val="single"/>
        </w:rPr>
        <w:t>Preservation of Existence</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Etc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(a)Preserve, renew and maintain in full force and effect its legal existence and good standing under the Laws of the jurisdiction of its organization except in a transaction permitted by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(b)Maintain all rights, privileges, permits, licenses and franchises (including, without limitation, Insurance Licenses and Regulatory Approvals) necessary or desirable in the normal conduct of its business, except to the extent that failure to do so could not, individually or in the aggregate, reasonably be expected to have a Material Adverse Effect;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(c)Preserve or renew all of its registered Intellectual Property, except to the extent that failure to do so could not, individually or in the aggregate, reasonably be expected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701675"/>
                <wp:effectExtent l="0" t="0" r="0" b="0"/>
                <wp:wrapNone/>
                <wp:docPr id="245" name="Frame24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6.06</w:t>
      </w:r>
      <w:r>
        <w:rPr>
          <w:rFonts w:ascii="Times New Roman;serif" w:hAnsi="Times New Roman;serif"/>
          <w:b/>
          <w:color w:val="000000"/>
          <w:sz w:val="22"/>
          <w:u w:val="single"/>
        </w:rPr>
        <w:t>Maintenance of Properties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(a)Maintain, preserve and protect all of its material properties and equipment necessary in the operation of its business in good working order and condition, ordinary wear and tear, casualty and condemnation excepted;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(b)Make all necessary repairs thereto and renewals and replacements thereof except where the failure to do so could not, individually or in the aggregate,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2"/>
        </w:rPr>
        <w:t>6.07</w:t>
      </w:r>
      <w:r>
        <w:rPr>
          <w:rFonts w:ascii="Times New Roman;serif" w:hAnsi="Times New Roman;serif"/>
          <w:b/>
          <w:color w:val="000000"/>
          <w:sz w:val="22"/>
          <w:u w:val="single"/>
        </w:rPr>
        <w:t>Maintenance of Insurance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(a)Maintain with financially sound and reputable insurance companies not Affiliates of the Parent, insurance with respect to its properties and business against loss or damage of the kinds customarily insured against by Persons engaged in the same or similar business, of such types and in such amounts (after giving effect to any self-insurance compatible with the following standards) as are customarily carried under similar circumstances by such other Persons. If any portion of any Mortgaged Property is at any time located in an area identified by the Federal Emergency Management Agency (or any successor agency) as a special flood hazard area with respect to which flood insurance has been made available under the Flood Insurance Laws, then the applicable Loan Party shall (i) maintain, or cause to be maintained, with a financially sound and reputable insurer, flood insurance in an amount and otherwise sufficient to comply with all applicable rules and regulations promulgated pursuant to the Flood Insurance Laws, (ii) reasonably cooperate with the Administrative Agent and provide information reasonably required by the Administrative Agent and the Lenders to comply with the Flood Insurance Laws, (iii) deliver to the Administrative Agent evidence of such compliance in form and substance reasonably acceptable to the Administrative Agent, including evidence of annual renewals of such insurance and (iv) furnish to the Administrative Agent prompt written notice of any re-designation of any such Mortgaged Property</w:t>
      </w:r>
      <w:r>
        <w:rPr>
          <w:color w:val="000000"/>
        </w:rPr>
        <w:t xml:space="preserve"> </w:t>
      </w:r>
      <w:r>
        <w:rPr>
          <w:rFonts w:ascii="Times New Roman;serif" w:hAnsi="Times New Roman;serif"/>
          <w:b w:val="false"/>
          <w:color w:val="000000"/>
          <w:sz w:val="22"/>
        </w:rPr>
        <w:t>into or out of a special flood hazard area.</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(b)Cause the Administrative Agent to be named as lenders’ loss payable, lenders loss payee or mortgagee, as its interest may appear, and/or additional insured with respect of any such insurance providing liability coverage or coverage in respect of any Collateral (as applicable and other than director and officer insurance, worker’s compensation insurance, any policy that provides coverage exclusively for any Property of the Loan Parties which is not Collateral and any policy that provides coverage exclusively for Subsidiaries that are not Loan Parties), and cause, unless otherwise agreed to by the Administrative Agent, each provider of any such insurance to agree, by endorsement upon the policy or policies issued by it or by independent instruments furnished to the Administrative Agent that it will give the Administrative Agent thirty (30) days prior written notice before any such policy or policies shall be altered or cancelled (or ten (10) days prior notice in the case of cancellation due to the nonpayment of premiums). Annually, any time prior to the expiration of current insurance coverage, the Loan Parties shall provide, or cause to be provided, to the Administrative Agent, such evidence of insurance as reasonably requested by the Administrative Agent, including, but not limited to: (i) certified copies of such insurance policies, (ii) evidence of such insurance policies (including, without limitation and as applicable, ACORD Form 28 certificates (or similar form of insurance certificate), and ACORD Form 25 certificates (or similar form of insurance certificate)), (iii) declaration pages for each insurance policy and (iv) the applicable endorsement(s) if the Administrative Agent for the benefit of the Secured Parties is not on the declarations page for such policy.</w:t>
      </w:r>
    </w:p>
    <w:p>
      <w:pPr>
        <w:pStyle w:val="TextBody"/>
        <w:bidi w:val="0"/>
        <w:spacing w:lineRule="auto" w:line="240" w:before="0" w:after="240"/>
        <w:ind w:left="0" w:right="0" w:firstLine="720"/>
        <w:jc w:val="both"/>
        <w:rPr/>
      </w:pPr>
      <w:r>
        <w:rPr>
          <w:rFonts w:ascii="Times New Roman;serif" w:hAnsi="Times New Roman;serif"/>
          <w:b/>
          <w:color w:val="000000"/>
          <w:sz w:val="22"/>
        </w:rPr>
        <w:t>6.08</w:t>
      </w:r>
      <w:r>
        <w:rPr>
          <w:rFonts w:ascii="Times New Roman;serif" w:hAnsi="Times New Roman;serif"/>
          <w:b/>
          <w:color w:val="000000"/>
          <w:sz w:val="22"/>
          <w:u w:val="single"/>
        </w:rPr>
        <w:t>Compliance with Laws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Comply with the requirements of all Applicable Laws (other than Health Care Laws and the Applicable Insurance Code, which compliance therewith is specified in </w:t>
      </w:r>
      <w:r>
        <w:rPr>
          <w:rFonts w:ascii="Times New Roman;serif" w:hAnsi="Times New Roman;serif"/>
          <w:b w:val="false"/>
          <w:color w:val="000000"/>
          <w:sz w:val="22"/>
          <w:u w:val="single"/>
        </w:rPr>
        <w:t>Section 6.20</w:t>
      </w:r>
      <w:r>
        <w:rPr>
          <w:rFonts w:ascii="Times New Roman;serif" w:hAnsi="Times New Roman;serif"/>
          <w:b w:val="false"/>
          <w:color w:val="000000"/>
          <w:sz w:val="22"/>
        </w:rPr>
        <w:t xml:space="preserve">) and all orders, writs, injunctions and decrees applicable to it or to its business or property, except in such instances in which (a) such Applicable Law or order, writ, injunction or decree is being contested in good faith by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701675"/>
                <wp:effectExtent l="0" t="0" r="0" b="0"/>
                <wp:wrapNone/>
                <wp:docPr id="246" name="Frame24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appropriate proceedings diligently conducted; or (b) the failure to comply therewith could not, individually or in the aggregate, reasonably be expected to have a Material Adverse Effect. </w:t>
      </w:r>
    </w:p>
    <w:p>
      <w:pPr>
        <w:pStyle w:val="TextBody"/>
        <w:bidi w:val="0"/>
        <w:spacing w:lineRule="auto" w:line="240" w:before="0" w:after="240"/>
        <w:ind w:left="0" w:right="0" w:firstLine="720"/>
        <w:jc w:val="both"/>
        <w:rPr/>
      </w:pPr>
      <w:r>
        <w:rPr>
          <w:rFonts w:ascii="Times New Roman;serif" w:hAnsi="Times New Roman;serif"/>
          <w:b/>
          <w:color w:val="000000"/>
          <w:sz w:val="22"/>
        </w:rPr>
        <w:t>6.09</w:t>
      </w:r>
      <w:r>
        <w:rPr>
          <w:rFonts w:ascii="Times New Roman;serif" w:hAnsi="Times New Roman;serif"/>
          <w:b/>
          <w:color w:val="000000"/>
          <w:sz w:val="22"/>
          <w:u w:val="single"/>
        </w:rPr>
        <w:t>Books and Records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(a)Maintain proper books of record and account, in which full, true and correct in all material respects entries in conformity with GAAP consistently applied shall be made of all financial transactions and matters involving the assets and business of such Loan Party, such Subsidiary or such Managed Company, as the case may be (it being understood and agreed that certain Foreign Subsidiaries (if any) maintain individual books and records in conformity with generally accepted accounting principles in their respective countries of organization and that such maintenance shall not constitute a breach of this Section 6.09);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(b)Maintain such books of record and account in material conformity with all applicable requirements of any Governmental Authority having regulatory jurisdiction over such Loan Party, such Subsidiary or such Managed Company, as the case may be.</w:t>
      </w:r>
    </w:p>
    <w:p>
      <w:pPr>
        <w:pStyle w:val="TextBody"/>
        <w:bidi w:val="0"/>
        <w:spacing w:lineRule="auto" w:line="240" w:before="0" w:after="240"/>
        <w:ind w:left="0" w:right="0" w:firstLine="720"/>
        <w:jc w:val="both"/>
        <w:rPr/>
      </w:pPr>
      <w:r>
        <w:rPr>
          <w:rFonts w:ascii="Times New Roman;serif" w:hAnsi="Times New Roman;serif"/>
          <w:b/>
          <w:color w:val="000000"/>
          <w:sz w:val="22"/>
        </w:rPr>
        <w:t>6.10</w:t>
      </w:r>
      <w:r>
        <w:rPr>
          <w:rFonts w:ascii="Times New Roman;serif" w:hAnsi="Times New Roman;serif"/>
          <w:b/>
          <w:color w:val="000000"/>
          <w:sz w:val="22"/>
          <w:u w:val="single"/>
        </w:rPr>
        <w:t>Inspection Rights</w:t>
      </w:r>
      <w:r>
        <w:rPr>
          <w:rFonts w:ascii="Times New Roman;serif" w:hAnsi="Times New Roman;serif"/>
          <w:b w:val="false"/>
          <w:color w:val="000000"/>
          <w:sz w:val="22"/>
        </w:rPr>
        <w:t xml:space="preserve">. Permit representatives and independent contractors of the Administrative Agent and each Lender (accompanying the Administrative Agent and to be coordinated through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all at the reasonable expense of the Borrower and at such reasonable times during normal business hours and as often as may be reasonably desired, upon reasonable advance notice to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so long as no Event of Default shall have occurred and be continuing, such visit and inspection shall occur no more than one (1) time per year and the Borrower shall not be obligated to pay the expenses of the Administrative Agent and the Lenders for more than one (1) such visit and inspection per year; </w:t>
      </w:r>
      <w:r>
        <w:rPr>
          <w:rFonts w:ascii="Times New Roman;serif" w:hAnsi="Times New Roman;serif"/>
          <w:b w:val="false"/>
          <w:color w:val="000000"/>
          <w:sz w:val="22"/>
          <w:u w:val="single"/>
        </w:rPr>
        <w:t>provided</w:t>
      </w:r>
      <w:r>
        <w:rPr>
          <w:rFonts w:ascii="Times New Roman;serif" w:hAnsi="Times New Roman;serif"/>
          <w:b w:val="false"/>
          <w:color w:val="000000"/>
          <w:sz w:val="22"/>
        </w:rPr>
        <w:t>, further, that when an Event of Default exists the Administrative Agent (or any of their respective representatives or independent contractors) may do any of the foregoing at the expense of the Borrower at any time during normal business hours and with reasonable advance notice. For the avoidance of doubt, nothing herein shall obligate any Loan Party to disclose any material non-public information to any Public Lender.</w:t>
      </w:r>
    </w:p>
    <w:p>
      <w:pPr>
        <w:pStyle w:val="TextBody"/>
        <w:bidi w:val="0"/>
        <w:spacing w:lineRule="auto" w:line="240" w:before="0" w:after="240"/>
        <w:ind w:left="0" w:right="0" w:firstLine="720"/>
        <w:jc w:val="both"/>
        <w:rPr/>
      </w:pPr>
      <w:r>
        <w:rPr>
          <w:rFonts w:ascii="Times New Roman;serif" w:hAnsi="Times New Roman;serif"/>
          <w:b/>
          <w:color w:val="000000"/>
          <w:sz w:val="22"/>
        </w:rPr>
        <w:t>6.11</w:t>
      </w:r>
      <w:r>
        <w:rPr>
          <w:rFonts w:ascii="Times New Roman;serif" w:hAnsi="Times New Roman;serif"/>
          <w:b/>
          <w:color w:val="000000"/>
          <w:sz w:val="22"/>
          <w:u w:val="single"/>
        </w:rPr>
        <w:t>Use of Proceeds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Use the proceeds of the Credit Extensions for Permitted Acquisitions, working capital, payment of fees and expenses incurred in connection with the Revolving Facility and general corporate purposes not in contravention of any Law or of any Loan Document (including not in violation of Regulation T, U or X).</w:t>
      </w:r>
    </w:p>
    <w:p>
      <w:pPr>
        <w:pStyle w:val="TextBody"/>
        <w:bidi w:val="0"/>
        <w:spacing w:lineRule="auto" w:line="240" w:before="0" w:after="240"/>
        <w:ind w:left="0" w:right="0" w:firstLine="720"/>
        <w:jc w:val="both"/>
        <w:rPr/>
      </w:pPr>
      <w:r>
        <w:rPr>
          <w:rFonts w:ascii="Times New Roman;serif" w:hAnsi="Times New Roman;serif"/>
          <w:b/>
          <w:color w:val="000000"/>
          <w:sz w:val="22"/>
        </w:rPr>
        <w:t>6.12</w:t>
      </w:r>
      <w:r>
        <w:rPr>
          <w:rFonts w:ascii="Times New Roman;serif" w:hAnsi="Times New Roman;serif"/>
          <w:b/>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6.13</w:t>
      </w:r>
      <w:r>
        <w:rPr>
          <w:rFonts w:ascii="Times New Roman;serif" w:hAnsi="Times New Roman;serif"/>
          <w:b/>
          <w:color w:val="000000"/>
          <w:sz w:val="22"/>
          <w:u w:val="single"/>
        </w:rPr>
        <w:t>Covenant to Guarantee Obligations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Loan Parties will cause each of their Subsidiaries (other than any Excluded Subsidiary)</w:t>
      </w:r>
      <w:r>
        <w:rPr>
          <w:color w:val="000000"/>
        </w:rPr>
        <w:t xml:space="preserve"> </w:t>
      </w:r>
      <w:r>
        <w:rPr>
          <w:rFonts w:ascii="Times New Roman;serif" w:hAnsi="Times New Roman;serif"/>
          <w:b w:val="false"/>
          <w:color w:val="000000"/>
          <w:sz w:val="22"/>
        </w:rPr>
        <w:t xml:space="preserve">whether newly formed, after acquired or otherwise existing (including, without limitation, (x) upon the formation of any Subsidiary that is a Division Successor, and (y) any Person ceasing to be an Excluded Subsidiary) to promptly (and in any event within sixty (60) days after such Subsidiary is formed, acquired or otherwise existing (or such longer period of time as agreed to by the Administrative Agent in its sole discretion)) become a Guarantor hereunder by way of execution of a Joinder Agreement. In connection therewith, the Loan Parties shall give notice to the Administrative Agent no later than thirty (30) days (or such later date as agreed to by the Administrative Agent in its sole discretion) after creating a Subsidiary (other than any Excluded Subsidiary), or acquiring the Equity Interests of any other Person that is a Subsidiary (other than any Excluded Subsidiary). In connection with the foregoing, the Loan Parties shall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701675"/>
                <wp:effectExtent l="0" t="0" r="0" b="0"/>
                <wp:wrapNone/>
                <wp:docPr id="247" name="Frame24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deliver to the Administrative Agent, with respect to each new Guarantor to the extent applicable, substantially similar documentation to the documents required pursuant to the applicable clauses of </w:t>
      </w:r>
      <w:r>
        <w:rPr>
          <w:rFonts w:ascii="Times New Roman;serif" w:hAnsi="Times New Roman;serif"/>
          <w:b w:val="false"/>
          <w:color w:val="000000"/>
          <w:sz w:val="22"/>
          <w:u w:val="single"/>
        </w:rPr>
        <w:t>Sections 4.01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6.14</w:t>
      </w:r>
      <w:r>
        <w:rPr>
          <w:color w:val="000000"/>
        </w:rPr>
        <w:t xml:space="preserve"> </w:t>
      </w:r>
      <w:r>
        <w:rPr>
          <w:rFonts w:ascii="Times New Roman;serif" w:hAnsi="Times New Roman;serif"/>
          <w:b w:val="false"/>
          <w:color w:val="000000"/>
          <w:sz w:val="22"/>
        </w:rPr>
        <w:t>and such other documents or agreements as the Administrative Agent may reasonably request.</w:t>
      </w:r>
    </w:p>
    <w:p>
      <w:pPr>
        <w:pStyle w:val="TextBody"/>
        <w:bidi w:val="0"/>
        <w:spacing w:lineRule="auto" w:line="240" w:before="0" w:after="240"/>
        <w:ind w:left="0" w:right="0" w:firstLine="720"/>
        <w:jc w:val="both"/>
        <w:rPr/>
      </w:pPr>
      <w:r>
        <w:rPr>
          <w:rFonts w:ascii="Times New Roman;serif" w:hAnsi="Times New Roman;serif"/>
          <w:b/>
          <w:color w:val="000000"/>
          <w:sz w:val="22"/>
        </w:rPr>
        <w:t>6.14</w:t>
      </w:r>
      <w:r>
        <w:rPr>
          <w:rFonts w:ascii="Times New Roman;serif" w:hAnsi="Times New Roman;serif"/>
          <w:b/>
          <w:color w:val="000000"/>
          <w:sz w:val="22"/>
          <w:u w:val="single"/>
        </w:rPr>
        <w:t>Covenant to Give Security</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in each case with respect to Excluded Property: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Equity Interests and Personal Property</w:t>
      </w:r>
      <w:r>
        <w:rPr>
          <w:rFonts w:ascii="Times New Roman;serif" w:hAnsi="Times New Roman;serif"/>
          <w:b w:val="false"/>
          <w:color w:val="000000"/>
          <w:sz w:val="22"/>
        </w:rPr>
        <w:t>. Each Loan Party will cause the Pledged Equity and all of its tangible and intangible personal property now owned or hereafter acquired by it to be subject at all times to a first priority, perfected Lien (subject to Permitted Liens to the extent permitted by or provided in the Loan Documents and except as otherwise permitted by or provided in the Security Agreement) in favor of the Administrative Agent for the benefit of the Secured Parties to secure the Secured Obligations pursuant to the terms and conditions of the Collateral Documents. Each Loan Party shall provide any filings and deliveries reasonably necessary in connection therewith to perfect the security interests therein, all in form and substance reasonably satisfactory to the Administrative Agent and pursuant to the terms and conditions of the Collateral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Account Control Agreements</w:t>
      </w:r>
      <w:r>
        <w:rPr>
          <w:rFonts w:ascii="Times New Roman;serif" w:hAnsi="Times New Roman;serif"/>
          <w:b w:val="false"/>
          <w:color w:val="000000"/>
          <w:sz w:val="22"/>
        </w:rPr>
        <w:t>. Each of the Loan Parties shall not open, maintain or otherwise have any deposit or other accounts (including securities accounts) at any bank or other financial institution, or any other account where money or securities are or may be deposited or maintained with any Person, other than (i) deposit accounts that are maintained at all times with (A) Administrative Agent or (B) any other depositary institutions as to which the Loan Parties shall have used commercially reasonable efforts to deliver to the Administrative Agent a Qualifying Control Agreement, (ii) securities accounts that are maintained at all times with (A) Administrative Agent or (B) any other financial institutions as to which the Loan Parties shall have used commercially reasonable efforts to deliver to the Administrative Agent a Qualifying Control Agreement, and (iii) </w:t>
      </w:r>
      <w:r>
        <w:rPr>
          <w:color w:val="000000"/>
          <w:u w:val="single"/>
        </w:rPr>
        <w:t xml:space="preserve"> </w:t>
      </w:r>
      <w:r>
        <w:rPr>
          <w:rFonts w:ascii="Times New Roman;serif" w:hAnsi="Times New Roman;serif"/>
          <w:b w:val="false"/>
          <w:color w:val="000000"/>
          <w:sz w:val="22"/>
        </w:rPr>
        <w:t>Excluded Accounts.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Real Property</w:t>
      </w:r>
      <w:r>
        <w:rPr>
          <w:rFonts w:ascii="Times New Roman;serif" w:hAnsi="Times New Roman;serif"/>
          <w:b w:val="false"/>
          <w:color w:val="000000"/>
          <w:sz w:val="22"/>
        </w:rPr>
        <w:t>. (i) Promptly after the acquisition of any owned Material Real Property (or after any owned real property becomes Material Real Property) by any Loan Party that is not subject to a Mortgage (and, in any event, within ten</w:t>
      </w:r>
      <w:r>
        <w:rPr>
          <w:color w:val="000000"/>
        </w:rPr>
        <w:t xml:space="preserve"> </w:t>
      </w:r>
      <w:r>
        <w:rPr>
          <w:rFonts w:ascii="Times New Roman;serif" w:hAnsi="Times New Roman;serif"/>
          <w:b/>
          <w:color w:val="000000"/>
          <w:sz w:val="22"/>
        </w:rPr>
        <w:t>(</w:t>
      </w:r>
      <w:r>
        <w:rPr>
          <w:rFonts w:ascii="Times New Roman;serif" w:hAnsi="Times New Roman;serif"/>
          <w:b w:val="false"/>
          <w:color w:val="000000"/>
          <w:sz w:val="22"/>
        </w:rPr>
        <w:t>10) days after such acquisition or event, as such time period may be extended by the Administrative Agent in its sole discretion), notify the Administrative Agent and (ii) promptly thereafter (and in any event, within sixty (60) days of such acquisition or event (as such time period may be extended by the Administrative Agent, or such requirement is waived by the Administrative Agent, in each case in its sole discretion), deliver the following with respect such Material Real Property: (A) a Mortgage duly executed and delivered by the record owner of such Material Real Property (together with UCC fixture filings, if requested by the Administrative Agent), (B) a policy or policies of title insurance (or marked up title insurance commitments having the effect of policies of title insurance) in the amount equal to the fair market value of such Material Real Property</w:t>
      </w:r>
      <w:r>
        <w:rPr>
          <w:color w:val="000000"/>
        </w:rPr>
        <w:t xml:space="preserve"> </w:t>
      </w:r>
      <w:r>
        <w:rPr>
          <w:rFonts w:ascii="Times New Roman;serif" w:hAnsi="Times New Roman;serif"/>
          <w:b w:val="false"/>
          <w:color w:val="000000"/>
          <w:sz w:val="22"/>
        </w:rPr>
        <w:t>and fixtures, as determined by the Administrative Agent in its reasonable discretion, or such other amount as is acceptable to the Administrative Agent and issued by a nationally recognized title insurance company reasonably acceptable to the Administrative Agent (the “</w:t>
      </w:r>
      <w:r>
        <w:rPr>
          <w:rFonts w:ascii="Times New Roman;serif" w:hAnsi="Times New Roman;serif"/>
          <w:b w:val="false"/>
          <w:color w:val="000000"/>
          <w:sz w:val="22"/>
          <w:u w:val="single"/>
        </w:rPr>
        <w:t>Title Company</w:t>
      </w:r>
      <w:r>
        <w:rPr>
          <w:color w:val="000000"/>
        </w:rPr>
        <w:t>”</w:t>
      </w:r>
      <w:r>
        <w:rPr>
          <w:rFonts w:ascii="Times New Roman;serif" w:hAnsi="Times New Roman;serif"/>
          <w:b w:val="false"/>
          <w:color w:val="000000"/>
          <w:sz w:val="22"/>
        </w:rPr>
        <w:t>) insuring the Lien of each such Mortgage as a first priority Lien on the Material Real Property</w:t>
      </w:r>
      <w:r>
        <w:rPr>
          <w:color w:val="000000"/>
        </w:rPr>
        <w:t xml:space="preserve"> </w:t>
      </w:r>
      <w:r>
        <w:rPr>
          <w:rFonts w:ascii="Times New Roman;serif" w:hAnsi="Times New Roman;serif"/>
          <w:b w:val="false"/>
          <w:color w:val="000000"/>
          <w:sz w:val="22"/>
        </w:rPr>
        <w:t xml:space="preserve">described therein, free of any other Liens except Liens permitted under </w:t>
      </w:r>
      <w:r>
        <w:rPr>
          <w:rFonts w:ascii="Times New Roman;serif" w:hAnsi="Times New Roman;serif"/>
          <w:b w:val="false"/>
          <w:color w:val="000000"/>
          <w:sz w:val="22"/>
          <w:u w:val="single"/>
        </w:rPr>
        <w:t>Section 7.01</w:t>
      </w:r>
      <w:r>
        <w:rPr>
          <w:rFonts w:ascii="Times New Roman;serif" w:hAnsi="Times New Roman;serif"/>
          <w:b w:val="false"/>
          <w:color w:val="000000"/>
          <w:sz w:val="22"/>
        </w:rPr>
        <w:t xml:space="preserve">, together with such customary endorsements as the Administrative Agent may reasonably request, together with evidence reasonably satisfactory to the Administrative Agent of payment of all expenses and premiums of the Title Company and all other sums required in connection with the issuance of each title policy and all recording and stamp taxes (including mortgage recording and intangible taxes) payable in connection with recording such Mortgage in the appropriate real estate records, (C) such affidavits, certificates, information (including financial data and environmental reports if requested by the Title Company) and instruments of indemnification as shall be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701675"/>
                <wp:effectExtent l="0" t="0" r="0" b="0"/>
                <wp:wrapNone/>
                <wp:docPr id="248" name="Frame24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required to induce the Title Company to issue the title policies and endorsements contemplated above and which are reasonably requested by such Title Company, (D) a completed “Life-of-Loan” Federal Emergency Management Agency Standard Flood Hazard Determination with respect to each such Material Real Property (together with a notice about special flood hazard area status and flood disaster assistance, which, if applicable, shall be duly executed by the applicable Loan Party relating to such Material Real Property), (E) if any such Material Real Property is located in an area determined by the Federal Emergency Management Agency to have special flood hazards, evidence of such flood insurance as may be required under applicable Law, including Regulation H of the FRB and the other Flood Insurance Laws and as required under </w:t>
      </w:r>
      <w:r>
        <w:rPr>
          <w:rFonts w:ascii="Times New Roman;serif" w:hAnsi="Times New Roman;serif"/>
          <w:b w:val="false"/>
          <w:color w:val="000000"/>
          <w:sz w:val="22"/>
          <w:u w:val="single"/>
        </w:rPr>
        <w:t>Section 5.10</w:t>
      </w:r>
      <w:r>
        <w:rPr>
          <w:rFonts w:ascii="Times New Roman;serif" w:hAnsi="Times New Roman;serif"/>
          <w:b w:val="false"/>
          <w:color w:val="000000"/>
          <w:sz w:val="22"/>
        </w:rPr>
        <w:t xml:space="preserve">, (F) a survey for each such Material Real Property, together with an affidavit of no change, if applicable, in favor of the Title Company, sufficient to allow the Title Company to issue the applicable policy of title insurance without a standard survey exception and (G) customary legal opinions and evidence of organizational approval in form and substance reasonably satisfactory to the Administrative Agent with respect to the mortgagor of such Mortgage and the enforceability and perfection of such Mortgage. Notwithstanding anything contained in this </w:t>
      </w:r>
      <w:r>
        <w:rPr>
          <w:rFonts w:ascii="Times New Roman;serif" w:hAnsi="Times New Roman;serif"/>
          <w:b w:val="false"/>
          <w:color w:val="000000"/>
          <w:sz w:val="22"/>
          <w:u w:val="single"/>
        </w:rPr>
        <w:t>Section 6.14(d)</w:t>
      </w:r>
      <w:r>
        <w:rPr>
          <w:color w:val="000000"/>
        </w:rPr>
        <w:t xml:space="preserve"> </w:t>
      </w:r>
      <w:r>
        <w:rPr>
          <w:rFonts w:ascii="Times New Roman;serif" w:hAnsi="Times New Roman;serif"/>
          <w:b w:val="false"/>
          <w:color w:val="000000"/>
          <w:sz w:val="22"/>
        </w:rPr>
        <w:t xml:space="preserve">to the contrary, the Administrative Agent shall not enter into any Mortgages on real property owned in fee simple after the Closing Date until the earlier of (i) the date that occurs forty-five (45) days after the Administrative Agent has delivered to the Lenders (which may be delivered electronically) the following documents in respect of such real property: (A) a completed “Life-of-Loan” Federal Emergency Management Agency Standard Flood Hazard Determination with respect to each such Material Real Property (together with a notice about special flood hazard area status and flood disaster assistance, which, if applicable, shall be duly executed by the applicable Loan Party relating to such Material Real Property), and (B) if any such Material Real Property is located in an area determined by the Federal Emergency Management Agency to have special flood hazards, evidence of such flood insurance as may be required under applicable Law, including Regulation H of the FRB and the other Flood Insurance Laws and as required under </w:t>
      </w:r>
      <w:r>
        <w:rPr>
          <w:rFonts w:ascii="Times New Roman;serif" w:hAnsi="Times New Roman;serif"/>
          <w:b w:val="false"/>
          <w:color w:val="000000"/>
          <w:sz w:val="22"/>
          <w:u w:val="single"/>
        </w:rPr>
        <w:t>Section 5.10</w:t>
      </w:r>
      <w:r>
        <w:rPr>
          <w:color w:val="000000"/>
        </w:rPr>
        <w:t xml:space="preserve"> </w:t>
      </w:r>
      <w:r>
        <w:rPr>
          <w:rFonts w:ascii="Times New Roman;serif" w:hAnsi="Times New Roman;serif"/>
          <w:b w:val="false"/>
          <w:color w:val="000000"/>
          <w:sz w:val="22"/>
        </w:rPr>
        <w:t>and (ii) the Administrative Agent’s receipt of written confirmation from each Lender that flood insurance due diligence and flood insurance compliance has been satisfactorily completed by such Lender (such written confirmation not to be unreasonably conditioned, withheld or delayed). Additionally, each Loan Party shall, upon the reasonable request of any Lender, interact directly with such Lender to assist such Lender in completing its flood insurance due diligence and flood insurance compliance and promptly provide, or cause to be provided, to such Lender all information reasonably and customarily required for the completion thereof. For the avoidance of doubt, no Loan Party will be required to seek any landlord waiver, estoppel, warehouseman waiver or other collateral access or similar letter or agreement.</w:t>
      </w:r>
    </w:p>
    <w:p>
      <w:pPr>
        <w:pStyle w:val="TextBody"/>
        <w:bidi w:val="0"/>
        <w:spacing w:lineRule="auto" w:line="240" w:before="0" w:after="240"/>
        <w:ind w:left="0" w:right="0" w:firstLine="720"/>
        <w:jc w:val="both"/>
        <w:rPr/>
      </w:pPr>
      <w:r>
        <w:rPr>
          <w:rFonts w:ascii="Times New Roman;serif" w:hAnsi="Times New Roman;serif"/>
          <w:b/>
          <w:color w:val="000000"/>
          <w:sz w:val="22"/>
        </w:rPr>
        <w:t>6.15</w:t>
      </w:r>
      <w:r>
        <w:rPr>
          <w:rFonts w:ascii="Times New Roman;serif" w:hAnsi="Times New Roman;serif"/>
          <w:b/>
          <w:color w:val="000000"/>
          <w:sz w:val="22"/>
          <w:u w:val="single"/>
        </w:rPr>
        <w:t>Compliance with Environmental Laws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Except where the failure to do so could not, individually or in the aggregate, reasonably be expected to result in a Material Adverse Effect, comply, and cause all lessees and other Persons operating or occupying its properties to comply with all applicable Environmental Laws and Environmental Permits; obtain and renew all Environmental Permits necessary for its operations and properties; and conduct any investigation, study, sampling and testing, cleanup, removal, remedial or other action necessary to remove and clean up all Hazardous Materials from any of its properties, in accordance with all Environmental Laws;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neither the Parent nor any of its Subsidiaries or any Managed Companies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pStyle w:val="TextBody"/>
        <w:bidi w:val="0"/>
        <w:spacing w:lineRule="auto" w:line="240" w:before="0" w:after="240"/>
        <w:ind w:left="0" w:right="0" w:firstLine="720"/>
        <w:jc w:val="both"/>
        <w:rPr/>
      </w:pPr>
      <w:r>
        <w:rPr>
          <w:rFonts w:ascii="Times New Roman;serif" w:hAnsi="Times New Roman;serif"/>
          <w:b/>
          <w:color w:val="000000"/>
          <w:sz w:val="22"/>
        </w:rPr>
        <w:t>6.16</w:t>
      </w:r>
      <w:r>
        <w:rPr>
          <w:rFonts w:ascii="Times New Roman;serif" w:hAnsi="Times New Roman;serif"/>
          <w:b/>
          <w:color w:val="000000"/>
          <w:sz w:val="22"/>
          <w:u w:val="single"/>
        </w:rPr>
        <w:t>Anti-Corruption Laws</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Sanctions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Conduct its business in compliance in all material respects with the United 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 in all material respects.</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701675"/>
                <wp:effectExtent l="0" t="0" r="0" b="0"/>
                <wp:wrapNone/>
                <wp:docPr id="249" name="Frame24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Notify the Administrative Agent promptly if it, any of its Subsidiaries, or to such Loan Party’s knowledge, their Affiliates, officers, directors or employees is or becomes (i) the target or subject of any Sanctions, (ii) included on OFAC’s List of Specially Designated Nationals or HMT’s Consolidated List of Financial Sanctions Targets, or any similar list enforced by any other relevant sanctions authority or (iii) located, organized or resident in a Designated Jurisdiction.</w:t>
      </w:r>
    </w:p>
    <w:p>
      <w:pPr>
        <w:pStyle w:val="TextBody"/>
        <w:bidi w:val="0"/>
        <w:spacing w:lineRule="auto" w:line="240" w:before="0" w:after="240"/>
        <w:ind w:left="0" w:right="0" w:firstLine="720"/>
        <w:jc w:val="both"/>
        <w:rPr/>
      </w:pPr>
      <w:r>
        <w:rPr>
          <w:rFonts w:ascii="Times New Roman;serif" w:hAnsi="Times New Roman;serif"/>
          <w:b/>
          <w:color w:val="000000"/>
          <w:sz w:val="22"/>
        </w:rPr>
        <w:t>6.17</w:t>
      </w:r>
      <w:r>
        <w:rPr>
          <w:rFonts w:ascii="Times New Roman;serif" w:hAnsi="Times New Roman;serif"/>
          <w:b/>
          <w:color w:val="000000"/>
          <w:sz w:val="22"/>
          <w:u w:val="single"/>
        </w:rPr>
        <w:t>Further Assurances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Promptly upon reasonable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w:t>
      </w:r>
    </w:p>
    <w:p>
      <w:pPr>
        <w:pStyle w:val="TextBody"/>
        <w:bidi w:val="0"/>
        <w:spacing w:lineRule="auto" w:line="240" w:before="0" w:after="240"/>
        <w:ind w:left="0" w:right="0" w:firstLine="720"/>
        <w:jc w:val="both"/>
        <w:rPr/>
      </w:pPr>
      <w:r>
        <w:rPr>
          <w:rFonts w:ascii="Times New Roman;serif" w:hAnsi="Times New Roman;serif"/>
          <w:b/>
          <w:color w:val="000000"/>
          <w:sz w:val="22"/>
        </w:rPr>
        <w:t>6.18</w:t>
      </w:r>
      <w:r>
        <w:rPr>
          <w:rFonts w:ascii="Times New Roman;serif" w:hAnsi="Times New Roman;serif"/>
          <w:b/>
          <w:color w:val="000000"/>
          <w:sz w:val="22"/>
          <w:u w:val="single"/>
        </w:rPr>
        <w:t>Flood Insurance Matters.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parties hereto acknowledge and agree that, if there is any Mortgaged Property, any increase, extension, or renewal of any of the Loans or Commitments (including any Incremental Commitment, but excluding (a) any continuation or conversion of borrowings, (b) the making of any Revolving Loans or Swingline Loans or (c) the issuance, renewal or extension of Letters of Credit) may, in the sole discretion of the Administrative Agent, be subject to (and conditioned upon): (i) the prior delivery of all flood zone determination certifications, acknowledgements and evidence of flood insurance and other flood-related documentation with respect to such Mortgaged Property reasonably sufficient to evidence compliance with Flood Insurance Laws and as otherwise reasonably required by the Administrative Agent and (ii) the earlier to occur of (A) the date that occurs thirty (30) days after the Administrative Agent has delivered the documentation set forth in clause (i) of this Section to the Lenders (which may be delivered electronically) or (B) the Administrative Agent’s receipt of written confirmation from each of the Lenders that flood insurance due diligence and flood insurance compliance has been completed by such Lender (such written confirmation not to be unreasonably withheld, conditioned or delayed).</w:t>
      </w:r>
    </w:p>
    <w:p>
      <w:pPr>
        <w:pStyle w:val="TextBody"/>
        <w:bidi w:val="0"/>
        <w:spacing w:lineRule="auto" w:line="240" w:before="0" w:after="240"/>
        <w:ind w:left="0" w:right="0" w:firstLine="720"/>
        <w:jc w:val="both"/>
        <w:rPr/>
      </w:pPr>
      <w:r>
        <w:rPr>
          <w:rFonts w:ascii="Times New Roman;serif" w:hAnsi="Times New Roman;serif"/>
          <w:b/>
          <w:color w:val="000000"/>
          <w:sz w:val="22"/>
        </w:rPr>
        <w:t>6.19</w:t>
      </w:r>
      <w:r>
        <w:rPr>
          <w:rFonts w:ascii="Times New Roman;serif" w:hAnsi="Times New Roman;serif"/>
          <w:b/>
          <w:color w:val="000000"/>
          <w:sz w:val="22"/>
          <w:u w:val="single"/>
        </w:rPr>
        <w:t>Reserved</w:t>
      </w:r>
      <w:r>
        <w:rPr>
          <w:rFonts w:ascii="Times New Roman;serif" w:hAnsi="Times New Roman;serif"/>
          <w:b/>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color w:val="000000"/>
          <w:sz w:val="22"/>
        </w:rPr>
        <w:t>6.20</w:t>
      </w:r>
      <w:r>
        <w:rPr>
          <w:rFonts w:ascii="Times New Roman;serif" w:hAnsi="Times New Roman;serif"/>
          <w:b/>
          <w:color w:val="000000"/>
          <w:sz w:val="22"/>
          <w:u w:val="single"/>
        </w:rPr>
        <w:t>Health Care Matters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Without limiting or qualifying any provision of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(i)timely file or cause to be timely filed (after giving effect to any extension duly obtained), materially accurate and complete notifications, reports, submissions, permit renewals and reports of every kind whatsoever required by Health Care Laws in order for Parent, its Subsidiaries (including any Health Plan Subsidiary) or any Managed Company to carry on its business, except where the failure to do so could not, individually or in the aggregate, reasonably be expected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701675"/>
                <wp:effectExtent l="0" t="0" r="0" b="0"/>
                <wp:wrapNone/>
                <wp:docPr id="250" name="Frame24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(ii)maintain in full force and effect, and free from restrictions or conditions, all Health Care Permits necessary under Health Care Laws to carry on the business of Parent, its Subsidiaries (including any Health Plan Subsidiary) and any Managed Company, except where the failure to do so could not, individually or in the aggregate,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(iii)(x) maintain a corporate health care regulatory compliance program (</w:t>
      </w:r>
      <w:r>
        <w:rPr>
          <w:color w:val="000000"/>
        </w:rPr>
        <w:t>“</w:t>
      </w:r>
      <w:r>
        <w:rPr>
          <w:rFonts w:ascii="Times New Roman;serif" w:hAnsi="Times New Roman;serif"/>
          <w:b w:val="false"/>
          <w:i/>
          <w:color w:val="000000"/>
          <w:sz w:val="22"/>
          <w:u w:val="single"/>
        </w:rPr>
        <w:t>CCP</w:t>
      </w:r>
      <w:r>
        <w:rPr>
          <w:color w:val="000000"/>
        </w:rPr>
        <w:t>”</w:t>
      </w:r>
      <w:r>
        <w:rPr>
          <w:rFonts w:ascii="Times New Roman;serif" w:hAnsi="Times New Roman;serif"/>
          <w:b w:val="false"/>
          <w:color w:val="000000"/>
          <w:sz w:val="22"/>
        </w:rPr>
        <w:t>) for the purpose of compliance with all applicable Health Care Laws and the Applicable Insurance Code, provide regular CCP training to its directors and employees, and (y) modify the CCP from time to time as may be necessary to ensure continuing compliance with all applicable Health Care Laws and the Applicable Insurance Code, except where the failure to do so could not, individually or in the aggregate, reasonably be expected to have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(iv)at all times be in compliance with all applicable Health Care Laws and the Applicable Insurance Code relating to the operation of the business of Parent, its Subsidiaries (including any Health Plan Subsidiary) or any Managed Company, except where the failure to do so could not, individually or in the aggregate, reasonably be expected to have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(v)at all times be (x) HIPAA Compliant and (y) compliant with all other Privacy Obligations, except where non-compliance could not, individually or in the aggregate, reasonably be expected to result in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(vi)be and remain in compliance with all material requirements for participation in, and for licensure required to provide the goods or services that are reimbursable under, Medicare, Medicaid and other material Third Party Payor Programs, except where non-compliance could not, individually or in the aggregate, reasonably be expected to have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(vii)require all Licensed Personnel to be in compliance with all applicable Health Care Laws in the performance of their duties to or for Parent, its Subsidiaries (including any Health Plan Subsidiary) or any Managed Company, and to maintain in full force and effect all professional licenses and other Health Care Permits required to perform such duties, except where non-compliance could not reasonably be expected to have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(viii)keep and maintain all records required to be maintained by any Governmental Authority or otherwise under any Health Care Law, except where failure to do so could not, individually or in the aggregate, reasonably be expected to have a Material Adverse Effect;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(ix)maintain CMS Agreements, without defaulting thereunder, except where failure to do so could not reasonably be expected to have a Material Adverse Effect;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(x)cause all business arrangements of Parent, its Subsidiaries (including any Health Plan Subsidiary) and any Managed Company to be structured to comply with all Health Care Laws and the Applicable Insurance Code, except where failure to do so could not, individually or in the aggregate,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Promptly, and in any event within five (5) Business Days after any Loan Party obtaining knowledge of any of the following facts, events or circumstances, written notice to the Administrative Agent of such facts, events or circumstances, together with such supporting data and information as shall be necessary to fully explain to Administrative Agent the scope and nature of the fact, event or circumstance and any steps being taken with respect thereto: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(i)any material data breach impacting Protected Health Information (as such capitalized term is defined by HIPAA) created or received by any Loan Party or their Subsidiaries or any Managed Company which affects more than 500 individuals, for which notification to the Office of Civil Rights at the U.S. Department of Health and Human Services;</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701675"/>
                <wp:effectExtent l="0" t="0" r="0" b="0"/>
                <wp:wrapNone/>
                <wp:docPr id="251" name="Frame25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(ii)any breach of Unsecured Protected Health Information (as such capitalized terms are defined in HIPAA) by a Loan Party, any of their Subsidiaries or any Managed Company, which affects more than 500 individuals, for which notification to the Office of Civil Rights at the U.S. Department of Health and Human Services;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(iv)receipt by Parent, any of its Subsidiaries or any Managed Company of (x) any subpoena or civil investigative demand from a Governmental Authority related to alleged fraudulent activities by Parent, any of its Subsidiaries, or any Managed Company in relation to the provision, adjudication, administration, or management of healthcare services, or (y) written allegations from a Governmental Authority of non-compliance by Parent or any of its Subsidiaries, any Managed Company with applicable Health Care Laws other than as could not, individually or in the aggregate, reasonably be expected to have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(v)receipt by Parent, any of its Subsidiaries or any Managed Company of any notice that it will be (A) excluded from any Federal Health Care Program pursuant to 42 U.S.C. § 1320(a)7 or any related regulations, (B) “suspended” or “debarred” from selling products to the U.S. government or its agencies pursuant to the Federal Acquisition Regulation, relating to debarment and suspension applicable to federal government agencies generally (48 C.F.R. Subpart 9.4), or other Applicable Laws, (C) has had a civil monetary penalty assessed against it pursuant to the Civil Monetary Penalties Law under 42 U.S.C. §1320a-7a that could, individually or in the aggregate, reasonably be expected to result in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(vi)receipt of a notice of any fines or penalties imposed by any Governmental Authority under any Health Care Law against Parent, any of its Subsidiaries or any Managed Company that could reasonably be expected to have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(vii)receipt by Parent or its Subsidiaries of any notice of an investigation, notice of deficiency, compliance order or adverse report by any Governmental Authority or Third-Party Payor program involving any Loan Party, any Subsidiary or any Managed Company which could, individually or in the aggregate, reasonably be expected to result in (ii) a loss, suspension, or revocation of any material Health Care Permit if not promptly cured or complied with; or (iii)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(viii)receipt by the Parent or any Subsidiary of (A) any notice of suspension or forfeiture of any material Regulatory Approval of any Regulated Insurance Subsidiary Entity that could, individually or in the aggregate, reasonably be expected to result in a Material Adverse Effect and (B) any other official written notice of deficiency, compliance order or adverse report issued by any regulatory authority, including any Applicable Insurance Regulatory Authority, or private insurance company pursuant to a provider agreement that, if not promptly complied with or cured, would reasonably be expected to result in the suspension or forfeiture of any Regulatory Approval necessary for such Regulated Insurance Subsidiary to carry on its business as then conducted or in the termination of any insurance or reimbursement program then available to any Regulated Insurance Subsidiary, in each case, to the extent such suspension, termination or forfeiture could, individually or in the aggregate, reasonably be expected to result in a Material Adverse Effect;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(ix)the receipt by any Loan Party or any Subsidiary of any correspondence, written notice or written report to or from any Applicable Insurance Regulatory Authority that relates, to any material extent, to the financial viability of any Regulated Insurance Subsidiary, a copy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701675"/>
                <wp:effectExtent l="0" t="0" r="0" b="0"/>
                <wp:wrapNone/>
                <wp:docPr id="252" name="Frame25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6.21</w:t>
      </w:r>
      <w:r>
        <w:rPr>
          <w:rFonts w:ascii="Times New Roman;serif" w:hAnsi="Times New Roman;serif"/>
          <w:b/>
          <w:color w:val="000000"/>
          <w:sz w:val="22"/>
          <w:u w:val="single"/>
        </w:rPr>
        <w:t>Management Services Documents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(a)Promptly provide Administrative Agent with an executed copy of any Management Services Document entered into after the Closing Date, including all amendments, waivers, supplements or terminations with respect thereto;</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(b)Promptly notify Administrative Agent in writing at any time that any Person becomes a Managed Company subject to a Management Services Agreement and provide to Administrative Agent (i) such information about such Managed Company as Administrative Agent may reasonably request; (ii) a fully-executed set of Management Services Documents relating to such Managed Company; and (iii) a fully-executed Collateral Assignment of Management Services Documents with respect to such Management Service Documents; and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(c)Maintain in full force and effect the Management Services Documents to the extent necessary to carry on the business of Borrower and its Subsidiaries (including any Health Plan Subsidiary) and any Managed Company. </w:t>
      </w:r>
    </w:p>
    <w:p>
      <w:pPr>
        <w:pStyle w:val="TextBody"/>
        <w:bidi w:val="0"/>
        <w:spacing w:lineRule="auto" w:line="240" w:before="0" w:after="240"/>
        <w:ind w:left="0" w:right="0" w:firstLine="720"/>
        <w:jc w:val="both"/>
        <w:rPr/>
      </w:pPr>
      <w:r>
        <w:rPr>
          <w:rFonts w:ascii="Times New Roman;serif" w:hAnsi="Times New Roman;serif"/>
          <w:b/>
          <w:color w:val="000000"/>
          <w:sz w:val="22"/>
        </w:rPr>
        <w:t>6.22</w:t>
      </w:r>
      <w:r>
        <w:rPr>
          <w:rFonts w:ascii="Times New Roman;serif" w:hAnsi="Times New Roman;serif"/>
          <w:b/>
          <w:color w:val="000000"/>
          <w:sz w:val="22"/>
          <w:u w:val="single"/>
        </w:rPr>
        <w:t>Post-Closing Matters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Promptly, and in any event within:</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(a)Within thirty (30) days of the Closing Date (or such later date agreed to by the Administrative Agent in its sole discretion), deliver to the Administrative Agent copies of certificates of insurance, evidencing liability and property insurance meeting the requirements set forth herein, together with endorsements naming Administrative Agent as an additional insured or lenders loss payee, as the case may be.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(b)Within sixty (60) days of the Closing Date (or such later date as agreed to by the Administrative Agent in its sole discretion), deliver to the Administrative Agent evidence that the UCC-1 (No U220167424837) filed against Secure Health Medical Group, Inc. in favor of McKesson Corporation has been terminated.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(c)Within ninety (90) days of the Closing Date (or such later date as agreed to by the Administrative Agent in its sole discretion), use commercially reasonable efforts to deliver to the Administrative Agent Qualifying Control Agreements to the extent required to be delivered pursuant to </w:t>
      </w:r>
      <w:r>
        <w:rPr>
          <w:rFonts w:ascii="Times New Roman;serif" w:hAnsi="Times New Roman;serif"/>
          <w:b w:val="false"/>
          <w:color w:val="000000"/>
          <w:sz w:val="22"/>
          <w:u w:val="single"/>
        </w:rPr>
        <w:t>Section 6.14</w:t>
      </w:r>
      <w:r>
        <w:rPr>
          <w:rFonts w:ascii="Times New Roman;serif" w:hAnsi="Times New Roman;serif"/>
          <w:b w:val="false"/>
          <w:color w:val="000000"/>
          <w:sz w:val="22"/>
        </w:rPr>
        <w:t>.</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(d)Within five (5) Business Days of the Closing Date (or such later date as agreed to by the Administrative Agent in its sole discretion), deliver to the Administrative Agent evidence of the filing made with the California Department of Managed Health Care (“DMHC”) notifying the DMHC of the changes in the principal creditor of Borrower, as Alignment Health Plan’s parent company, involving the addition of the Lenders as principal creditors of Borrower.</w:t>
      </w:r>
    </w:p>
    <w:p>
      <w:pPr>
        <w:pStyle w:val="TextBody"/>
        <w:bidi w:val="0"/>
        <w:spacing w:lineRule="auto" w:line="240" w:before="0" w:after="240"/>
        <w:jc w:val="center"/>
        <w:rPr/>
      </w:pPr>
      <w:r>
        <w:rPr>
          <w:rFonts w:ascii="Times New Roman;serif" w:hAnsi="Times New Roman;serif"/>
          <w:b/>
          <w:color w:val="000000"/>
          <w:sz w:val="22"/>
        </w:rPr>
        <w:t>Article VII</w:t>
      </w:r>
      <w:r>
        <w:rPr>
          <w:rFonts w:ascii="Times New Roman;serif" w:hAnsi="Times New Roman;serif"/>
          <w:b/>
          <w:color w:val="000000"/>
          <w:sz w:val="22"/>
        </w:rPr>
        <w:br/>
        <w:br/>
      </w:r>
      <w:r>
        <w:rPr>
          <w:rFonts w:ascii="Times New Roman;serif" w:hAnsi="Times New Roman;serif"/>
          <w:b/>
          <w:color w:val="000000"/>
          <w:sz w:val="22"/>
          <w:u w:val="single"/>
        </w:rPr>
        <w:t>NEGATIVE COVENANTS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of the Loan Parties hereby covenants and agrees that on the Closing Date and thereafter until the Facility Termination Date, no Loan Party shall, nor shall it permit any Subsidiary to (and, with respect to </w:t>
      </w:r>
      <w:r>
        <w:rPr>
          <w:rFonts w:ascii="Times New Roman;serif" w:hAnsi="Times New Roman;serif"/>
          <w:b w:val="false"/>
          <w:color w:val="000000"/>
          <w:sz w:val="22"/>
          <w:u w:val="single"/>
        </w:rPr>
        <w:t>Sections 7.01</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7.07(a)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7.08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7.09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7.12(b)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7.12(d)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7.13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7.15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Sections 7.16</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7.18</w:t>
      </w:r>
      <w:r>
        <w:rPr>
          <w:rFonts w:ascii="Times New Roman;serif" w:hAnsi="Times New Roman;serif"/>
          <w:b w:val="false"/>
          <w:color w:val="000000"/>
          <w:sz w:val="22"/>
        </w:rPr>
        <w:t xml:space="preserve">, shall use commercially reasonable efforts to cause any Managed Company to, to the extent permitted by Applicable Law) directly or indirectly: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701675"/>
                <wp:effectExtent l="0" t="0" r="0" b="0"/>
                <wp:wrapNone/>
                <wp:docPr id="253" name="Frame25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7.01</w:t>
      </w:r>
      <w:r>
        <w:rPr>
          <w:rFonts w:ascii="Times New Roman;serif" w:hAnsi="Times New Roman;serif"/>
          <w:b/>
          <w:color w:val="000000"/>
          <w:sz w:val="22"/>
          <w:u w:val="single"/>
        </w:rPr>
        <w:t>Liens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Create, incur, assume or suffer to exist any Lien upon any of its property, assets or revenues, whether now owned or hereafter acquired, except for the following (the “</w:t>
      </w:r>
      <w:r>
        <w:rPr>
          <w:rFonts w:ascii="Times New Roman;serif" w:hAnsi="Times New Roman;serif"/>
          <w:b w:val="false"/>
          <w:i/>
          <w:color w:val="000000"/>
          <w:sz w:val="22"/>
          <w:u w:val="single"/>
        </w:rPr>
        <w:t>Permitted Liens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(a)Liens securing the Secured Obligations, including arising pursuant to any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(b)Liens existing on the Closing Date and listed on </w:t>
      </w:r>
      <w:r>
        <w:rPr>
          <w:rFonts w:ascii="Times New Roman;serif" w:hAnsi="Times New Roman;serif"/>
          <w:b w:val="false"/>
          <w:color w:val="000000"/>
          <w:sz w:val="22"/>
          <w:u w:val="single"/>
        </w:rPr>
        <w:t>Schedule 7.01</w:t>
      </w:r>
      <w:r>
        <w:rPr>
          <w:color w:val="000000"/>
        </w:rPr>
        <w:t xml:space="preserve"> </w:t>
      </w:r>
      <w:r>
        <w:rPr>
          <w:rFonts w:ascii="Times New Roman;serif" w:hAnsi="Times New Roman;serif"/>
          <w:b w:val="false"/>
          <w:color w:val="000000"/>
          <w:sz w:val="22"/>
        </w:rPr>
        <w:t xml:space="preserve">and any renewals, replacements, substitutions or extensions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property covered thereby is not changed (other than improvements and accessions to such property), and (ii) any such renewal, replacement, substitution or extension is permitted by </w:t>
      </w:r>
      <w:r>
        <w:rPr>
          <w:rFonts w:ascii="Times New Roman;serif" w:hAnsi="Times New Roman;serif"/>
          <w:b w:val="false"/>
          <w:color w:val="000000"/>
          <w:sz w:val="22"/>
          <w:u w:val="single"/>
        </w:rPr>
        <w:t>Section 7.02(b)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(c)Liens for Taxes not yet due or delinquent, or Liens for Taxes which are being contested in good faith and by appropriate proceedings diligently conducted, if adequate reserves with respect thereto are maintained on the books of the applicable Person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(d)statutory or common law Liens such as carriers’, warehousemen’s, mechanics’, materialmen’s, repairmen’s or other like Liens arising in the ordinary course of business that secure amounts not overdue for a period of more than sixty (60) days (or, if more than 60 days overdue, that are unfiled and no other action has been taken to enforce such Lien) or which are being contested in good faith and by appropriate proceedings diligently conducted;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adequate reserves with respect thereto are maintained on the books of the applicable Person in accordance with GAAP;</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(e)pledges or deposits in the ordinary course of business in connection with (i) workers’ compensation, unemployment insurance and other social security legislation, other than any Lien imposed by ERISA, (ii) public utility services provided to the Parent, any Subsidiary or any Managed Company or (iii) securing liability for reimbursement or indemnification obligations (including obligations in respect of letters of credit or bank guarantees for the benefit of) insurance carriers, providing property, casualty or liability insurance to the Parent, any Subsidiary or any Managed Company;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(f)deposits and pledges to secure the performance of bids, trade contracts, government contracts and other similar contracts (other than Indebtedness for borrowed money), leases (other than Capitalized Leases), subleases, statutory obligations, surety, stay, judgment and appeal bonds, performance bonds and other obligations of a like nature incurred in the ordinary course of business or pursuant to any Third-Party Payor Program;</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(g)encumbrances shown as exceptions in the title insurance policies insuring any Mortgage, easements, rights-of-way, restrictions and other similar encumbrances affecting real property which, in the aggregate, do not in any case materially detract from the value of the property subject thereto or materially interfere with the ordinary conduct of the business of the applicable Person, and any zoning or similar law or right reserved to or vested in any Governmental Authority to control or regulate the use of any real property that does not materially interfere with the ordinary conduct of the business of the Parent, any Subsidiary or any Managed Company, taken as a whole;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(h)Liens securing judgments for the payment of money (or appeal or other surety bonds relating to such judgments) not constituting an Event of Default under </w:t>
      </w:r>
      <w:r>
        <w:rPr>
          <w:rFonts w:ascii="Times New Roman;serif" w:hAnsi="Times New Roman;serif"/>
          <w:b w:val="false"/>
          <w:color w:val="000000"/>
          <w:sz w:val="22"/>
          <w:u w:val="single"/>
        </w:rPr>
        <w:t>Section 8.01(h)</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(i)Liens securing Indebtedness permitted under </w:t>
      </w:r>
      <w:r>
        <w:rPr>
          <w:rFonts w:ascii="Times New Roman;serif" w:hAnsi="Times New Roman;serif"/>
          <w:b w:val="false"/>
          <w:color w:val="000000"/>
          <w:sz w:val="22"/>
          <w:u w:val="single"/>
        </w:rPr>
        <w:t>Section 7.02(c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such Liens do not at any time encumber any property other than the property financed by such Indebtedness and (ii) the Indebtedness secured thereby does not exceed, at the time of incurrence thereof, the cost or fair market value, whichever is lower, of the property secured by such Lien;</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701675"/>
                <wp:effectExtent l="0" t="0" r="0" b="0"/>
                <wp:wrapNone/>
                <wp:docPr id="254" name="Frame25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(j)(i) Liens that are contractual or common law rights of set-off relating to (A) the establishment of depository relations in the ordinary course of business with banks not given in connection with the issuance of Indebtedness or (B) pooled deposit or sweep accounts of the Parent, any Subsidiary or any Managed Company to permit satisfaction of overdraft or similar obligations incurred in the ordinary course of business and (ii) other Liens securing cash management obligations (that do not constitute Indebtedness)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(k)any Lien existing on any property or asset prior to the acquisition thereof by the Parent, any Managed Company or any Subsidiary or existing on any property or asset of any Person that becomes a Loan Party, Subsidiary or a Managed Company after the date hereof prior to the time such Person becomes a Loan Party, Subsidiary or a Managed Company; provided that (i) such Lien is not created in contemplation of or in connection with such acquisition or such Person becoming a Loan Party, Subsidiary or a Managed Company, as the case may be, (ii) such Lien shall not apply to any other property or assets of such Person and (iii) such Lien shall only secure Indebtedness permitted pursuant to </w:t>
      </w:r>
      <w:r>
        <w:rPr>
          <w:rFonts w:ascii="Times New Roman;serif" w:hAnsi="Times New Roman;serif"/>
          <w:b w:val="false"/>
          <w:color w:val="000000"/>
          <w:sz w:val="22"/>
          <w:u w:val="single"/>
        </w:rPr>
        <w:t>Section 7.02(f)</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(l)any interest or title of a lessor, licensor, sublicensor or sublessor under any lease, license, sublicense or sublease entered into by any Loan Party, any Subsidiary thereof or any Managed Company in the ordinary course of business and covering only the assets so leased, licensed, sublicensed or subleased;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(m)Liens of a collection bank arising under Section 4-208 or Section 4-210 of the UCC on items in the course of collection;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(n)non-exclusive licenses and sublicenses granted by a Loan Party, any Subsidiary or any Managed Company and leases and subleases (by a Loan Party, any Subsidiary or any Managed Company as lessor or sublessor) to third parties in the ordinary course of business not interfering with the business of such Loan Party, Subsidiary or Managed Company in any material respect, and in each case, not securing any Indebtedness;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(o)Liens arising from the filing of precautionary uniform commercial code financing statements with respect to any lease permitted by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(p)Liens on insurance policies and proceeds thereof securing the financing of the premiums with respect thereto;</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(q)pledges of cash or Cash Equivalents in the ordinary course of business securing insurance premiums under insurance policies, in each case, payable to insurance carriers that provide insurance to the Parent, its Subsidiaries or any Managed Company in an aggregate amount not to exceed the amount of insurance premiums secured by such pledges;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(r)Liens arising out of conditional sale, title retention, consignment or similar arrangements for sale of goods entered into by the Parent, any Subsidiary or any Managed Company in the ordinary course of business and not prohibited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(s)Liens securing any Swap Contract permitted pursuant to </w:t>
      </w:r>
      <w:r>
        <w:rPr>
          <w:rFonts w:ascii="Times New Roman;serif" w:hAnsi="Times New Roman;serif"/>
          <w:b w:val="false"/>
          <w:color w:val="000000"/>
          <w:sz w:val="22"/>
          <w:u w:val="single"/>
        </w:rPr>
        <w:t>Section 7.02(g)</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(t)Liens in favor of customs and revenue authorities arising as a matter of law to secure payment of customs duties in connection with the importation of goods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(u)Liens of landlords or mortgagees of landlords on fixtures, equipment and movable property located on premises leased by the Parent, any Subsidiary or any Managed Company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701675"/>
                <wp:effectExtent l="0" t="0" r="0" b="0"/>
                <wp:wrapNone/>
                <wp:docPr id="255" name="Frame25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(v)Liens solely on any cash earnest money deposits made by any Loan Party, any Subsidiary or any Managed Company in connection with any letter of intent or purchase agreement permitted hereunder;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(w)Liens on cash or Cash Equivalents used to defease or to satisfy and discharge Indebtedness; provided that such defeasance or satisfaction and discharge is permitted by this Agreement;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(x)Liens on assets of Managed Companies in favor of Borrower pursuant to the applicable Management Services Documents;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(y)Liens encumbering reasonable customary initial deposits and margin deposits and similar Liens attaching to commodity trading accounts or other brokerage accounts incurred in the ordinary course of business and not for speculative purposes;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(z)Liens on Equity Interests in joint ventures securing obligations of such joint venture;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(aa)Liens not otherwise permitted under this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on assets of the Loan Parties, any Subsidiary or any Managed Company, so long as the aggregate principal amount of the obligations secured thereby does not exceed the greater of (i) $25,000,000 and (ii) 25% of Consolidated EBITDA for the most recently ended Measurement Period (determined, in the case of each such Lien, as of the date such Lien is incurred). </w:t>
      </w:r>
    </w:p>
    <w:p>
      <w:pPr>
        <w:pStyle w:val="TextBody"/>
        <w:bidi w:val="0"/>
        <w:spacing w:lineRule="auto" w:line="240" w:before="0" w:after="240"/>
        <w:ind w:left="0" w:right="0" w:firstLine="720"/>
        <w:jc w:val="both"/>
        <w:rPr/>
      </w:pPr>
      <w:r>
        <w:rPr>
          <w:rFonts w:ascii="Times New Roman;serif" w:hAnsi="Times New Roman;serif"/>
          <w:b/>
          <w:color w:val="000000"/>
          <w:sz w:val="22"/>
        </w:rPr>
        <w:t>7.02</w:t>
      </w:r>
      <w:r>
        <w:rPr>
          <w:rFonts w:ascii="Times New Roman;serif" w:hAnsi="Times New Roman;serif"/>
          <w:b/>
          <w:color w:val="000000"/>
          <w:sz w:val="22"/>
          <w:u w:val="single"/>
        </w:rPr>
        <w:t>Indebtedness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Create, incur, assume or suffer to exist any Indebtedness, except: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(a)Indebtedness in respect of the Secured Obligations, including arising under the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(b)Indebtedness outstanding on the Closing Date and listed on </w:t>
      </w:r>
      <w:r>
        <w:rPr>
          <w:rFonts w:ascii="Times New Roman;serif" w:hAnsi="Times New Roman;serif"/>
          <w:b w:val="false"/>
          <w:color w:val="000000"/>
          <w:sz w:val="22"/>
          <w:u w:val="single"/>
        </w:rPr>
        <w:t>Schedule 7.02</w:t>
      </w:r>
      <w:r>
        <w:rPr>
          <w:color w:val="000000"/>
        </w:rPr>
        <w:t xml:space="preserve"> </w:t>
      </w:r>
      <w:r>
        <w:rPr>
          <w:rFonts w:ascii="Times New Roman;serif" w:hAnsi="Times New Roman;serif"/>
          <w:b w:val="false"/>
          <w:color w:val="000000"/>
          <w:sz w:val="22"/>
        </w:rPr>
        <w:t>and Permitted Refinancing Debt in respect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(c)Indebtedness in respect of Capitalized Leases, Synthetic Lease Obligations and purchase money obligations for fixed or capital assets;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amount of all such Indebtedness at any one time outstanding shall not exceed $25,000,000; </w:t>
      </w:r>
    </w:p>
    <w:p>
      <w:pPr>
        <w:pStyle w:val="TextBody"/>
        <w:bidi w:val="0"/>
        <w:spacing w:lineRule="auto" w:line="240" w:before="0" w:after="240"/>
        <w:ind w:left="0" w:right="0" w:firstLine="720"/>
        <w:jc w:val="both"/>
        <w:rPr/>
      </w:pPr>
      <w:r>
        <w:rPr>
          <w:rFonts w:ascii="Times New Roman;serif" w:hAnsi="Times New Roman;serif"/>
          <w:b w:val="false"/>
          <w:color w:val="000000"/>
          <w:sz w:val="22"/>
        </w:rPr>
        <w:t>(d)Indebtedness (i) owed by any Loan Party to another Loan Party, (ii) owed by a Loan Party to a Subsidiary that is not a Loan Party so long as such Indebtedness is unsecured and is subordinated to the Secured Obligations in a manner, and pursuant to documentation reasonably satisfactory to the Administrative Agent, (iii) owed by a Subsidiary that is not a Loan Party to another Subsidiary that is not a Loan Party, and (iv) owed by a Subsidiary that is not a Loan Party to a Loan Party, so long as, in the case of clause (iv), such Indebtedness shall (x) be evidenced by promissory notes (including a global intercompany note) (which may provide that any obligations under such note are subordinated to regulatory claims against and obligations of such Subsidiary that is not a Loan Party to the extent required by Applicable Law or Governmental Authority and shall otherwise be in form and substance reasonably satisfactory to Administrative Agent) and which shall be pledged to the Administrative Agent as Collateral for the Secured Obligations in accordance with the terms of this Agreement and the Security Agreement and (y) be otherwise permitted under this Agreement (the Indebtedness described in this clause (d), the “</w:t>
      </w:r>
      <w:r>
        <w:rPr>
          <w:rFonts w:ascii="Times New Roman;serif" w:hAnsi="Times New Roman;serif"/>
          <w:b w:val="false"/>
          <w:i/>
          <w:color w:val="000000"/>
          <w:sz w:val="22"/>
          <w:u w:val="single"/>
        </w:rPr>
        <w:t>Intercompany Debt</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(e)Guarantees by Parent or any Subsidiary thereof in respect of Indebtedness of any other member of the Combined Group that is permitted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701675"/>
                <wp:effectExtent l="0" t="0" r="0" b="0"/>
                <wp:wrapNone/>
                <wp:docPr id="256" name="Frame25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(f)Indebtedness of a Person existing at the time such Person became a Subsidiary or assumed in connection with an Acquisition or similar Investment permitted hereunder in an aggregate principal amount not to exceed $15,000,000 at any time outstanding;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Indebtedness is existing at the time such Person becomes a Subsidiary of the Borrower and was not incurred solely in contemplation of such Person’s becoming a Subsidiary of the Borrower and Permitted Refinancing Debt in respect thereof;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(g)obligations (contingent or otherwise) of Parent or any of its Subsidiaries existing or arising under (1) any Permitted Bond Hedge Transaction, (2) any Permitted Warrant Transaction, or (3) any other Swap Contract,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such other Swap Contracts under clause (3) only</w:t>
      </w:r>
      <w:r>
        <w:rPr>
          <w:color w:val="000000"/>
        </w:rPr>
        <w:t xml:space="preserve"> </w:t>
      </w:r>
      <w:r>
        <w:rPr>
          <w:rFonts w:ascii="Times New Roman;serif" w:hAnsi="Times New Roman;serif"/>
          <w:b w:val="false"/>
          <w:color w:val="000000"/>
          <w:sz w:val="22"/>
        </w:rPr>
        <w:t xml:space="preserve">(i) such obligations are (or were) entered into by such Person in the ordinary course of business for the purpose of directly mitigating risks associated with fluctuations in interest rates or foreign exchange rates and (ii) such Swap Contract does not contain any provision exonerating the non-defaulting party from its obligation to make payments on outstanding transactions to the defaulting party;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(h)Guarantees (i) by any Loan Party of Indebtedness of any Subsidiary that is not a Loan Party to the extent such guarantees constitute Investments and subject to the limitations of </w:t>
      </w:r>
      <w:r>
        <w:rPr>
          <w:rFonts w:ascii="Times New Roman;serif" w:hAnsi="Times New Roman;serif"/>
          <w:b w:val="false"/>
          <w:color w:val="000000"/>
          <w:sz w:val="22"/>
          <w:u w:val="single"/>
        </w:rPr>
        <w:t>Section 7.03(c)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7.03(w)</w:t>
      </w:r>
      <w:r>
        <w:rPr>
          <w:rFonts w:ascii="Times New Roman;serif" w:hAnsi="Times New Roman;serif"/>
          <w:b w:val="false"/>
          <w:color w:val="000000"/>
          <w:sz w:val="22"/>
        </w:rPr>
        <w:t>, (ii) by any Subsidiary that is not a Loan Party of Indebtedness of any other Subsidiary that is not a Loan Party, and (iii) by any Subsidiary of the Borrower of Indebtedness of the Borrower or any other Loan Party;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(i)Indebtedness owed to insurance carriers at any time incurred in connection with financing insurance premiums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(j)Indebtedness in the form of earn-outs, indemnification, incentive, non-compete, consulting, purchase price adjustment or similar arrangements or obligations incurred in connection with Permitted Acquisitions, other Investments permitted by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 xml:space="preserve">or Dispositions permitted under </w:t>
      </w:r>
      <w:r>
        <w:rPr>
          <w:rFonts w:ascii="Times New Roman;serif" w:hAnsi="Times New Roman;serif"/>
          <w:b w:val="false"/>
          <w:color w:val="000000"/>
          <w:sz w:val="22"/>
          <w:u w:val="single"/>
        </w:rPr>
        <w:t xml:space="preserve">Section 7.05;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(k)Indebtedness consisting of any seller note or similar instrument in connection with any Permitted Acquisition or other Investment permitted under </w:t>
      </w:r>
      <w:r>
        <w:rPr>
          <w:rFonts w:ascii="Times New Roman;serif" w:hAnsi="Times New Roman;serif"/>
          <w:b w:val="false"/>
          <w:color w:val="000000"/>
          <w:sz w:val="22"/>
          <w:u w:val="single"/>
        </w:rPr>
        <w:t>Section 7.03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seller notes or similar instruments executed in connection with any Permitted Acquisition or other Investment permitted under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are unsecured Subordinated Indebtedness;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(l)Indebtedness in respect of Swap Contracts entered into in the ordinary course of business, and not for speculative purposes;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(n)Indebtedness arising from the honoring by a bank or other financial institution of a check, draft or similar instrument drawn against insufficient funds or from the endorsement of instruments for deposit, in each case,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(o)Indebtedness in respect of any netting services, overdrafts and related liabilities arising from treasury, depository and cash management services or in connection with any automated clearing-house transfers of funds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(p)Indebtedness of any Managed Company issued to Parent or any Subsidiary thereof in connection with capitation payments to such Managed Company and to otherwise fund payroll, employee benefits, cost subsidies and other expenses, in each case, in the ordinary course of business and in accordance with the Management Service Documents applicable to such Managed Company (“</w:t>
      </w:r>
      <w:r>
        <w:rPr>
          <w:rFonts w:ascii="Times New Roman;serif" w:hAnsi="Times New Roman;serif"/>
          <w:b w:val="false"/>
          <w:i/>
          <w:color w:val="000000"/>
          <w:sz w:val="22"/>
          <w:u w:val="single"/>
        </w:rPr>
        <w:t>Intercompany MSO/PC Debt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(q)to the extent constituting Indebtedness, obligations under Cash Management Agreements entered into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701675"/>
                <wp:effectExtent l="0" t="0" r="0" b="0"/>
                <wp:wrapNone/>
                <wp:docPr id="257" name="Frame25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(r)Indebtedness in respect of letters of credit, bank guarantees, bankers' acceptances, warehouse receipts or similar instruments issued or created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(s)obligations in respect of performance, bid, customs, government, appeal and surety bonds and performance and completion guarantees and similar obligations provided by the Parent, any of its Subsidiaries or any Managed Companies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 Indebtedness of Parent, any Subsidiary of Parent or any Managed Company under letters of credit or any other instrument to the extent obtained to support obligations under any Third Party Payor Program in the ordinary course of business, or (ii) Guarantees of performance obligations under any Third Party Payor Program or similar arrangements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(u)the Existing Convertible Notes outstanding on the Closing Date, Additional Permitted Convertible Indebtedness in an unlimited aggregate amount and any Permitted Convertible Note Refinancings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with respect to Additional Permitted Convertible Indebtedness and any Permitted Convertible Note Refinancings thereof (or of Existing Convertible Notes) (1) such Permitted Convertible Indebtedness (i) does not have a maturity date prior to ninety-one (91) days after the Revolving Credit Termination Date or require any payment of principal in respect thereof (other than any prepayment or payment on (and as permitted or required by) such Permitted Convertible Indebtedness as a result of (w) any redemption of such Permitted Convertible Indebtedness upon satisfaction of a condition related to the stock price of the Parent’s common stock, (x) the satisfaction of a customary conversion contingency, (y) the exercise by a holder of such Permitted Convertible Indebtedness of a conversion right resulting from the satisfaction of a customary conversion contingency or (z) a required repurchase under such Permitted Convertible Indebtedness upon a customary “fundamental change” or any comparable term under and as defined in any indenture governing such Permitted Convertible Indebtedness), (ii) are not supported by guaranties that are more favorable than the guaranties supporting the Obligations, (iii) do not require representations, warranties, covenants or events of default that are more restrictive, taken as a whole, than those set forth herein (as determined by Parent in good faith), and (iv) are unsecured, (2) after giving effect to the incurrence of such Permitted Convertible Indebtedness, the Consolidated Total Leverage Ratio, determined on a Pro Forma Basis as of the end of the most recently ended Measurement Period shall not be greater than 5.00 to 1.00, (3) no Event of Default has occurred and is continuing immediately prior to, and immediately after the incurrence of such Permitted Convertible Indebtedness and (4) after giving effect to the incurrence of such Permitted Convertible Indebtedness, the</w:t>
      </w:r>
      <w:r>
        <w:rPr>
          <w:color w:val="000000"/>
        </w:rPr>
        <w:t xml:space="preserve"> </w:t>
      </w:r>
      <w:r>
        <w:rPr>
          <w:rFonts w:ascii="Times New Roman;serif" w:hAnsi="Times New Roman;serif"/>
          <w:b w:val="false"/>
          <w:color w:val="000000"/>
          <w:sz w:val="22"/>
        </w:rPr>
        <w:t xml:space="preserve">Loan Parties are in Pro Forma Compliance with the financial covenants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determined on a Pro Forma Basis as of the end of the most recently ended Measurement Period;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(v)Indebtedness of any Loan Party, any Subsidiary thereof or any Managed Company not otherwise permitted pursuant to this Section in an aggregate principal amount at any time outstanding not to exceed the greater of (i) $25,000,000 and (ii) 25% of Consolidated EBITDA for the most recently ended Measurement Period (determined, in the case of each such incurrence of Indebtedness, as of the date such Indebtedness is incurred).</w:t>
      </w:r>
    </w:p>
    <w:p>
      <w:pPr>
        <w:pStyle w:val="TextBody"/>
        <w:bidi w:val="0"/>
        <w:spacing w:lineRule="auto" w:line="240" w:before="0" w:after="240"/>
        <w:ind w:left="0" w:right="0" w:firstLine="720"/>
        <w:jc w:val="both"/>
        <w:rPr/>
      </w:pPr>
      <w:r>
        <w:rPr>
          <w:rFonts w:ascii="Times New Roman;serif" w:hAnsi="Times New Roman;serif"/>
          <w:b/>
          <w:color w:val="000000"/>
          <w:sz w:val="22"/>
        </w:rPr>
        <w:t>7.03</w:t>
      </w:r>
      <w:r>
        <w:rPr>
          <w:rFonts w:ascii="Times New Roman;serif" w:hAnsi="Times New Roman;serif"/>
          <w:b/>
          <w:color w:val="000000"/>
          <w:sz w:val="22"/>
          <w:u w:val="single"/>
        </w:rPr>
        <w:t>Investments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Make or hold any Investments, except: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(a)Investments held by the Parent, its Subsidiaries and Managed Companies in the form of cash or Cash Equivalents and Investments in assets that were Cash Equivalents when such Investment was made;</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701675"/>
                <wp:effectExtent l="0" t="0" r="0" b="0"/>
                <wp:wrapNone/>
                <wp:docPr id="258" name="Frame25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(b)Loans or advances to officers, directors and employees of the Parent, its Subsidiaries or Managed Companies in an aggregate amount not to exceed $5,000,000 in the aggregate at any time outstanding, for travel, entertainment, relocation and analogous ordinary business purposes;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(c)(i) Investments by the Parent and its Subsidiaries in their respective Subsidiaries outstanding on the Closing Date, (ii) additional Investments by the Parent and its Subsidiaries in Loan Parties, (iii) additional Investments by Subsidiaries of the Parent that are not Loan Parties in other Subsidiaries that are not Loan Parties, and (iv) so long as no Event of Default has occurred and is continuing immediately prior to, and immediately after, such Investment, additional Investments by the Loan Parties in Subsidiaries that are not Loan Parties in an aggregate amount not to exceed $25,000,000 outstanding at any time;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(e)(i) Guarantees permitted by </w:t>
      </w:r>
      <w:r>
        <w:rPr>
          <w:rFonts w:ascii="Times New Roman;serif" w:hAnsi="Times New Roman;serif"/>
          <w:b w:val="false"/>
          <w:color w:val="000000"/>
          <w:sz w:val="22"/>
          <w:u w:val="single"/>
        </w:rPr>
        <w:t>Section 7.02</w:t>
      </w:r>
      <w:r>
        <w:rPr>
          <w:color w:val="000000"/>
        </w:rPr>
        <w:t xml:space="preserve"> </w:t>
      </w:r>
      <w:r>
        <w:rPr>
          <w:rFonts w:ascii="Times New Roman;serif" w:hAnsi="Times New Roman;serif"/>
          <w:b w:val="false"/>
          <w:color w:val="000000"/>
          <w:sz w:val="22"/>
        </w:rPr>
        <w:t>or (ii) guarantees by the Parent, any Subsidiary thereof or any Managed Company of leases (other than Capitalized Leases) or of other obligations of the Parent, any of its Subsidiaries or any Managed Company that do not constitute Indebtedness, in each case entered into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(f)Investments existing on the Closing Date (other than those referred to in </w:t>
      </w:r>
      <w:r>
        <w:rPr>
          <w:rFonts w:ascii="Times New Roman;serif" w:hAnsi="Times New Roman;serif"/>
          <w:b w:val="false"/>
          <w:color w:val="000000"/>
          <w:sz w:val="22"/>
          <w:u w:val="single"/>
        </w:rPr>
        <w:t>Section 7.03(c)(i</w:t>
      </w:r>
      <w:r>
        <w:rPr>
          <w:rFonts w:ascii="Times New Roman;serif" w:hAnsi="Times New Roman;serif"/>
          <w:b w:val="false"/>
          <w:color w:val="000000"/>
          <w:sz w:val="22"/>
        </w:rPr>
        <w:t xml:space="preserve">)) and set forth on </w:t>
      </w:r>
      <w:r>
        <w:rPr>
          <w:rFonts w:ascii="Times New Roman;serif" w:hAnsi="Times New Roman;serif"/>
          <w:b w:val="false"/>
          <w:color w:val="000000"/>
          <w:sz w:val="22"/>
          <w:u w:val="single"/>
        </w:rPr>
        <w:t>Schedule 7.03</w:t>
      </w:r>
      <w:r>
        <w:rPr>
          <w:color w:val="000000"/>
        </w:rPr>
        <w:t xml:space="preserve"> </w:t>
      </w:r>
      <w:r>
        <w:rPr>
          <w:rFonts w:ascii="Times New Roman;serif" w:hAnsi="Times New Roman;serif"/>
          <w:b w:val="false"/>
          <w:color w:val="000000"/>
          <w:sz w:val="22"/>
        </w:rPr>
        <w:t xml:space="preserve">and any modification, replacement, renewal, reinvestment or extension of any of the foregoing,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the amount of any Investment permitted pursuant to this clause (f) is not increased from the amount of such Investment;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(g)Permitted Acquisitions (other than of Excluded Subsidiaries which Investments shall only be permitted by </w:t>
      </w:r>
      <w:r>
        <w:rPr>
          <w:rFonts w:ascii="Times New Roman;serif" w:hAnsi="Times New Roman;serif"/>
          <w:b w:val="false"/>
          <w:color w:val="000000"/>
          <w:sz w:val="22"/>
          <w:u w:val="single"/>
        </w:rPr>
        <w:t>Section 7.03(c)(iv</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(w)</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the aggregate outstanding amount of all such Investments made in connection with such Permitted Acquisitions (together with all Investments made pursuant to </w:t>
      </w:r>
      <w:r>
        <w:rPr>
          <w:rFonts w:ascii="Times New Roman;serif" w:hAnsi="Times New Roman;serif"/>
          <w:b w:val="false"/>
          <w:color w:val="000000"/>
          <w:sz w:val="22"/>
          <w:u w:val="single"/>
        </w:rPr>
        <w:t>Section 7.03(p)</w:t>
      </w:r>
      <w:r>
        <w:rPr>
          <w:rFonts w:ascii="Times New Roman;serif" w:hAnsi="Times New Roman;serif"/>
          <w:b w:val="false"/>
          <w:color w:val="000000"/>
          <w:sz w:val="22"/>
        </w:rPr>
        <w:t>) shall not exceed $25,000,000 at any time;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(h)Investments (including debt obligations or Equity Interests) received in connection with the bankruptcy or reorganization of suppliers and customers and in settlement of delinquent obligations of, and other disputes with, customers and suppliers arising in the ordinary course of business;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(i)Investments consisting of the indorsement by the Parent, any Subsidiary or any Managed Company of negotiable instruments payable to such Person for deposit or collection in the ordinary course of business;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(j)Investments consisting of the licensing or contribution of Intellectual Property pursuant to joint marketing arrangements with other persons so long as such licensing or contribution would not materially adversely impair the operators or business of any Loan Party or any Subsidiary, taken as a whole;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(k)Investments (including debt obligations) received or acquired as the non-cash portion of consideration received in connection with transactions permitted pursuant to </w:t>
      </w:r>
      <w:r>
        <w:rPr>
          <w:rFonts w:ascii="Times New Roman;serif" w:hAnsi="Times New Roman;serif"/>
          <w:b w:val="false"/>
          <w:color w:val="000000"/>
          <w:sz w:val="22"/>
          <w:u w:val="single"/>
        </w:rPr>
        <w:t>Section 7.05(f)</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(l)Investments consisting of any transaction expressly permitted under the terms and conditions of </w:t>
      </w:r>
      <w:r>
        <w:rPr>
          <w:rFonts w:ascii="Times New Roman;serif" w:hAnsi="Times New Roman;serif"/>
          <w:b w:val="false"/>
          <w:color w:val="000000"/>
          <w:sz w:val="22"/>
          <w:u w:val="single"/>
        </w:rPr>
        <w:t>Section 7.04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(m)Investments consisting of non-cash loans made by a Loan Party, any Subsidiary thereof or any Managed Company to officers, directors, employees and consultants of such Loan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701675"/>
                <wp:effectExtent l="0" t="0" r="0" b="0"/>
                <wp:wrapNone/>
                <wp:docPr id="259" name="Frame25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Party, such Subsidiary or such Managed Company which are used by such Persons to purchase simultaneously Equity Interests of the Parent, such Subsidiary or such Managed Company;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(n)Investments in Swap Contracts permitted under </w:t>
      </w:r>
      <w:r>
        <w:rPr>
          <w:rFonts w:ascii="Times New Roman;serif" w:hAnsi="Times New Roman;serif"/>
          <w:b w:val="false"/>
          <w:color w:val="000000"/>
          <w:sz w:val="22"/>
          <w:u w:val="single"/>
        </w:rPr>
        <w:t>Section 7.02(g);</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(o)Investments of any Person in existence at the time such Person becomes a Subsidiary of the Parent (or is merged or consolidated or amalgamated with a Subsidiary of the Parent) or a Managed Company;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 xml:space="preserve">that </w:t>
      </w:r>
      <w:r>
        <w:rPr>
          <w:rFonts w:ascii="Times New Roman;serif" w:hAnsi="Times New Roman;serif"/>
          <w:b w:val="false"/>
          <w:color w:val="000000"/>
          <w:sz w:val="22"/>
        </w:rPr>
        <w:t>(i) such Investments exist at the time such Person becomes (or is merged or consolidated or amalgamated with) a Subsidiary of the Parent or becomes a Managed Company, and (ii) such Investments are not made in anticipation or contemplation of such Person becoming (or merging or consolidating or amalgamated with) a Subsidiary of the Parent or becoming a Managed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(p)so long as no Event of Default has occurred and is continuing immediately prior to, and immediately after such Investment, Investments by any Loan Party, any Subsidiary or any Managed Company in Joint Ventures and minority non-consolidated equity investments;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the aggregate outstanding amount of all such Investments (together with all Investments made pursuant to </w:t>
      </w:r>
      <w:r>
        <w:rPr>
          <w:rFonts w:ascii="Times New Roman;serif" w:hAnsi="Times New Roman;serif"/>
          <w:b w:val="false"/>
          <w:color w:val="000000"/>
          <w:sz w:val="22"/>
          <w:u w:val="single"/>
        </w:rPr>
        <w:t>Section 7.03(g)</w:t>
      </w:r>
      <w:r>
        <w:rPr>
          <w:rFonts w:ascii="Times New Roman;serif" w:hAnsi="Times New Roman;serif"/>
          <w:b w:val="false"/>
          <w:color w:val="000000"/>
          <w:sz w:val="22"/>
        </w:rPr>
        <w:t>) shall not exceed $25,000,000 at any time;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(q)Investments by (i) any Loan Party in any Health Plan Subsidiary in up to 110% of such amounts required by any state or federal Law or regulation (including, without limitation, any Applicable Insurance Code) to maintain required cash reserves, working capital or positive net-worth balances or to otherwise comply with all Applicable Laws and regulations (including capital contributions made in the form of cancellation of intercompany payables and receivables), (ii) any Loan Party or any Subsidiary thereof in any Managed Company in connection with capitation payments to such Managed Company and to otherwise fund payroll, employee benefits, cost subsidies and other expenses, in each case, in the ordinary course of business and in accordance with the Management Services Documents applicable to such Managed Company and (iii) any Loan Party in any Health Plan Subsidiary to fund expenses in the ordinary course of business and in accordance with the Health Plan Subsidiary Management Agreement applicable to such Health Plan Subsidiary; </w:t>
      </w:r>
    </w:p>
    <w:p>
      <w:pPr>
        <w:pStyle w:val="TextBody"/>
        <w:bidi w:val="0"/>
        <w:spacing w:lineRule="auto" w:line="240" w:before="0" w:after="240"/>
        <w:ind w:left="0" w:right="0" w:firstLine="720"/>
        <w:jc w:val="both"/>
        <w:rPr/>
      </w:pPr>
      <w:r>
        <w:rPr>
          <w:rFonts w:ascii="Times New Roman;serif" w:hAnsi="Times New Roman;serif"/>
          <w:b w:val="false"/>
          <w:color w:val="000000"/>
          <w:sz w:val="22"/>
        </w:rPr>
        <w:t>(r)additional Investments made by any Loan Party or any Subsidiary thereof so long as (i) no Event of Default shall have occurred and be continuing immediately prior to, and immediately after, the making of such Investment, (ii) on a Pro Forma Basis, immediately after giving effect to the making of such Investment, the Consolidated Secured Leverage Ratio of the Combined Group shall be no greater than 1.75:1.00 as of the end of the most recently ended Measurement Period, (iii) after giving effect to the making of such Investments, the</w:t>
      </w:r>
      <w:r>
        <w:rPr>
          <w:color w:val="000000"/>
        </w:rPr>
        <w:t xml:space="preserve"> </w:t>
      </w:r>
      <w:r>
        <w:rPr>
          <w:rFonts w:ascii="Times New Roman;serif" w:hAnsi="Times New Roman;serif"/>
          <w:b w:val="false"/>
          <w:color w:val="000000"/>
          <w:sz w:val="22"/>
        </w:rPr>
        <w:t xml:space="preserve">Combined Group is in compliance with the financial covenants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on a Pro Forma Basis as of the end of the most recently ended Measurement Period and (iv) after giving pro forma effect to such Investment, Liquidity shall be equal to or greater than $50,000,000;</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(s)Investments made in the ordinary course of business in connection with obtaining, maintaining or renewing client contracts and loans or advances made to distributors and suppliers in the ordinary course of business;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(t)Investments to the extent that payment for such Investments is made solely with Equity Interests (other than Disqualified Equity Interests) of the Parent;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(u)(i) Investments in deposit accounts and securities accounts maintained by the Parent, any of its Subsidiaries or any Managed Company or (ii) Investments consisting of security deposits with utilities and other like Persons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(v)to the extent constituting an Investment, (i) Liens permitted by </w:t>
      </w:r>
      <w:r>
        <w:rPr>
          <w:rFonts w:ascii="Times New Roman;serif" w:hAnsi="Times New Roman;serif"/>
          <w:b w:val="false"/>
          <w:color w:val="000000"/>
          <w:sz w:val="22"/>
          <w:u w:val="single"/>
        </w:rPr>
        <w:t>Section 7.01</w:t>
      </w:r>
      <w:r>
        <w:rPr>
          <w:rFonts w:ascii="Times New Roman;serif" w:hAnsi="Times New Roman;serif"/>
          <w:b w:val="false"/>
          <w:color w:val="000000"/>
          <w:sz w:val="22"/>
        </w:rPr>
        <w:t xml:space="preserve">, (ii) Indebtedness permitted by </w:t>
      </w:r>
      <w:r>
        <w:rPr>
          <w:rFonts w:ascii="Times New Roman;serif" w:hAnsi="Times New Roman;serif"/>
          <w:b w:val="false"/>
          <w:color w:val="000000"/>
          <w:sz w:val="22"/>
          <w:u w:val="single"/>
        </w:rPr>
        <w:t>Section 7.02</w:t>
      </w:r>
      <w:r>
        <w:rPr>
          <w:rFonts w:ascii="Times New Roman;serif" w:hAnsi="Times New Roman;serif"/>
          <w:b w:val="false"/>
          <w:color w:val="000000"/>
          <w:sz w:val="22"/>
        </w:rPr>
        <w:t xml:space="preserve">, (iii) transactions permitted by </w:t>
      </w:r>
      <w:r>
        <w:rPr>
          <w:rFonts w:ascii="Times New Roman;serif" w:hAnsi="Times New Roman;serif"/>
          <w:b w:val="false"/>
          <w:color w:val="000000"/>
          <w:sz w:val="22"/>
          <w:u w:val="single"/>
        </w:rPr>
        <w:t>Section 7.04</w:t>
      </w:r>
      <w:r>
        <w:rPr>
          <w:rFonts w:ascii="Times New Roman;serif" w:hAnsi="Times New Roman;serif"/>
          <w:b w:val="false"/>
          <w:color w:val="000000"/>
          <w:sz w:val="22"/>
        </w:rPr>
        <w:t xml:space="preserve">, (iv) Dispositions permitted by </w:t>
      </w:r>
      <w:r>
        <w:rPr>
          <w:rFonts w:ascii="Times New Roman;serif" w:hAnsi="Times New Roman;serif"/>
          <w:b w:val="false"/>
          <w:color w:val="000000"/>
          <w:sz w:val="22"/>
          <w:u w:val="single"/>
        </w:rPr>
        <w:t>Section 7.05</w:t>
      </w:r>
      <w:r>
        <w:rPr>
          <w:rFonts w:ascii="Times New Roman;serif" w:hAnsi="Times New Roman;serif"/>
          <w:b w:val="false"/>
          <w:color w:val="000000"/>
          <w:sz w:val="22"/>
        </w:rPr>
        <w:t xml:space="preserve">, (v) Restricted Payments permitted by </w:t>
      </w:r>
      <w:r>
        <w:rPr>
          <w:rFonts w:ascii="Times New Roman;serif" w:hAnsi="Times New Roman;serif"/>
          <w:b w:val="false"/>
          <w:color w:val="000000"/>
          <w:sz w:val="22"/>
          <w:u w:val="single"/>
        </w:rPr>
        <w:t>Section 7.06</w:t>
      </w:r>
      <w:r>
        <w:rPr>
          <w:rFonts w:ascii="Times New Roman;serif" w:hAnsi="Times New Roman;serif"/>
          <w:b w:val="false"/>
          <w:color w:val="000000"/>
          <w:sz w:val="22"/>
        </w:rPr>
        <w:t xml:space="preserve">, (vi) transactions with Affiliates permitted by </w:t>
      </w:r>
      <w:r>
        <w:rPr>
          <w:rFonts w:ascii="Times New Roman;serif" w:hAnsi="Times New Roman;serif"/>
          <w:b w:val="false"/>
          <w:color w:val="000000"/>
          <w:sz w:val="22"/>
          <w:u w:val="single"/>
        </w:rPr>
        <w:t>Section 7.08</w:t>
      </w:r>
      <w:r>
        <w:rPr>
          <w:color w:val="000000"/>
        </w:rPr>
        <w:t xml:space="preserve"> </w:t>
      </w:r>
      <w:r>
        <w:rPr>
          <w:rFonts w:ascii="Times New Roman;serif" w:hAnsi="Times New Roman;serif"/>
          <w:b w:val="false"/>
          <w:color w:val="000000"/>
          <w:sz w:val="22"/>
        </w:rPr>
        <w:t xml:space="preserve">and (v) payments permitted by </w:t>
      </w:r>
      <w:r>
        <w:rPr>
          <w:rFonts w:ascii="Times New Roman;serif" w:hAnsi="Times New Roman;serif"/>
          <w:b w:val="false"/>
          <w:color w:val="000000"/>
          <w:sz w:val="22"/>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701675"/>
                <wp:effectExtent l="0" t="0" r="0" b="0"/>
                <wp:wrapNone/>
                <wp:docPr id="260" name="Frame25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7.14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no Investments may be made solely pursuant to or in reliance upon this </w:t>
      </w:r>
      <w:r>
        <w:rPr>
          <w:rFonts w:ascii="Times New Roman;serif" w:hAnsi="Times New Roman;serif"/>
          <w:b w:val="false"/>
          <w:color w:val="000000"/>
          <w:sz w:val="22"/>
          <w:u w:val="single"/>
        </w:rPr>
        <w:t>Section 7.03(v)</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(w)Investments in the ordinary course of business consisting of UCC Article 3 endorsements for collection or deposit and UCC Article 4 customary trade arrangements with customers consistent with past practices;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(x)Investments by Loan Parties in any Subsidiary that is not a Loan Party so long as such Investment is a part of a series of simultaneous Investments by the Parent or any of its Subsidiaries in other Subsidiaries that are not Loan Parties that result in all proceeds of such intercompany Investment being invested substantially concurrently in one or more Loan Parties;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(y)Investments by any Loan Party, any Subsidiary thereof or any Managed Company not otherwise permitted pursuant to this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 xml:space="preserve">in an aggregate amount at any time outstanding not to exceed the greater of (i) $25,000,000 and (ii) 25% of Consolidated EBITDA for the most recently ended Measurement Period (determined, in the case of each such incurrence of Investments, as of the date such Investment is incurred). </w:t>
      </w:r>
    </w:p>
    <w:p>
      <w:pPr>
        <w:pStyle w:val="TextBody"/>
        <w:bidi w:val="0"/>
        <w:spacing w:lineRule="auto" w:line="240" w:before="0" w:after="240"/>
        <w:ind w:left="0" w:right="0" w:firstLine="720"/>
        <w:jc w:val="both"/>
        <w:rPr/>
      </w:pPr>
      <w:r>
        <w:rPr>
          <w:rFonts w:ascii="Times New Roman;serif" w:hAnsi="Times New Roman;serif"/>
          <w:b/>
          <w:color w:val="000000"/>
          <w:sz w:val="22"/>
        </w:rPr>
        <w:t>7.04</w:t>
      </w:r>
      <w:r>
        <w:rPr>
          <w:rFonts w:ascii="Times New Roman;serif" w:hAnsi="Times New Roman;serif"/>
          <w:b/>
          <w:color w:val="000000"/>
          <w:sz w:val="22"/>
          <w:u w:val="single"/>
        </w:rPr>
        <w:t>Fundamental Changes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Merge, dissolve, liquidate, consolidate with or into another Person, or Dispose of (whether in one transaction or in a series of transactions) all or substantially all of its assets (whether now owned or hereafter acquired) to or in favor of any Person (including, in each case, pursuant to a Division), except that: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(a)any Subsidiary may merge, dissolve, consolidate with or into (i)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be the continuing or surviving Person, (ii) the Parent; provided that the Parent shall be the continuing or surviving Person, or (iii) any one or more other Subsidiaries of the Parent (other than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when any Loan Party is merging, dissolving, or consolidating with or into another Subsidiary (other than the Borrower or the Parent), such Loan Party shall be the continuing or surviving Person or the continuing or surviving Person shall become a Loan Party in connection therewith;</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(b)any Loan Party may Dispose of all or substantially all of its assets (upon voluntary liquidation or otherwise) to the Borrower or to another Loan Party;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(c)any Subsidiary that is not a Loan Party may dispose of all or substantially all its assets (including any Disposition that is in the nature of a liquidation) to (i) another Subsidiary that is not a Loan Party or (ii) to a Loan Party;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 any Managed Company may Dispose of all or substantially all of its assets (upon voluntary liquidation or otherwise) to another Managed Company and (ii) any Managed Company may merge into, dissolve or consolidate with any other Managed Company;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(e)to the extent constituting an action restricted by this </w:t>
      </w:r>
      <w:r>
        <w:rPr>
          <w:rFonts w:ascii="Times New Roman;serif" w:hAnsi="Times New Roman;serif"/>
          <w:b w:val="false"/>
          <w:color w:val="000000"/>
          <w:sz w:val="22"/>
          <w:u w:val="single"/>
        </w:rPr>
        <w:t>Section 7.04</w:t>
      </w:r>
      <w:r>
        <w:rPr>
          <w:rFonts w:ascii="Times New Roman;serif" w:hAnsi="Times New Roman;serif"/>
          <w:b w:val="false"/>
          <w:color w:val="000000"/>
          <w:sz w:val="22"/>
        </w:rPr>
        <w:t xml:space="preserve">, (i) Investments permitted by </w:t>
      </w:r>
      <w:r>
        <w:rPr>
          <w:rFonts w:ascii="Times New Roman;serif" w:hAnsi="Times New Roman;serif"/>
          <w:b w:val="false"/>
          <w:color w:val="000000"/>
          <w:sz w:val="22"/>
          <w:u w:val="single"/>
        </w:rPr>
        <w:t xml:space="preserve">Section 7.03 </w:t>
      </w:r>
      <w:r>
        <w:rPr>
          <w:rFonts w:ascii="Times New Roman;serif" w:hAnsi="Times New Roman;serif"/>
          <w:b w:val="false"/>
          <w:color w:val="000000"/>
          <w:sz w:val="22"/>
        </w:rPr>
        <w:t xml:space="preserve">and (ii) Dispositions permitted by </w:t>
      </w:r>
      <w:r>
        <w:rPr>
          <w:rFonts w:ascii="Times New Roman;serif" w:hAnsi="Times New Roman;serif"/>
          <w:b w:val="false"/>
          <w:color w:val="000000"/>
          <w:sz w:val="22"/>
          <w:u w:val="single"/>
        </w:rPr>
        <w:t>Section 7.05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no action may be made solely pursuant to or in reliance upon this </w:t>
      </w:r>
      <w:r>
        <w:rPr>
          <w:rFonts w:ascii="Times New Roman;serif" w:hAnsi="Times New Roman;serif"/>
          <w:b w:val="false"/>
          <w:color w:val="000000"/>
          <w:sz w:val="22"/>
          <w:u w:val="single"/>
        </w:rPr>
        <w:t>Section 7.04(f)</w:t>
      </w:r>
      <w:r>
        <w:rPr>
          <w:rFonts w:ascii="Times New Roman;serif" w:hAnsi="Times New Roman;serif"/>
          <w:b w:val="false"/>
          <w:color w:val="000000"/>
          <w:sz w:val="22"/>
        </w:rPr>
        <w:t>;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(f)in connection with any Permitted Acquisition, Parent or any Subsidiary of the Parent may merge into or consolidate with any other Person or permit any other Person to merge into or consolidate with Parent or such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Person surviving such merger shall be a wholly-owned Subsidiary of the Parent, (ii) in the case of any such transaction to which the Borrower is a party, the Borrower is the surviving Person, (iii) in the case of any such transaction to which Parent is a party, the Parent is the surviving Person and (iv) in the case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701675"/>
                <wp:effectExtent l="0" t="0" r="0" b="0"/>
                <wp:wrapNone/>
                <wp:docPr id="261" name="Frame26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of any such merger to which any Loan Party (other than the Borrower or Parent) is a party, such Loan Party is the surviving Person.</w:t>
      </w:r>
    </w:p>
    <w:p>
      <w:pPr>
        <w:pStyle w:val="TextBody"/>
        <w:bidi w:val="0"/>
        <w:spacing w:lineRule="auto" w:line="240" w:before="0" w:after="240"/>
        <w:ind w:left="0" w:right="0" w:firstLine="720"/>
        <w:jc w:val="both"/>
        <w:rPr/>
      </w:pPr>
      <w:r>
        <w:rPr>
          <w:rFonts w:ascii="Times New Roman;serif" w:hAnsi="Times New Roman;serif"/>
          <w:b/>
          <w:color w:val="000000"/>
          <w:sz w:val="22"/>
        </w:rPr>
        <w:t>7.05</w:t>
      </w:r>
      <w:r>
        <w:rPr>
          <w:rFonts w:ascii="Times New Roman;serif" w:hAnsi="Times New Roman;serif"/>
          <w:b/>
          <w:color w:val="000000"/>
          <w:sz w:val="22"/>
          <w:u w:val="single"/>
        </w:rPr>
        <w:t>Dispositions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Make any Disposition or enter into any agreement to make any Disposition, except: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(a)Permitted Transfers;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(b)(i) Dispositions of surplus, obsolete or worn out property, (ii) Dispositions of property that is no longer used or useful in the business of Parent, its Subsidiaries or any Managed Company, whether now owned or hereafter acquired, in the ordinary course of business and (iii) the abandonment, cancellation, lapse or other Disposition of immaterial Intellectual Property, which, in the reasonable judgment of the Borrower, is no longer economically practicable to maintain or useful in the conduct of the business of the Parent, such Subsidiary or such Managed Company;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(c)Dispositions of equipment or property to the extent that (i) such property is exchanged for credit against the purchase price of similar replacement property or (ii) the proceeds of such Disposition are reasonably promptly applied to the purchase price of such replacement property;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(d)Dispositions permitted by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7.04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(e)(i) non-exclusive licenses and sub-licenses of trademarks, service marks, trade names, copyrights, patents, patent rights, trade secrets, know-how, franchises, licenses and other intellectual property rights (including the provision of software under an open source license) in the ordinary course of business and (ii) exclusive in-licenses of Intellectual Property consistent with general market practices where such exclusive in-license must be a true license that does not result in a legal transfer of title of the licensed Intellectual Property or otherwise constitute a sales transaction in substance, and any infringement on, or loss of title or right to, such Intellectual Property would not materially adversely impair the operations or business of any Loan Party or any Subsidiary;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(f)Dispositions of non-core assets (including real estate assets) acquired in connection with any Permitted Acquisition or other Investments permitted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such Dispositions shall be consummated within one year of the consummation of such Permitted Acquisition;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(i) the consideration received for such assets shall be in an aggregate amount at least equal to the fair market value thereof (as determined in good faith by the Borrower) and (ii) no less than 75% thereof shall be paid in cash;</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(g)transfers of condemned property as a result of the exercise of “eminent domain” or other similar policies to the respective Governmental Authority or agency that has condemned the same (whether by deed in lieu of condemnation or otherwise), and transfers of properties that have been subject to a casualty to the respective insurer of such Property as part of an insurance settlement;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(h)Dispositions of Investments in joint ventures to the extent required by, or made pursuant to, customary buy/sell arrangements between the joint venture parties set forth in joint venture agreements and similar binding agreements;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(i)to the extent constituting a Disposition, (i) Liens permitted by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and (ii) Restricted Payments permitted by </w:t>
      </w:r>
      <w:r>
        <w:rPr>
          <w:rFonts w:ascii="Times New Roman;serif" w:hAnsi="Times New Roman;serif"/>
          <w:b w:val="false"/>
          <w:color w:val="000000"/>
          <w:sz w:val="22"/>
          <w:u w:val="single"/>
        </w:rPr>
        <w:t>Section 7.06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no Dispositions may be made solely pursuant to or in reliance upon this </w:t>
      </w:r>
      <w:r>
        <w:rPr>
          <w:rFonts w:ascii="Times New Roman;serif" w:hAnsi="Times New Roman;serif"/>
          <w:b w:val="false"/>
          <w:color w:val="000000"/>
          <w:sz w:val="22"/>
          <w:u w:val="single"/>
        </w:rPr>
        <w:t>Section 7.05(i)</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(j)subject to any applicable Stock Transfer Restriction Agreements, Dispositions of the Equity Interests of any Managed Company in the ordinary course of business; and</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701675"/>
                <wp:effectExtent l="0" t="0" r="0" b="0"/>
                <wp:wrapNone/>
                <wp:docPr id="262" name="Frame26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(k)other Dispositions so long as (i) at the time of such Disposition, no Event of Default shall exist or shall result therefrom, (ii) at least 75% of the consideration paid in connection therewith shall be cash or Cash Equivalents and such consideration shall be in an amount not less than the fair market value of the property disposed of, and (iii) such transaction does not involve the sale or other disposition of any Equity Interests in any Subsidiary that is a Loan Party and (iv) all of the assets sold or otherwise disposed of in all such transactions in any fiscal year of the Borrower shall not exceed $25,000,000 in the aggregate. </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To the extent any Collateral is Disposed of as expressly permitted by this Section 7.05 to any Person that is not a Loan Party, such Collateral shall be sold free and clear of the Liens created by the Loan Documents.</w:t>
      </w:r>
    </w:p>
    <w:p>
      <w:pPr>
        <w:pStyle w:val="TextBody"/>
        <w:bidi w:val="0"/>
        <w:spacing w:lineRule="auto" w:line="240" w:before="0" w:after="240"/>
        <w:ind w:left="0" w:right="0" w:firstLine="720"/>
        <w:jc w:val="both"/>
        <w:rPr/>
      </w:pPr>
      <w:r>
        <w:rPr>
          <w:rFonts w:ascii="Times New Roman;serif" w:hAnsi="Times New Roman;serif"/>
          <w:b/>
          <w:color w:val="000000"/>
          <w:sz w:val="22"/>
        </w:rPr>
        <w:t>7.06</w:t>
      </w:r>
      <w:r>
        <w:rPr>
          <w:rFonts w:ascii="Times New Roman;serif" w:hAnsi="Times New Roman;serif"/>
          <w:b/>
          <w:color w:val="000000"/>
          <w:sz w:val="22"/>
          <w:u w:val="single"/>
        </w:rPr>
        <w:t>Restricted Payments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Declare or make, directly or indirectly, any Restricted Payment, or incur any obligation (contingent or otherwise) to do so, except 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(a)each Subsidiary may make Restricted Payments to any Person that owns Qualified Equity Interests in such Subsidiary, ratably according to their respective holdings of the type of Qualified Equity Interests in respect of which such Restricted Payment is being made;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(b)the Parent, each Subsidiary and any Managed Company may declare and make dividend payments or other distributions payable solely in the form of Qualified Equity Interests of such Person;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Parent or any Subsidiary may make Restricted Payments to, directly or indirectly, purchase, redeem or otherwise acquire its Equity Interests in an aggregate amount not to exceed $10,000,000 in any fiscal year so long as both before and after giving effect to such purchase, redemption or other acquisition of Equity Interests on a Pro Forma Basis, no Default or Event of Default shall have occurred and be continuing or would result therefrom;</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(d)to the extent constituting a Restricted Payment, (i) the Parent may issue Equity Interests in connection with the cashless exercise of warrants and option grants or (ii) subject to any applicable Stock Transfer Restriction Agreements, any Managed Company may Dispose of the Equity Interests of any Managed Company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(e)the Parent, each Subsidiary or any Managed Company may purchase, redeem or otherwise acquire Equity Interests issued by it with the proceeds received from the substantially concurrent issue of new common Equity Interests;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(f)so long as no Event of Default has occurred and is continuing immediately prior to, and immediately after such Restricted Payment, any Loan Party, any Subsidiary thereof or any Managed Company may make other Restricted Payments not otherwise permitted pursuant to this Section in an aggregate amount not to exceed during the term of this Agreement the greater of (i) $25,000,000 and (ii) 25% of Consolidated EBITDA for the most recently ended Measurement Period (determined in the case of each such Restricted Payment, as of the date such Restricted Payment is made);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(g)the Parent or any Subsidiary may purchase, repurchase, redeem, retire or otherwise acquire Equity Interests issued by it in connection with (i) the exercise of stock options, stock appreciation rights, restricted stock units or other equity-based awards if the Equity Interests represent a portion of the exercise price thereof, (ii) the withholding of a portion of Equity Interests granted or issued to current or former officers, directors, employees, consultants, independent contractors and other participants under any equity compensation program or other management or employee benefit plan of the Parent, any of its Subsidiaries, in each case to cover tax and social security obligations of such grant, issuance, exercise or vesting, (iii) the payment of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701675"/>
                <wp:effectExtent l="0" t="0" r="0" b="0"/>
                <wp:wrapNone/>
                <wp:docPr id="263" name="Frame26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any purchase price or exercise price in respect of any equity award by delivery of previously owned Equity Interests, (iv) any required repurchases of Equity Interests held by current or former officers, directors, employees, consultants or independent contractors (or their estates, spouses or former spouses) pursuant to any stock option plan, stock ownership plan, shareholders agreement or similar agreement, (v) the settlement, cashless exercise or net settlement of any equity award and (vi) the forfeiture of unvested equity awards or the cancellation of equity awards upon termination of employment or service;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(h)the Parent may make (and the Borrower may make to enable the Parent to do the same) any payments and/or deliveries required or contemplated by the terms of, and otherwise perform its obligations under, any Permitted Convertible Indebtedness (including, without limitation, making payments of interest and principal thereon, making payments due upon redemption or required repurchase thereof and/or making payments and deliveries due upon conversion thereof) to the extent such payments are permitted by </w:t>
      </w:r>
      <w:r>
        <w:rPr>
          <w:rFonts w:ascii="Times New Roman;serif" w:hAnsi="Times New Roman;serif"/>
          <w:b w:val="false"/>
          <w:color w:val="000000"/>
          <w:sz w:val="22"/>
          <w:u w:val="single"/>
        </w:rPr>
        <w:t>Section 7.14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(i)the Parent may pay (and the Borrower may pay to enable the Parent to do the same) the premium in respect of, and otherwise perform its obligations under, any Permitted Bond Hedge Transaction so long as no Default or Event of Default shall have occurred and be continuing or would result therefrom;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(j)the Parent may make (and the Borrower may make to enable the Parent to do the same) any payments and/or deliveries contemplated or required by the terms of, and otherwise perform its obligations under, any Permitted Warrant Transaction (including, without limitation, making payments and/or deliveries due upon exercise and settlement or termination thereof, or by set-off against the concurrent settlement, unwind or other termination of all or any portion of any related Permitted Bond Hedge Transaction) so long as no Default or Event of Default shall have occurred and be continuing or would result therefrom;</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(k)the Parent may (i) to the extent constituting a Restricted Payment, effect the conversion of any Permitted Convertible Indebtedness into Equity Interests of the Parent, (ii) settle conversions of Permitted Convertible Indebtedness in accordance with the Convertible Indebtedness Documents evidencing such Permitted Convertible Indebtedness and (iii) repurchase fractional shares of any Equity Interests arising out of the conversion of the Permitted Convertible Indebtedness into any such Equity Interests;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(l)with respect to any taxable period for which Parent and/or any of its Subsidiaries are members of a consolidated, combined, affiliated, unitary or similar income tax group for U.S. federal and/or applicable state, local or non-U.S. income tax purposes of which Parent is the common parent, Restricted Payments (including, for the avoidance of doubt, through one or more Subsidiaries) to Parent in an amount not to exceed the amount of any U.S. federal, state, local and/or non-U.S. income Taxes (including franchise Taxes and other similar Taxes imposed in lieu of income Taxes) that Parent owes to the appropriate taxing authorities for such taxable period and that such payor(s) of the Restricted Payment(s) would have paid for such taxable period had such payor(s) and/or its Subsidiaries been a stand-alone corporate taxpayer or a stand-alone corporate group (to the extent such income Taxes are not directly paid by such payor(s) or its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(m)the Loan Parties or any of their Subsidiaries may make additional Restricted Payments so long as (i) no Event of Default shall have occurred and be continuing immediately prior to, and immediately after, the making of such Restricted Payment, (ii) on a Pro Forma Basis, immediately after giving effect to the making of such Restricted Payment, the Consolidated Secured Leverage Ratio shall be no greater than 1.75:1.00 as of the end of the most recently ended Measurement Period, (iii) after giving effect to the making of such Restricted Payments, the</w:t>
      </w:r>
      <w:r>
        <w:rPr>
          <w:color w:val="000000"/>
        </w:rPr>
        <w:t xml:space="preserve"> </w:t>
      </w:r>
      <w:r>
        <w:rPr>
          <w:rFonts w:ascii="Times New Roman;serif" w:hAnsi="Times New Roman;serif"/>
          <w:b w:val="false"/>
          <w:color w:val="000000"/>
          <w:sz w:val="22"/>
        </w:rPr>
        <w:t xml:space="preserve">Combined Group is in compliance with the financial covenants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 xml:space="preserve">on a Pro Forma Basis as of the end of the most recently ended Measurement Period and (iv) after giving pro forma effect to such Restricted Payment, Liquidity shall be equal to or greater than $50,000,000;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701675"/>
                <wp:effectExtent l="0" t="0" r="0" b="0"/>
                <wp:wrapNone/>
                <wp:docPr id="264" name="Frame26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(n)Parent or any of its Subsidiaries may make Restricted Payments in lieu of the issuance of fractional shares in connection with the exercise of warrants, options or other securities convertible into or exchangeable for the Equity Interests of any such Person;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(o)Restricted Payments may be made to Parent in respect of (i) general corporate operating and overhead, legal, accounting and other professional fees and expenses of Parent in the ordinary course of business and (ii) franchise and similar taxes and other fees and expenses in connection with the maintenance of Parent’s existence and Parent’s direct or indirect ownership of its Subsidiaries in an aggregate amount not to exceed $300,000 per fiscal year;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(p)To the extent constituting a Restricted Payment, Parent, any Subsidiary thereof or any Managed Company may enter into and consummate transactions permitted by (i) transactions permitted by </w:t>
      </w:r>
      <w:r>
        <w:rPr>
          <w:rFonts w:ascii="Times New Roman;serif" w:hAnsi="Times New Roman;serif"/>
          <w:b w:val="false"/>
          <w:color w:val="000000"/>
          <w:sz w:val="22"/>
          <w:u w:val="single"/>
        </w:rPr>
        <w:t>Section 7.04</w:t>
      </w:r>
      <w:r>
        <w:rPr>
          <w:rFonts w:ascii="Times New Roman;serif" w:hAnsi="Times New Roman;serif"/>
          <w:b w:val="false"/>
          <w:color w:val="000000"/>
          <w:sz w:val="22"/>
        </w:rPr>
        <w:t xml:space="preserve">, (ii) Dispositions permitted by </w:t>
      </w:r>
      <w:r>
        <w:rPr>
          <w:rFonts w:ascii="Times New Roman;serif" w:hAnsi="Times New Roman;serif"/>
          <w:b w:val="false"/>
          <w:color w:val="000000"/>
          <w:sz w:val="22"/>
          <w:u w:val="single"/>
        </w:rPr>
        <w:t>Section 7.05</w:t>
      </w:r>
      <w:r>
        <w:rPr>
          <w:rFonts w:ascii="Times New Roman;serif" w:hAnsi="Times New Roman;serif"/>
          <w:b w:val="false"/>
          <w:color w:val="000000"/>
          <w:sz w:val="22"/>
        </w:rPr>
        <w:t xml:space="preserve">, (iii) transactions permitted by </w:t>
      </w:r>
      <w:r>
        <w:rPr>
          <w:rFonts w:ascii="Times New Roman;serif" w:hAnsi="Times New Roman;serif"/>
          <w:b w:val="false"/>
          <w:color w:val="000000"/>
          <w:sz w:val="22"/>
          <w:u w:val="single"/>
        </w:rPr>
        <w:t>Section 7.08</w:t>
      </w:r>
      <w:r>
        <w:rPr>
          <w:color w:val="000000"/>
        </w:rPr>
        <w:t xml:space="preserve"> </w:t>
      </w:r>
      <w:r>
        <w:rPr>
          <w:rFonts w:ascii="Times New Roman;serif" w:hAnsi="Times New Roman;serif"/>
          <w:b w:val="false"/>
          <w:color w:val="000000"/>
          <w:sz w:val="22"/>
        </w:rPr>
        <w:t xml:space="preserve">and (iv) Restricted Payments constituting payments in respect of permitted earn-outs; provided, that no Restricted Payment may be made solely pursuant to or in reliance upon this </w:t>
      </w:r>
      <w:r>
        <w:rPr>
          <w:rFonts w:ascii="Times New Roman;serif" w:hAnsi="Times New Roman;serif"/>
          <w:b w:val="false"/>
          <w:color w:val="000000"/>
          <w:sz w:val="22"/>
          <w:u w:val="single"/>
        </w:rPr>
        <w:t>Section 7.06(p)</w:t>
      </w:r>
      <w:r>
        <w:rPr>
          <w:rFonts w:ascii="Times New Roman;serif" w:hAnsi="Times New Roman;serif"/>
          <w:b w:val="false"/>
          <w:color w:val="000000"/>
          <w:sz w:val="22"/>
        </w:rPr>
        <w: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(q)Managed Companies may pay management fees under the Management Services Agreements.</w:t>
      </w:r>
    </w:p>
    <w:p>
      <w:pPr>
        <w:pStyle w:val="TextBody"/>
        <w:bidi w:val="0"/>
        <w:spacing w:lineRule="auto" w:line="240" w:before="0" w:after="240"/>
        <w:ind w:left="0" w:right="0" w:firstLine="720"/>
        <w:jc w:val="both"/>
        <w:rPr/>
      </w:pPr>
      <w:r>
        <w:rPr>
          <w:rFonts w:ascii="Times New Roman;serif" w:hAnsi="Times New Roman;serif"/>
          <w:b/>
          <w:color w:val="000000"/>
          <w:sz w:val="22"/>
        </w:rPr>
        <w:t>7.07</w:t>
      </w:r>
      <w:r>
        <w:rPr>
          <w:rFonts w:ascii="Times New Roman;serif" w:hAnsi="Times New Roman;serif"/>
          <w:b/>
          <w:color w:val="000000"/>
          <w:sz w:val="22"/>
          <w:u w:val="single"/>
        </w:rPr>
        <w:t>Change in Nature of Business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(a)Engage in any material line of business substantially different from those lines of business conducted by the Loan Parties, their Subsidiaries or the Managed Companies, as applicable, on the Closing Date or any business substantially related, complementary or incidental thereto or a reasonable extension, development or expansion thereof.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(b)With respect to Intermediate Holdings and Holdings,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(i)own or acquire any assets, other than (1) the Equity Interests of the Borrower (with respect to Holdings), Holdings (with respect to Intermediate Holdings), and such activities, investments and assets to the extent incidental thereto, (2) cash and Cash Equivalents, (3) agreements relating to the issuance, sale, purchase, repurchase or registration of securities of such Person, (4) minute books and other corporate books and records of such Person and (5) other miscellaneous non-material assets;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(ii)have any liabilities, other than (1) liabilities under the Loan Documents, (2) tax liabilities in the ordinary course of business, (3) corporate, administrative and operating expenses in the ordinary course of business, (4) Indebtedness permitted under </w:t>
      </w:r>
      <w:r>
        <w:rPr>
          <w:rFonts w:ascii="Times New Roman;serif" w:hAnsi="Times New Roman;serif"/>
          <w:b w:val="false"/>
          <w:color w:val="000000"/>
          <w:sz w:val="22"/>
          <w:u w:val="single"/>
        </w:rPr>
        <w:t>Section 7.02</w:t>
      </w:r>
      <w:r>
        <w:rPr>
          <w:rFonts w:ascii="Times New Roman;serif" w:hAnsi="Times New Roman;serif"/>
          <w:b w:val="false"/>
          <w:color w:val="000000"/>
          <w:sz w:val="22"/>
        </w:rPr>
        <w:t>, (5) obligations with respect to its Equity Interests, (6) non-consensual obligations imposed by operation of law, and (7) liabilities under any contracts or agreements described in (b)(i)(3) above;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(iii)engage in any trade or business, other than (1) issuing shares of its own Equity Interests, (2) owning the Equity Interests of the Borrower (with respect to Holdings) or Holdings (with respect to Intermediate Holdings), and activities incidental thereto, (3) owning the assets and incurring the liabilities described in this </w:t>
      </w:r>
      <w:r>
        <w:rPr>
          <w:rFonts w:ascii="Times New Roman;serif" w:hAnsi="Times New Roman;serif"/>
          <w:b w:val="false"/>
          <w:color w:val="000000"/>
          <w:sz w:val="22"/>
          <w:u w:val="single"/>
        </w:rPr>
        <w:t>Section 7.07(b)</w:t>
      </w:r>
      <w:r>
        <w:rPr>
          <w:color w:val="000000"/>
        </w:rPr>
        <w:t xml:space="preserve"> </w:t>
      </w:r>
      <w:r>
        <w:rPr>
          <w:rFonts w:ascii="Times New Roman;serif" w:hAnsi="Times New Roman;serif"/>
          <w:b w:val="false"/>
          <w:color w:val="000000"/>
          <w:sz w:val="22"/>
        </w:rPr>
        <w:t xml:space="preserve">and activities incidental and related thereto (4) acting as a Guarantor, granting to Administrative Agent a Lien on such Person’s Collateral and the performance of its obligations with respect to the Loan Documents, (5) making contributions to the capital of its Subsidiaries, (6) participating in tax, accounting and other administrative matters as a member of the consolidated group of Parent and its Subsidiaries, (7) activities incidental to the maintenance of its existence and compliance with applicable laws and legal, tax and accounting matters related thereto and activities relating to its employees, and (8) making and/or receiving payments, dividends, distributions, issuances or other activities permitted pursuant to </w:t>
      </w:r>
      <w:r>
        <w:rPr>
          <w:rFonts w:ascii="Times New Roman;serif" w:hAnsi="Times New Roman;serif"/>
          <w:b w:val="false"/>
          <w:color w:val="000000"/>
          <w:sz w:val="22"/>
          <w:u w:val="single"/>
        </w:rPr>
        <w:t>Sections 7.06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7.14.</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701675"/>
                <wp:effectExtent l="0" t="0" r="0" b="0"/>
                <wp:wrapNone/>
                <wp:docPr id="265" name="Frame26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7.08</w:t>
      </w:r>
      <w:r>
        <w:rPr>
          <w:rFonts w:ascii="Times New Roman;serif" w:hAnsi="Times New Roman;serif"/>
          <w:b/>
          <w:color w:val="000000"/>
          <w:sz w:val="22"/>
          <w:u w:val="single"/>
        </w:rPr>
        <w:t>Transactions with Affiliates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Enter into or permit to exist any transaction or series of transactions with any Affiliate of such Person, unless such transaction is (i) otherwise permitted under this Agreement and (ii) upon fair and reasonable terms no less favorable to the Parent, any Subsidiary thereof or any Managed Company, as the case may be, than it would obtain in a comparable arm’s length transaction with a Person that is not an Affiliate, except that the following shall be permitted: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(a)transactions between or among (i) Loan Parties and no other Persons, (ii) Subsidiaries that are not Loan Parties and (iii) Managed Companies;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(b)Restricted Payments permitted under </w:t>
      </w:r>
      <w:r>
        <w:rPr>
          <w:rFonts w:ascii="Times New Roman;serif" w:hAnsi="Times New Roman;serif"/>
          <w:b w:val="false"/>
          <w:color w:val="000000"/>
          <w:sz w:val="22"/>
          <w:u w:val="single"/>
        </w:rPr>
        <w:t>Section 7.06</w:t>
      </w:r>
      <w:r>
        <w:rPr>
          <w:color w:val="000000"/>
        </w:rPr>
        <w:t xml:space="preserve"> </w:t>
      </w:r>
      <w:r>
        <w:rPr>
          <w:rFonts w:ascii="Times New Roman;serif" w:hAnsi="Times New Roman;serif"/>
          <w:b w:val="false"/>
          <w:color w:val="000000"/>
          <w:sz w:val="22"/>
        </w:rPr>
        <w:t xml:space="preserve">and Investments permitted under </w:t>
      </w:r>
      <w:r>
        <w:rPr>
          <w:rFonts w:ascii="Times New Roman;serif" w:hAnsi="Times New Roman;serif"/>
          <w:b w:val="false"/>
          <w:color w:val="000000"/>
          <w:sz w:val="22"/>
          <w:u w:val="single"/>
        </w:rPr>
        <w:t>Section 7.03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payment of reasonable compensation (including base salary, incentive compensation, bonuses, retention payments, transaction bonuses, change-in-control payments and deferred compensation), benefits and reimbursement of reasonable expenses to or on behalf of current or former officers, directors, employees, members of management, managers, consultants or independent contractors of the Parent, any of its Subsidiaries or any Managed Company, in each case in the ordinary course of business or pursuant to any employment, consulting or similar agreement or any compensation, benefit, incentive or similar plan;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(d)the entering into, maintenance of and performance of obligations under (i) any employment, consulting, non-competition, confidentiality, severance, retention, separation, termination, change-in-control or similar agreement or any compensatory (including profit sharing) arrangement entered into by the Parent or any of its Subsidiaries or any Managed Company with their respective current or former officers, directors, members of management, managers, employees, consultants or independent contractors, in each case as approved by the board of directors of the Parent (or a committee thereof) or as otherwise entered into in the ordinary course of business, (ii) any subscription agreement, buy-sell agreement, put/call agreement, right of first refusal or similar agreement pertaining to the purchase, repurchase, redemption or other acquisition of Equity Interests of the Parent or any Subsidiary pursuant to put/call rights or similar rights with current or former officers, directors, members of management, managers, employees, consultants or independent contractors (or their respective estates, spouses, former spouses, successors, executors, administrators, heirs, legatees or distributees) and (iii) transactions pursuant to any employee compensation, benefit plan, stock option plan, profit sharing plan, bonus plan, deferred compensation plan, supplemental retirement plan, health or welfare plan, disability plan, severance plan, retention plan, incentive plan or similar arrangement, or any health, disability or similar insurance plan which covers current or former officers, directors, members of management, managers, employees, consultants or independent contractors or any employment contract or arrangement, in each case of this clause (iii) whether maintained by the Parent, any of its Subsidiaries or any Managed Company;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(e)the payment of customary and reasonable fees, compensation (including directors' fees, committee fees and retainers), benefits, perquisites and reasonable out-of-pocket costs to, and indemnities (including advancement of expenses and director and officer insurance) provided on behalf of, directors, officers, employees, members of management, managers, consultants and independent contractors of the Parent, any of its Subsidiaries or any Managed Company, whether current, former or retired,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(f)any issuance of Equity Interests, securities or rights (including stock options, restricted stock, restricted stock units, stock appreciation rights, phantom stock, performance shares, deferred stock units, profit interests, carried interests and other equity-based or equity-linked awards) pursuant to stock options, stock ownership plans (including restricted stock plans), stock grants, directed share programs, employee stock purchase plans, 401(k) plans, deferred compensation plans and other equity-based incentive plans or similar arrangements to any current or former officer, director, employee, member of management, manager, independent contractor </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701675"/>
                <wp:effectExtent l="0" t="0" r="0" b="0"/>
                <wp:wrapNone/>
                <wp:docPr id="266" name="Frame26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or consultant of the Parent or any of its Subsidiaries approved by the board of directors of the Parent (or a committee thereof);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(g)customary transactions between the Loan Parties and the Managed Companies, in each case in the ordinary course of business consistent with past practice, to enable the Managed Companies to comply with all applicable Health Care Laws, including, without limitation, rules and regulations regarding the practice of medicine in various states, and for the payment of labor and services;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such transactions are upon fair and reasonable terms that are no less favorable to the Loan Parties than would be obtained in an arm’s length transaction with a non- Affiliated Person;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(h)transactions pursuant to agreements, instruments or arrangements in existence on the Closing Date and set forth in </w:t>
      </w:r>
      <w:r>
        <w:rPr>
          <w:rFonts w:ascii="Times New Roman;serif" w:hAnsi="Times New Roman;serif"/>
          <w:b w:val="false"/>
          <w:color w:val="000000"/>
          <w:sz w:val="22"/>
          <w:u w:val="single"/>
        </w:rPr>
        <w:t>Schedule 7.08</w:t>
      </w:r>
      <w:r>
        <w:rPr>
          <w:color w:val="000000"/>
        </w:rPr>
        <w:t xml:space="preserve"> </w:t>
      </w:r>
      <w:r>
        <w:rPr>
          <w:rFonts w:ascii="Times New Roman;serif" w:hAnsi="Times New Roman;serif"/>
          <w:b w:val="false"/>
          <w:color w:val="000000"/>
          <w:sz w:val="22"/>
        </w:rPr>
        <w:t>or any amendment thereto to the extent such an amendment is not adverse to the Lenders in any material respect;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administrative and management services provided by any Loan Party or any Subsidiary thereof to Subsidiaries (including Health Plan Subsidiaries) and Managed Companies in the ordinary course of business consistent with those provided on the Closing Date to Subsidiaries and Managed Companies and (ii) ordinary course provider agreements between or among any Health Plan Subsidiary and any Managed Company.</w:t>
      </w:r>
    </w:p>
    <w:p>
      <w:pPr>
        <w:pStyle w:val="TextBody"/>
        <w:bidi w:val="0"/>
        <w:spacing w:lineRule="auto" w:line="240" w:before="0" w:after="240"/>
        <w:ind w:left="0" w:right="0" w:firstLine="720"/>
        <w:jc w:val="both"/>
        <w:rPr/>
      </w:pPr>
      <w:r>
        <w:rPr>
          <w:rFonts w:ascii="Times New Roman;serif" w:hAnsi="Times New Roman;serif"/>
          <w:b/>
          <w:color w:val="000000"/>
          <w:sz w:val="22"/>
        </w:rPr>
        <w:t>7.09</w:t>
      </w:r>
      <w:r>
        <w:rPr>
          <w:rFonts w:ascii="Times New Roman;serif" w:hAnsi="Times New Roman;serif"/>
          <w:b/>
          <w:color w:val="000000"/>
          <w:sz w:val="22"/>
          <w:u w:val="single"/>
        </w:rPr>
        <w:t>Burdensome Agreements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Enter into, or permit to exist, any Contractual Obligation that encumbers or restricts the ability of any such Person (a) to create, incur, assume or suffer to exist any Lien upon any of its properties or revenues to secure the Secured Obligations or act as a Loan Party or (b)(i) to make Restricted Payments in respect of any Equity Interest of such Person held by, or pay any Indebtedness owed to, any Loan Party or (ii) make loans or advances to, or other Investments in any Loan Party, except for any such restrictions that: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(a)exist under this Agreement and the other Loan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(b)are restrictions on Liens in favor of any holder of Indebtedness incurred pursuant to </w:t>
      </w:r>
      <w:r>
        <w:rPr>
          <w:rFonts w:ascii="Times New Roman;serif" w:hAnsi="Times New Roman;serif"/>
          <w:b w:val="false"/>
          <w:color w:val="000000"/>
          <w:sz w:val="22"/>
          <w:u w:val="single"/>
        </w:rPr>
        <w:t>Section 7.02(c</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provided that any such restriction contained therein relates only to the asset or assets constructed, repaired, replaced, leased or acquired in connection therewith or </w:t>
      </w:r>
      <w:r>
        <w:rPr>
          <w:rFonts w:ascii="Times New Roman;serif" w:hAnsi="Times New Roman;serif"/>
          <w:b w:val="false"/>
          <w:color w:val="000000"/>
          <w:sz w:val="22"/>
          <w:u w:val="single"/>
        </w:rPr>
        <w:t>Section 7.02(f)</w:t>
      </w:r>
      <w:r>
        <w:rPr>
          <w:rFonts w:ascii="Times New Roman;serif" w:hAnsi="Times New Roman;serif"/>
          <w:b w:val="false"/>
          <w:color w:val="000000"/>
          <w:sz w:val="22"/>
        </w:rPr>
        <w:t>; provided that any such restriction contained therein relates only to the assets acquired in connection therewith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(c)are imposed by Applicable Law;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(d)are customary restrictions contained in the organizational documents of any Subsidiary that is not a Guarantor as of the Closing Date so long as such restrictions are not entered into in contemplation of this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(e)are customary restrictions in connection with any Permitted Lien or any document or instrument governing any Permitted Lien (provided that any such restriction contained therein relates only to the asset or assets subject to such Permitted Lien);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(f)are obligations that are binding on a Subsidiary or a Managed Company at the time such Subsidiary first becomes a Subsidiary of the Borrower or a Managed Company enters into a Management Services Agreement with Parent or any Subsidiary thereof, so long as such obligations are not entered into in contemplation of such Person becoming a Subsidiary or entering into such Management Services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701675"/>
                <wp:effectExtent l="0" t="0" r="0" b="0"/>
                <wp:wrapNone/>
                <wp:docPr id="267" name="Frame26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(g)are customary restrictions contained in an agreement related to a Disposition (to the extent such Disposition is permitted pursuant to </w:t>
      </w:r>
      <w:r>
        <w:rPr>
          <w:rFonts w:ascii="Times New Roman;serif" w:hAnsi="Times New Roman;serif"/>
          <w:b w:val="false"/>
          <w:color w:val="000000"/>
          <w:sz w:val="22"/>
          <w:u w:val="single"/>
        </w:rPr>
        <w:t>Section 7.05</w:t>
      </w:r>
      <w:r>
        <w:rPr>
          <w:rFonts w:ascii="Times New Roman;serif" w:hAnsi="Times New Roman;serif"/>
          <w:b w:val="false"/>
          <w:color w:val="000000"/>
          <w:sz w:val="22"/>
        </w:rPr>
        <w:t>); provided that that such restrictions and conditions apply only to the property that is the subject of such Disposition;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(h)are customary restrictions in leases, subleases, licenses and sublicenses or asset sale agreements otherwise permitted by this Agreement so long as such restrictions relate only to the assets subject thereto;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(i)are customary provisions restricting assignment or transfer of any agreement entered into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(j)are customary provisions in joint venture agreements or arrangements and other similar agreements or arrangements relating solely to such joint venture and the Equity Interests issued thereby;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(k)are restrictions and conditions contained in any Convertible Indebtedness Documents permitted under </w:t>
      </w:r>
      <w:r>
        <w:rPr>
          <w:rFonts w:ascii="Times New Roman;serif" w:hAnsi="Times New Roman;serif"/>
          <w:b w:val="false"/>
          <w:color w:val="000000"/>
          <w:sz w:val="22"/>
          <w:u w:val="single"/>
        </w:rPr>
        <w:t>Section 7.02</w:t>
      </w:r>
      <w:r>
        <w:rPr>
          <w:color w:val="000000"/>
        </w:rPr>
        <w:t xml:space="preserve"> </w:t>
      </w:r>
      <w:r>
        <w:rPr>
          <w:rFonts w:ascii="Times New Roman;serif" w:hAnsi="Times New Roman;serif"/>
          <w:b w:val="false"/>
          <w:color w:val="000000"/>
          <w:sz w:val="22"/>
        </w:rPr>
        <w:t>to the extent that such restrictions and limitations are not more restrictive, taken as a whole, than the restrictions limitations contained herein;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(l)exist on the Closing Date and are listed on </w:t>
      </w:r>
      <w:r>
        <w:rPr>
          <w:rFonts w:ascii="Times New Roman;serif" w:hAnsi="Times New Roman;serif"/>
          <w:b w:val="false"/>
          <w:color w:val="000000"/>
          <w:sz w:val="22"/>
          <w:u w:val="single"/>
        </w:rPr>
        <w:t>Schedule 7.09</w:t>
      </w:r>
      <w:r>
        <w:rPr>
          <w:color w:val="000000"/>
        </w:rPr>
        <w:t xml:space="preserve"> </w:t>
      </w:r>
      <w:r>
        <w:rPr>
          <w:rFonts w:ascii="Times New Roman;serif" w:hAnsi="Times New Roman;serif"/>
          <w:b w:val="false"/>
          <w:color w:val="000000"/>
          <w:sz w:val="22"/>
        </w:rPr>
        <w:t>hereto and to the extent such restrictions are set forth in an agreement evidencing Indebtedness, any refinancing in respect thereof, so long as such restrictions are not (taken as a whole) materially more restrictive than those in the original Indebtedness.</w:t>
      </w:r>
    </w:p>
    <w:p>
      <w:pPr>
        <w:pStyle w:val="TextBody"/>
        <w:bidi w:val="0"/>
        <w:spacing w:lineRule="auto" w:line="240" w:before="0" w:after="240"/>
        <w:ind w:left="0" w:right="0" w:firstLine="720"/>
        <w:jc w:val="both"/>
        <w:rPr/>
      </w:pPr>
      <w:r>
        <w:rPr>
          <w:rFonts w:ascii="Times New Roman;serif" w:hAnsi="Times New Roman;serif"/>
          <w:b/>
          <w:color w:val="000000"/>
          <w:sz w:val="22"/>
        </w:rPr>
        <w:t>7.10</w:t>
      </w:r>
      <w:r>
        <w:rPr>
          <w:rFonts w:ascii="Times New Roman;serif" w:hAnsi="Times New Roman;serif"/>
          <w:b/>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7.11</w:t>
      </w:r>
      <w:r>
        <w:rPr>
          <w:rFonts w:ascii="Times New Roman;serif" w:hAnsi="Times New Roman;serif"/>
          <w:b/>
          <w:color w:val="000000"/>
          <w:sz w:val="22"/>
          <w:u w:val="single"/>
        </w:rPr>
        <w:t>Financial Covenants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Minimum Consolidated EBITDA</w:t>
      </w:r>
      <w:r>
        <w:rPr>
          <w:rFonts w:ascii="Times New Roman;serif" w:hAnsi="Times New Roman;serif"/>
          <w:b w:val="false"/>
          <w:color w:val="000000"/>
          <w:sz w:val="22"/>
        </w:rPr>
        <w:t>. Permit Consolidated EBITDA of the Combined Group, for the period of four (4) consecutive fiscal quarters of the Borrower ended as of the last day of any fiscal quarter specified below to be less than the corresponding amounts set forth below:</w:t>
      </w:r>
    </w:p>
    <w:tbl>
      <w:tblPr>
        <w:tblW w:w="6838" w:type="dxa"/>
        <w:jc w:val="left"/>
        <w:tblInd w:w="0" w:type="dxa"/>
        <w:tblLayout w:type="fixed"/>
        <w:tblCellMar>
          <w:top w:w="28" w:type="dxa"/>
          <w:left w:w="28" w:type="dxa"/>
          <w:bottom w:w="28" w:type="dxa"/>
          <w:right w:w="28" w:type="dxa"/>
        </w:tblCellMar>
      </w:tblPr>
      <w:tblGrid>
        <w:gridCol w:w="1657"/>
        <w:gridCol w:w="1454"/>
        <w:gridCol w:w="1463"/>
        <w:gridCol w:w="662"/>
        <w:gridCol w:w="662"/>
        <w:gridCol w:w="940"/>
      </w:tblGrid>
      <w:tr>
        <w:trPr/>
        <w:tc>
          <w:tcPr>
            <w:tcW w:w="165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Fiscal Quarter</w:t>
            </w:r>
          </w:p>
        </w:tc>
        <w:tc>
          <w:tcPr>
            <w:tcW w:w="226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Consolidated EBITDA</w:t>
            </w:r>
          </w:p>
        </w:tc>
      </w:tr>
      <w:tr>
        <w:trPr/>
        <w:tc>
          <w:tcPr>
            <w:tcW w:w="45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2026</w:t>
            </w:r>
          </w:p>
        </w:tc>
        <w:tc>
          <w:tcPr>
            <w:tcW w:w="22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$60,000,000</w:t>
            </w:r>
          </w:p>
        </w:tc>
      </w:tr>
      <w:tr>
        <w:trPr/>
        <w:tc>
          <w:tcPr>
            <w:tcW w:w="45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2026</w:t>
            </w:r>
          </w:p>
        </w:tc>
        <w:tc>
          <w:tcPr>
            <w:tcW w:w="22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$60,000,000</w:t>
            </w:r>
          </w:p>
        </w:tc>
      </w:tr>
      <w:tr>
        <w:trPr/>
        <w:tc>
          <w:tcPr>
            <w:tcW w:w="45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2026</w:t>
            </w:r>
          </w:p>
        </w:tc>
        <w:tc>
          <w:tcPr>
            <w:tcW w:w="22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$60,000,000</w:t>
            </w:r>
          </w:p>
        </w:tc>
      </w:tr>
      <w:tr>
        <w:trPr/>
        <w:tc>
          <w:tcPr>
            <w:tcW w:w="45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2027</w:t>
            </w:r>
          </w:p>
        </w:tc>
        <w:tc>
          <w:tcPr>
            <w:tcW w:w="22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$60,000,000</w:t>
            </w:r>
          </w:p>
        </w:tc>
      </w:tr>
      <w:tr>
        <w:trPr/>
        <w:tc>
          <w:tcPr>
            <w:tcW w:w="45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2027</w:t>
            </w:r>
          </w:p>
        </w:tc>
        <w:tc>
          <w:tcPr>
            <w:tcW w:w="22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$70,000,000</w:t>
            </w:r>
          </w:p>
        </w:tc>
      </w:tr>
      <w:tr>
        <w:trPr/>
        <w:tc>
          <w:tcPr>
            <w:tcW w:w="45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2027</w:t>
            </w:r>
          </w:p>
        </w:tc>
        <w:tc>
          <w:tcPr>
            <w:tcW w:w="22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$70,000,000</w:t>
            </w:r>
          </w:p>
        </w:tc>
      </w:tr>
      <w:tr>
        <w:trPr/>
        <w:tc>
          <w:tcPr>
            <w:tcW w:w="45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2027</w:t>
            </w:r>
          </w:p>
        </w:tc>
        <w:tc>
          <w:tcPr>
            <w:tcW w:w="22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$70,000,000</w:t>
            </w:r>
          </w:p>
        </w:tc>
      </w:tr>
      <w:tr>
        <w:trPr/>
        <w:tc>
          <w:tcPr>
            <w:tcW w:w="45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2028</w:t>
            </w:r>
          </w:p>
        </w:tc>
        <w:tc>
          <w:tcPr>
            <w:tcW w:w="22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$70,000,000</w:t>
            </w:r>
          </w:p>
        </w:tc>
      </w:tr>
      <w:tr>
        <w:trPr/>
        <w:tc>
          <w:tcPr>
            <w:tcW w:w="457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2028 and each fiscal quarter thereafter</w:t>
            </w:r>
          </w:p>
        </w:tc>
        <w:tc>
          <w:tcPr>
            <w:tcW w:w="226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$80,000,000</w:t>
            </w:r>
          </w:p>
        </w:tc>
      </w:tr>
    </w:tbl>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7.12</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Consolidated Senior Secured Leverage Ratio</w:t>
      </w:r>
      <w:r>
        <w:rPr>
          <w:rFonts w:ascii="Times New Roman;serif" w:hAnsi="Times New Roman;serif"/>
          <w:b w:val="false"/>
          <w:color w:val="000000"/>
          <w:sz w:val="22"/>
        </w:rPr>
        <w:t xml:space="preserve">. Permit the Consolidated Senior Secured Leverage Ratio of the Combined Group, for the period of four (4) consecutive fiscal quarters of the Borrower ended as of the last day of any fiscal quarter (commencing with the fiscal quarter ending June 30, 2026), to be greater than 2.50 to 1.00. </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701675"/>
                <wp:effectExtent l="0" t="0" r="0" b="0"/>
                <wp:wrapNone/>
                <wp:docPr id="268" name="Frame26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7.13</w:t>
      </w:r>
      <w:r>
        <w:rPr>
          <w:rFonts w:ascii="Times New Roman;serif" w:hAnsi="Times New Roman;serif"/>
          <w:b/>
          <w:color w:val="000000"/>
          <w:sz w:val="22"/>
          <w:u w:val="single"/>
        </w:rPr>
        <w:t>Amendments of Organization Documents</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Fiscal Year</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Legal Name</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State of Formation</w:t>
      </w:r>
      <w:r>
        <w:rPr>
          <w:rFonts w:ascii="Times New Roman;serif" w:hAnsi="Times New Roman;serif"/>
          <w:b w:val="false"/>
          <w:color w:val="000000"/>
          <w:sz w:val="22"/>
          <w:u w:val="single"/>
        </w:rPr>
        <w:t xml:space="preserve">; </w:t>
      </w:r>
      <w:r>
        <w:rPr>
          <w:rFonts w:ascii="Times New Roman;serif" w:hAnsi="Times New Roman;serif"/>
          <w:b/>
          <w:color w:val="000000"/>
          <w:sz w:val="22"/>
          <w:u w:val="single"/>
        </w:rPr>
        <w:t>Form of Entity and Accounting Changes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(a)amend any of its Organization Documents in a manner materially adverse to the Administrative Agent and the Lenders;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(b)change its fiscal year, other than changing the fiscal year of a Subsidiary or Managed Company acquired to conform its fiscal year to that of Parent;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(c)change its name, state of formation, form of organization or chief executive office without providing a written notice informing the Administrative Agent thereof, within ten (10) days following such event (or such extended period of time as agreed to by the Administrative Agent);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(d)make any material change in accounting treatment or reporting practices, except as required or permitted by GAAP.</w:t>
      </w:r>
    </w:p>
    <w:p>
      <w:pPr>
        <w:pStyle w:val="TextBody"/>
        <w:bidi w:val="0"/>
        <w:spacing w:lineRule="auto" w:line="240" w:before="0" w:after="240"/>
        <w:ind w:left="0" w:right="0" w:firstLine="720"/>
        <w:jc w:val="both"/>
        <w:rPr/>
      </w:pPr>
      <w:r>
        <w:rPr>
          <w:rFonts w:ascii="Times New Roman;serif" w:hAnsi="Times New Roman;serif"/>
          <w:b/>
          <w:color w:val="000000"/>
          <w:sz w:val="22"/>
        </w:rPr>
        <w:t>7.14</w:t>
      </w:r>
      <w:r>
        <w:rPr>
          <w:rFonts w:ascii="Times New Roman;serif" w:hAnsi="Times New Roman;serif"/>
          <w:b/>
          <w:color w:val="000000"/>
          <w:sz w:val="22"/>
          <w:u w:val="single"/>
        </w:rPr>
        <w:t>Sale and Leaseback Transactions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Enter into any Sale and Leaseback Transaction.</w:t>
      </w:r>
    </w:p>
    <w:p>
      <w:pPr>
        <w:pStyle w:val="TextBody"/>
        <w:bidi w:val="0"/>
        <w:spacing w:lineRule="auto" w:line="240" w:before="0" w:after="240"/>
        <w:ind w:left="0" w:right="0" w:firstLine="720"/>
        <w:jc w:val="both"/>
        <w:rPr/>
      </w:pPr>
      <w:r>
        <w:rPr>
          <w:rFonts w:ascii="Times New Roman;serif" w:hAnsi="Times New Roman;serif"/>
          <w:b/>
          <w:color w:val="000000"/>
          <w:sz w:val="22"/>
        </w:rPr>
        <w:t>7.15</w:t>
      </w:r>
      <w:r>
        <w:rPr>
          <w:rFonts w:ascii="Times New Roman;serif" w:hAnsi="Times New Roman;serif"/>
          <w:b/>
          <w:color w:val="000000"/>
          <w:sz w:val="22"/>
          <w:u w:val="single"/>
        </w:rPr>
        <w:t>Prepayments, Etc. of Indebtedness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Prepay, repay, redeem, purchase, defease or otherwise satisfy prior to the scheduled maturity thereof in any manner (including by the exercise of any right of setoff) with respect to any Junior Indebtedness, or make any payment in violation of any subordination terms of any Subordinated Indebtedness (collectively, “</w:t>
      </w:r>
      <w:r>
        <w:rPr>
          <w:rFonts w:ascii="Times New Roman;serif" w:hAnsi="Times New Roman;serif"/>
          <w:b w:val="false"/>
          <w:i/>
          <w:color w:val="000000"/>
          <w:sz w:val="22"/>
          <w:u w:val="single"/>
        </w:rPr>
        <w:t>Junior Debt Payments</w:t>
      </w:r>
      <w:r>
        <w:rPr>
          <w:color w:val="000000"/>
        </w:rPr>
        <w:t>”</w:t>
      </w:r>
      <w:r>
        <w:rPr>
          <w:rFonts w:ascii="Times New Roman;serif" w:hAnsi="Times New Roman;serif"/>
          <w:b w:val="false"/>
          <w:color w:val="000000"/>
          <w:sz w:val="22"/>
        </w:rPr>
        <w:t>), except:</w:t>
      </w:r>
    </w:p>
    <w:p>
      <w:pPr>
        <w:pStyle w:val="TextBody"/>
        <w:bidi w:val="0"/>
        <w:spacing w:lineRule="auto" w:line="240" w:before="0" w:after="240"/>
        <w:ind w:left="0" w:right="0" w:firstLine="630"/>
        <w:jc w:val="both"/>
        <w:rPr/>
      </w:pPr>
      <w:r>
        <w:rPr>
          <w:rFonts w:ascii="Times New Roman;serif" w:hAnsi="Times New Roman;serif"/>
          <w:b w:val="false"/>
          <w:color w:val="000000"/>
          <w:sz w:val="22"/>
        </w:rPr>
        <w:t xml:space="preserve">(a)any Permitted Refinancing Debt in respect thereof as permitted under </w:t>
      </w:r>
      <w:r>
        <w:rPr>
          <w:rFonts w:ascii="Times New Roman;serif" w:hAnsi="Times New Roman;serif"/>
          <w:b w:val="false"/>
          <w:color w:val="000000"/>
          <w:sz w:val="22"/>
          <w:u w:val="single"/>
        </w:rPr>
        <w:t>Section 7.02</w:t>
      </w:r>
      <w:r>
        <w:rPr>
          <w:color w:val="000000"/>
        </w:rPr>
        <w:t xml:space="preserve"> </w:t>
      </w:r>
      <w:r>
        <w:rPr>
          <w:rFonts w:ascii="Times New Roman;serif" w:hAnsi="Times New Roman;serif"/>
          <w:b w:val="false"/>
          <w:color w:val="000000"/>
          <w:sz w:val="22"/>
        </w:rPr>
        <w:t>and in compliance with any subordination provisions thereof or the Subordination Agreement applicable thereto;</w:t>
      </w:r>
    </w:p>
    <w:p>
      <w:pPr>
        <w:pStyle w:val="TextBody"/>
        <w:bidi w:val="0"/>
        <w:spacing w:lineRule="auto" w:line="240" w:before="0" w:after="24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(b)the Parent may pay, as and when due and payable, interest payments required with respect to any Permitted Convertible Indebtedness;</w:t>
      </w:r>
    </w:p>
    <w:p>
      <w:pPr>
        <w:pStyle w:val="TextBody"/>
        <w:bidi w:val="0"/>
        <w:spacing w:lineRule="auto" w:line="240" w:before="0" w:after="24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(c)the Parent may repurchase, redeem or repay any Permitted Convertible Indebtedness (i) at the maturity thereof or otherwise that the Parent is permitted or required to repurchase, redeem or repay in accordance with the applicable the Convertible Indebtedness Documents evidencing such Permitted Convertible Indebtedness (including, for the avoidance of doubt, any prepayment or payment on (and as permitted or required by) such Permitted Convertible Indebtedness as a result of (x) the satisfaction of a customary conversion contingency, (y) a required repurchase under such Permitted Convertible Indebtedness upon a customary “fundamental change” or any comparable term under and as defined in any indenture governing such Permitted Convertible Indebtedness or (z) any redemption of such Permitted Convertible Indebtedness upon satisfaction of a condition related to the stock price of the Parent’s common stock) and (ii) in connection with a Permitted Convertible Note Refinancing;</w:t>
      </w:r>
    </w:p>
    <w:p>
      <w:pPr>
        <w:pStyle w:val="TextBody"/>
        <w:bidi w:val="0"/>
        <w:spacing w:lineRule="auto" w:line="240" w:before="0" w:after="240"/>
        <w:ind w:left="0" w:right="0" w:firstLine="630"/>
        <w:jc w:val="both"/>
        <w:rPr/>
      </w:pPr>
      <w:r>
        <w:rPr>
          <w:rFonts w:ascii="Times New Roman;serif" w:hAnsi="Times New Roman;serif"/>
          <w:b w:val="false"/>
          <w:color w:val="000000"/>
          <w:sz w:val="22"/>
        </w:rPr>
        <w:t xml:space="preserve">(d)as required repayments or redemptions of Indebtedness set forth in </w:t>
      </w:r>
      <w:r>
        <w:rPr>
          <w:rFonts w:ascii="Times New Roman;serif" w:hAnsi="Times New Roman;serif"/>
          <w:b w:val="false"/>
          <w:color w:val="000000"/>
          <w:sz w:val="22"/>
          <w:u w:val="single"/>
        </w:rPr>
        <w:t>Schedule 7.02</w:t>
      </w:r>
      <w:r>
        <w:rPr>
          <w:color w:val="000000"/>
        </w:rPr>
        <w:t xml:space="preserve"> </w:t>
      </w:r>
      <w:r>
        <w:rPr>
          <w:rFonts w:ascii="Times New Roman;serif" w:hAnsi="Times New Roman;serif"/>
          <w:b w:val="false"/>
          <w:color w:val="000000"/>
          <w:sz w:val="22"/>
        </w:rPr>
        <w:t>and any Permitted Refinancing Debt in respect thereof;</w:t>
      </w:r>
    </w:p>
    <w:p>
      <w:pPr>
        <w:pStyle w:val="TextBody"/>
        <w:bidi w:val="0"/>
        <w:spacing w:lineRule="auto" w:line="240" w:before="0" w:after="240"/>
        <w:ind w:left="0" w:right="0" w:firstLine="630"/>
        <w:jc w:val="both"/>
        <w:rPr/>
      </w:pPr>
      <w:r>
        <w:rPr>
          <w:rFonts w:ascii="Times New Roman;serif" w:hAnsi="Times New Roman;serif"/>
          <w:b w:val="false"/>
          <w:color w:val="000000"/>
          <w:sz w:val="22"/>
        </w:rPr>
        <w:t xml:space="preserve">(e)the Loan Parties or any Subsidiary thereof may make regularly scheduled payments in respect of any Subordinated Indebtedness (including, without limitation, earnout, seller note or similar instrument in connection with any Permitted Acquisition) so long as both before and after giving effect to such payments on a Pro Forma Basis, (i) the Combined Group shall be in compliance with the financial covenants set forth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 xml:space="preserve">and (ii) no Event of Default shall have occurred and be continuing or would result therefrom (in each case, except to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701675"/>
                <wp:effectExtent l="0" t="0" r="0" b="0"/>
                <wp:wrapNone/>
                <wp:docPr id="269" name="Frame26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extent prohibited by the subordination terms thereof or the subordination agreement applicable thereto);</w:t>
      </w:r>
    </w:p>
    <w:p>
      <w:pPr>
        <w:pStyle w:val="TextBody"/>
        <w:bidi w:val="0"/>
        <w:spacing w:lineRule="auto" w:line="240" w:before="0" w:after="24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 xml:space="preserve">(f)payments by Managed Companies under the Intercompany MSO/PC Debt; </w:t>
      </w:r>
    </w:p>
    <w:p>
      <w:pPr>
        <w:pStyle w:val="TextBody"/>
        <w:bidi w:val="0"/>
        <w:spacing w:lineRule="auto" w:line="240" w:before="0" w:after="240"/>
        <w:ind w:left="0" w:right="0" w:firstLine="630"/>
        <w:jc w:val="both"/>
        <w:rPr/>
      </w:pPr>
      <w:r>
        <w:rPr>
          <w:rFonts w:ascii="Times New Roman;serif" w:hAnsi="Times New Roman;serif"/>
          <w:b w:val="false"/>
          <w:color w:val="000000"/>
          <w:sz w:val="22"/>
        </w:rPr>
        <w:t xml:space="preserve">(g)so long as no Event of Default has occurred and is continuing immediately prior to, and immediately after such Junior Payment, Junior Debt Payments by any Loan Party, any Subsidiary thereof, or any Managed Company not otherwise permitted pursuant to this </w:t>
      </w:r>
      <w:r>
        <w:rPr>
          <w:rFonts w:ascii="Times New Roman;serif" w:hAnsi="Times New Roman;serif"/>
          <w:b w:val="false"/>
          <w:color w:val="000000"/>
          <w:sz w:val="22"/>
          <w:u w:val="single"/>
        </w:rPr>
        <w:t>Section 7.14</w:t>
      </w:r>
      <w:r>
        <w:rPr>
          <w:color w:val="000000"/>
        </w:rPr>
        <w:t xml:space="preserve"> </w:t>
      </w:r>
      <w:r>
        <w:rPr>
          <w:rFonts w:ascii="Times New Roman;serif" w:hAnsi="Times New Roman;serif"/>
          <w:b w:val="false"/>
          <w:color w:val="000000"/>
          <w:sz w:val="22"/>
        </w:rPr>
        <w:t xml:space="preserve">in an aggregate amount not to exceed during the term of this Agreement the greater of (i) $25,000,000 and (ii) 25% of Consolidated EBITDA for the most recently ended Measurement Period (determined, in the case of each such Junior Debt Payment, as of the date such Junior Debt Payment is made); </w:t>
      </w:r>
    </w:p>
    <w:p>
      <w:pPr>
        <w:pStyle w:val="TextBody"/>
        <w:bidi w:val="0"/>
        <w:spacing w:lineRule="auto" w:line="240" w:before="0" w:after="240"/>
        <w:ind w:left="0" w:right="0" w:firstLine="630"/>
        <w:jc w:val="both"/>
        <w:rPr/>
      </w:pPr>
      <w:r>
        <w:rPr>
          <w:rFonts w:ascii="Times New Roman;serif" w:hAnsi="Times New Roman;serif"/>
          <w:b w:val="false"/>
          <w:color w:val="000000"/>
          <w:sz w:val="22"/>
        </w:rPr>
        <w:t>(h)the Loan Parties or any Subsidiary thereof may make additional Junior Debt Payments so long as (i) no Event of Default shall have occurred and be continuing immediately prior to, and immediately after, the making of such Junior Debt Payment, (ii) on a Pro Forma Basis, immediately after giving effect to the making of such Junior Debt Payment, the</w:t>
      </w:r>
      <w:r>
        <w:rPr>
          <w:color w:val="000000"/>
        </w:rPr>
        <w:t xml:space="preserve"> </w:t>
      </w:r>
      <w:r>
        <w:rPr>
          <w:rFonts w:ascii="Times New Roman;serif" w:hAnsi="Times New Roman;serif"/>
          <w:b w:val="false"/>
          <w:color w:val="000000"/>
          <w:sz w:val="22"/>
        </w:rPr>
        <w:t>Consolidated Secured Leverage Ratio shall be no greater than 1.75:1.00</w:t>
      </w:r>
      <w:r>
        <w:rPr>
          <w:color w:val="000000"/>
        </w:rPr>
        <w:t xml:space="preserve"> </w:t>
      </w:r>
      <w:r>
        <w:rPr>
          <w:rFonts w:ascii="Times New Roman;serif" w:hAnsi="Times New Roman;serif"/>
          <w:b w:val="false"/>
          <w:color w:val="000000"/>
          <w:sz w:val="22"/>
        </w:rPr>
        <w:t>as of the end of the most recently ended Measurement Period, (iii) after giving effect to the making of such Junior Debt Payments, the</w:t>
      </w:r>
      <w:r>
        <w:rPr>
          <w:color w:val="000000"/>
        </w:rPr>
        <w:t xml:space="preserve"> </w:t>
      </w:r>
      <w:r>
        <w:rPr>
          <w:rFonts w:ascii="Times New Roman;serif" w:hAnsi="Times New Roman;serif"/>
          <w:b w:val="false"/>
          <w:color w:val="000000"/>
          <w:sz w:val="22"/>
        </w:rPr>
        <w:t xml:space="preserve">Combined Group is in compliance with the financial covenants in </w:t>
      </w:r>
      <w:r>
        <w:rPr>
          <w:rFonts w:ascii="Times New Roman;serif" w:hAnsi="Times New Roman;serif"/>
          <w:b w:val="false"/>
          <w:color w:val="000000"/>
          <w:sz w:val="22"/>
          <w:u w:val="single"/>
        </w:rPr>
        <w:t>Section 7.11</w:t>
      </w:r>
      <w:r>
        <w:rPr>
          <w:color w:val="000000"/>
        </w:rPr>
        <w:t xml:space="preserve"> </w:t>
      </w:r>
      <w:r>
        <w:rPr>
          <w:rFonts w:ascii="Times New Roman;serif" w:hAnsi="Times New Roman;serif"/>
          <w:b w:val="false"/>
          <w:color w:val="000000"/>
          <w:sz w:val="22"/>
        </w:rPr>
        <w:t>on a Pro Forma Basis as of the end of the most recently ended Measurement Period and (iv) after giving pro forma effect to such Junior Debt Payment, Liquidity shall be equal to or greater than $50,000,000;</w:t>
      </w:r>
    </w:p>
    <w:p>
      <w:pPr>
        <w:pStyle w:val="TextBody"/>
        <w:bidi w:val="0"/>
        <w:spacing w:lineRule="auto" w:line="240" w:before="0" w:after="24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(i)the Parent may pay (and any other Loan Party or any Subsidiary thereof may pay to enable the Parent to do the same) the premium in respect of, and otherwise perform its obligations under, any Permitted Bond Hedge Transaction so long as no Default or Event of Default shall have occurred and be continuing or would result therefrom;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(j)the Parent may make (and any other Loan Party or any Subsidiary thereof may make to enable the Parent to do the same) any payments and/or deliveries contemplated or required by the terms of, and otherwise perform its obligations under, any Permitted Warrant Transaction (including, without limitation, making payments and/or deliveries due upon exercise and settlement or termination thereof, or by set-off against the concurrent settlement, unwind or other termination of all or any portion of any related Permitted Bond Hedge Transaction) so long as no Default or Event of Default shall have occurred and be continuing or would result therefrom.</w:t>
      </w:r>
    </w:p>
    <w:p>
      <w:pPr>
        <w:pStyle w:val="TextBody"/>
        <w:bidi w:val="0"/>
        <w:spacing w:lineRule="auto" w:line="240" w:before="0" w:after="240"/>
        <w:ind w:left="0" w:right="0" w:firstLine="720"/>
        <w:jc w:val="both"/>
        <w:rPr/>
      </w:pPr>
      <w:r>
        <w:rPr>
          <w:rFonts w:ascii="Times New Roman;serif" w:hAnsi="Times New Roman;serif"/>
          <w:b/>
          <w:color w:val="000000"/>
          <w:sz w:val="22"/>
        </w:rPr>
        <w:t>7.16</w:t>
      </w:r>
      <w:r>
        <w:rPr>
          <w:rFonts w:ascii="Times New Roman;serif" w:hAnsi="Times New Roman;serif"/>
          <w:b/>
          <w:color w:val="000000"/>
          <w:sz w:val="22"/>
          <w:u w:val="single"/>
        </w:rPr>
        <w:t>Amendment, Etc. of Junior Indebtedness Documents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Amend, modify, waive or otherwise change in any manner any term or condition of any (a) Junior Indebtedness (other than Permitted Convertible Indebtedness) to the extent any such amendment, modification, waiver or change would be materially adverse to the Administrative Agent and the Lenders, or any Subordinated Indebtedness in violation of the subordination provisions of the agreement or instrument governing such Subordinated Indebtedness or (b) any Convertible Indebtedness Documents evidencing such Permitted Convertible Indebtedness if the effect of such change or amendment is to: (i) shorten the maturity date to a date prior to 91 days after the Revolving Credit Termination Date or require any payment of principal in respect thereof in any manner materially different from the repayment requirements set forth in the Convertible Indebtedness Documents evidencing such Permitted Convertible Indebtedness, (ii) add or change guaranties that are more favorable than the guaranties supporting the Obligations, (iii) add or modify representations, warranties, covenants or events of default that are more restrictive, taken as a whole, than those set forth herein (as determined by Parent in good faith) or (iv) require a security interest.</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701675"/>
                <wp:effectExtent l="0" t="0" r="0" b="0"/>
                <wp:wrapNone/>
                <wp:docPr id="270" name="Frame26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7.17</w:t>
      </w:r>
      <w:r>
        <w:rPr>
          <w:rFonts w:ascii="Times New Roman;serif" w:hAnsi="Times New Roman;serif"/>
          <w:b/>
          <w:color w:val="000000"/>
          <w:sz w:val="22"/>
          <w:u w:val="single"/>
        </w:rPr>
        <w:t>Sanctions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Directly or indirectly, use any Credit Extension or the proceeds of any Credit Extension, or lend, contribute or otherwise make available such Credit Extension or the proceeds of any Credit Extension to any Person, to fund any activities of or business with any Person, that, at the time of such funding, is (i) the target or subject of any Sanctions, (ii) included on OFAC’s List of Specially Designated Nationals or HMT’s Consolidated List of Financial Sanctions Targets, or any similar list enforced by any other relevant sanctions authority or (iii) located, organized or resident in a Designated Jurisdiction, or in any other manner that will result in a violation by any Person (including any Person participating in the transaction, whether as a Lender, an Arranger, Administrative Agent, an L/C Issuer, Swingline Lender, or otherwise) of Sanctions.</w:t>
      </w:r>
    </w:p>
    <w:p>
      <w:pPr>
        <w:pStyle w:val="TextBody"/>
        <w:bidi w:val="0"/>
        <w:spacing w:lineRule="auto" w:line="240" w:before="0" w:after="240"/>
        <w:ind w:left="0" w:right="0" w:firstLine="720"/>
        <w:jc w:val="both"/>
        <w:rPr/>
      </w:pPr>
      <w:r>
        <w:rPr>
          <w:rFonts w:ascii="Times New Roman;serif" w:hAnsi="Times New Roman;serif"/>
          <w:b/>
          <w:color w:val="000000"/>
          <w:sz w:val="22"/>
        </w:rPr>
        <w:t>7.18</w:t>
      </w:r>
      <w:r>
        <w:rPr>
          <w:rFonts w:ascii="Times New Roman;serif" w:hAnsi="Times New Roman;serif"/>
          <w:b/>
          <w:color w:val="000000"/>
          <w:sz w:val="22"/>
          <w:u w:val="single"/>
        </w:rPr>
        <w:t>Anti</w:t>
      </w:r>
      <w:r>
        <w:rPr>
          <w:rFonts w:ascii="Times New Roman;serif" w:hAnsi="Times New Roman;serif"/>
          <w:b w:val="false"/>
          <w:color w:val="000000"/>
          <w:sz w:val="22"/>
          <w:u w:val="single"/>
        </w:rPr>
        <w:t>-</w:t>
      </w:r>
      <w:r>
        <w:rPr>
          <w:rFonts w:ascii="Times New Roman;serif" w:hAnsi="Times New Roman;serif"/>
          <w:b/>
          <w:color w:val="000000"/>
          <w:sz w:val="22"/>
          <w:u w:val="single"/>
        </w:rPr>
        <w:t>Corruption Laws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Directly or indirectly, use any Credit Extension or the proceeds of any Credit Extension for any purpose which would breach the United States Foreign Corrupt Practices Act of 1977, the UK Bribery Act 2010 and other anti-corruption legislation in other jurisdictions.</w:t>
      </w:r>
    </w:p>
    <w:p>
      <w:pPr>
        <w:pStyle w:val="TextBody"/>
        <w:bidi w:val="0"/>
        <w:spacing w:lineRule="auto" w:line="240" w:before="0" w:after="240"/>
        <w:ind w:left="0" w:right="0" w:firstLine="720"/>
        <w:jc w:val="both"/>
        <w:rPr/>
      </w:pPr>
      <w:r>
        <w:rPr>
          <w:rFonts w:ascii="Times New Roman;serif" w:hAnsi="Times New Roman;serif"/>
          <w:b/>
          <w:color w:val="000000"/>
          <w:sz w:val="22"/>
        </w:rPr>
        <w:t>7.19</w:t>
      </w:r>
      <w:r>
        <w:rPr>
          <w:rFonts w:ascii="Times New Roman;serif" w:hAnsi="Times New Roman;serif"/>
          <w:b/>
          <w:color w:val="000000"/>
          <w:sz w:val="22"/>
          <w:u w:val="single"/>
        </w:rPr>
        <w:t>Outbound Investment Rules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Be or become a “covered foreign person”, as that term is defined in the Outbound Investment Rules, or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such Person were a United States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7.20</w:t>
      </w:r>
      <w:r>
        <w:rPr>
          <w:rFonts w:ascii="Times New Roman;serif" w:hAnsi="Times New Roman;serif"/>
          <w:b/>
          <w:color w:val="000000"/>
          <w:sz w:val="22"/>
          <w:u w:val="single"/>
        </w:rPr>
        <w:t>Minimum Statutory Capital</w:t>
      </w:r>
      <w:r>
        <w:rPr>
          <w:rFonts w:ascii="Times New Roman;serif" w:hAnsi="Times New Roman;serif"/>
          <w:b/>
          <w:color w:val="000000"/>
          <w:sz w:val="22"/>
        </w:rPr>
        <w:t xml:space="preserve">. </w:t>
      </w:r>
      <w:r>
        <w:rPr>
          <w:rFonts w:ascii="Times New Roman;serif" w:hAnsi="Times New Roman;serif"/>
          <w:b w:val="false"/>
          <w:color w:val="000000"/>
          <w:sz w:val="22"/>
        </w:rPr>
        <w:t>For each Regulated Insurance Subsidiary, permit its capital to be less than its Minimum Statutory Capital level as of the last day of any fiscal quarter.</w:t>
      </w:r>
    </w:p>
    <w:p>
      <w:pPr>
        <w:pStyle w:val="TextBody"/>
        <w:bidi w:val="0"/>
        <w:spacing w:lineRule="auto" w:line="240" w:before="0" w:after="240"/>
        <w:jc w:val="center"/>
        <w:rPr/>
      </w:pPr>
      <w:r>
        <w:rPr>
          <w:rFonts w:ascii="Times New Roman;serif" w:hAnsi="Times New Roman;serif"/>
          <w:b/>
          <w:color w:val="000000"/>
          <w:sz w:val="22"/>
        </w:rPr>
        <w:t>Article VIII</w:t>
      </w:r>
      <w:r>
        <w:rPr>
          <w:rFonts w:ascii="Times New Roman;serif" w:hAnsi="Times New Roman;serif"/>
          <w:b/>
          <w:color w:val="000000"/>
          <w:sz w:val="22"/>
        </w:rPr>
        <w:br/>
        <w:br/>
      </w:r>
      <w:r>
        <w:rPr>
          <w:rFonts w:ascii="Times New Roman;serif" w:hAnsi="Times New Roman;serif"/>
          <w:b/>
          <w:color w:val="000000"/>
          <w:sz w:val="22"/>
          <w:u w:val="single"/>
        </w:rPr>
        <w:t>EVENTS OF DEFAULT AND REMEDIES</w:t>
      </w:r>
    </w:p>
    <w:p>
      <w:pPr>
        <w:pStyle w:val="TextBody"/>
        <w:bidi w:val="0"/>
        <w:spacing w:lineRule="auto" w:line="240" w:before="0" w:after="240"/>
        <w:ind w:left="0" w:right="0" w:firstLine="720"/>
        <w:jc w:val="both"/>
        <w:rPr/>
      </w:pPr>
      <w:r>
        <w:rPr>
          <w:rFonts w:ascii="Times New Roman;serif" w:hAnsi="Times New Roman;serif"/>
          <w:b/>
          <w:color w:val="000000"/>
          <w:sz w:val="22"/>
        </w:rPr>
        <w:t>8.01</w:t>
      </w:r>
      <w:r>
        <w:rPr>
          <w:rFonts w:ascii="Times New Roman;serif" w:hAnsi="Times New Roman;serif"/>
          <w:b/>
          <w:color w:val="000000"/>
          <w:sz w:val="22"/>
          <w:u w:val="single"/>
        </w:rPr>
        <w:t>Events of Default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Any of the following shall constitute an event of default (each, an “</w:t>
      </w:r>
      <w:r>
        <w:rPr>
          <w:rFonts w:ascii="Times New Roman;serif" w:hAnsi="Times New Roman;serif"/>
          <w:b w:val="false"/>
          <w:i/>
          <w:color w:val="000000"/>
          <w:sz w:val="22"/>
          <w:u w:val="single"/>
        </w:rPr>
        <w:t>Event of Default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Non-Payment</w:t>
      </w:r>
      <w:r>
        <w:rPr>
          <w:rFonts w:ascii="Times New Roman;serif" w:hAnsi="Times New Roman;serif"/>
          <w:b w:val="false"/>
          <w:color w:val="000000"/>
          <w:sz w:val="22"/>
        </w:rPr>
        <w:t>. The Borrower or any other Loan Party fails to pay (i) when and as required to be paid herein, any amount of principal of any Loan or any L/C Disbursement, or (ii) within three (3) Business Days after the same becomes due, any interest on any Loan or on any L/C Disbursement, or any fee due hereunder, or (iii) within five (5) Business Days after the same becomes due, any other amount payable hereunder or under any other Loan Document;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Specific Covenants</w:t>
      </w:r>
      <w:r>
        <w:rPr>
          <w:rFonts w:ascii="Times New Roman;serif" w:hAnsi="Times New Roman;serif"/>
          <w:b w:val="false"/>
          <w:color w:val="000000"/>
          <w:sz w:val="22"/>
        </w:rPr>
        <w:t xml:space="preserve">. Any Loan Party fails to perform or observe any term, covenant or agreement contained in any of </w:t>
      </w:r>
      <w:r>
        <w:rPr>
          <w:rFonts w:ascii="Times New Roman;serif" w:hAnsi="Times New Roman;serif"/>
          <w:b w:val="false"/>
          <w:color w:val="000000"/>
          <w:sz w:val="22"/>
          <w:u w:val="single"/>
        </w:rPr>
        <w:t>Section 6.01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6.05</w:t>
      </w:r>
      <w:r>
        <w:rPr>
          <w:color w:val="000000"/>
        </w:rPr>
        <w:t xml:space="preserve"> </w:t>
      </w:r>
      <w:r>
        <w:rPr>
          <w:rFonts w:ascii="Times New Roman;serif" w:hAnsi="Times New Roman;serif"/>
          <w:b w:val="false"/>
          <w:color w:val="000000"/>
          <w:sz w:val="22"/>
        </w:rPr>
        <w:t xml:space="preserve">(as to existence of the Borrower, Parent, Holdings or Intermediate Holdings only), </w:t>
      </w:r>
      <w:r>
        <w:rPr>
          <w:rFonts w:ascii="Times New Roman;serif" w:hAnsi="Times New Roman;serif"/>
          <w:b w:val="false"/>
          <w:color w:val="000000"/>
          <w:sz w:val="22"/>
          <w:u w:val="single"/>
        </w:rPr>
        <w:t>6.10(a)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6.22</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Article VII</w:t>
      </w:r>
      <w:r>
        <w:rPr>
          <w:rFonts w:ascii="Times New Roman;serif" w:hAnsi="Times New Roman;serif"/>
          <w:b w:val="false"/>
          <w:color w:val="000000"/>
          <w:sz w:val="22"/>
        </w:rPr>
        <w: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Other Defaults</w:t>
      </w:r>
      <w:r>
        <w:rPr>
          <w:rFonts w:ascii="Times New Roman;serif" w:hAnsi="Times New Roman;serif"/>
          <w:b w:val="false"/>
          <w:color w:val="000000"/>
          <w:sz w:val="22"/>
        </w:rPr>
        <w:t xml:space="preserve">. Any Loan Party fails to perform or observe any other covenant or agreement (not specified in </w:t>
      </w:r>
      <w:r>
        <w:rPr>
          <w:rFonts w:ascii="Times New Roman;serif" w:hAnsi="Times New Roman;serif"/>
          <w:b w:val="false"/>
          <w:color w:val="000000"/>
          <w:sz w:val="22"/>
          <w:u w:val="single"/>
        </w:rPr>
        <w:t>Section 8.01(a</w:t>
      </w:r>
      <w:r>
        <w:rPr>
          <w:rFonts w:ascii="Times New Roman;serif" w:hAnsi="Times New Roman;serif"/>
          <w:b w:val="false"/>
          <w:color w:val="000000"/>
          <w:sz w:val="22"/>
        </w:rPr>
        <w:t>) 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above or Section 8.01(d) below) contained in </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701675"/>
                <wp:effectExtent l="0" t="0" r="0" b="0"/>
                <wp:wrapNone/>
                <wp:docPr id="271" name="Frame27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any Loan Document on its part to be performed or observed and such failure continues for thirty (30) days after the earliest to occur of (i) the date upon which a Responsible Officer of any Loan Party becomes aware of such default and (ii) the date upon which written notice thereof is given to the Borrower by the Administrative Agent or the Required Lenders;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Any representation, warranty, certification or statement of fact made or deemed made by or on behalf of the Borrower or any other Loan Party herein, in any other Loan Document, or in any document delivered in connection herewith or therewith shall (x) with respect to representations and warranties that contain a materiality qualification, be incorrect or misleading in any respect when made or deemed made and (y) with respect to representations and warranties that do not contain a materiality qualification, be incorrect or misleading in any material respect when made or deemed made;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Cross-Default</w:t>
      </w:r>
      <w:r>
        <w:rPr>
          <w:rFonts w:ascii="Times New Roman;serif" w:hAnsi="Times New Roman;serif"/>
          <w:b w:val="false"/>
          <w:color w:val="000000"/>
          <w:sz w:val="22"/>
        </w:rPr>
        <w:t xml:space="preserve">. (i) Any Loan Party or any Subsidiary thereof (A) fails to make any principal or interest payment when due (whether by scheduled maturity, required prepayment, acceleration, demand, or otherwise) in respect of any Indebtedness (other than Indebtedness hereunder and Indebtedness under Swap Contracts) having an aggregate principal amount (including undrawn committed or available amounts) of more than the Threshold Amount after the expiration of any applicable cure periods, or (B) fails to observe or perform any other agreement or condition relating to any such Indebtedness or contained in any instrument or agreement evidencing, securing or relating thereto, or any other event occurs, the effect of which default or other event is to cause, or to permit the holder or holders of such Indebtedness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cash collateral in respect thereof to be demanded; or (ii) 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t>
      </w:r>
      <w:r>
        <w:rPr>
          <w:rFonts w:ascii="Times New Roman;serif" w:hAnsi="Times New Roman;serif"/>
          <w:b w:val="false"/>
          <w:color w:val="000000"/>
          <w:sz w:val="22"/>
          <w:u w:val="single"/>
        </w:rPr>
        <w:t>clause (B)</w:t>
      </w:r>
      <w:r>
        <w:rPr>
          <w:color w:val="000000"/>
        </w:rPr>
        <w:t> </w:t>
      </w:r>
      <w:r>
        <w:rPr>
          <w:rFonts w:ascii="Times New Roman;serif" w:hAnsi="Times New Roman;serif"/>
          <w:b w:val="false"/>
          <w:color w:val="000000"/>
          <w:sz w:val="22"/>
        </w:rPr>
        <w:t>above shall not apply to any Permitted Convertible Indebtedness to the extent such default, event or condition consists of or occurs as a result of (w) any redemption of such Permitted Convertible Indebtedness upon satisfaction of a condition related to the stock price of the Parent’s common stock, (x) the satisfaction of a customary conversion contingency, (y) the exercise by a holder of Permitted Convertible Indebtedness of a conversion right resulting from the satisfaction of a customary conversion contingency or (z) a required repurchase under such Permitted Convertible Indebtedness upon a customary “fundamental change”;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Insolvency Proceedings, Etc</w:t>
      </w:r>
      <w:r>
        <w:rPr>
          <w:rFonts w:ascii="Times New Roman;serif" w:hAnsi="Times New Roman;serif"/>
          <w:b w:val="false"/>
          <w:color w:val="000000"/>
          <w:sz w:val="22"/>
        </w:rPr>
        <w:t>. Any Loan Party, any Subsidiary (other than Immaterial Subsidiaries) or any Material Managed Company thereof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w:t>
      </w:r>
      <w:r>
        <w:rPr>
          <w:color w:val="000000"/>
        </w:rPr>
        <w:t xml:space="preserve"> </w:t>
      </w:r>
      <w:r>
        <w:rPr>
          <w:rFonts w:ascii="Times New Roman;serif" w:hAnsi="Times New Roman;serif"/>
          <w:b w:val="false"/>
          <w:color w:val="000000"/>
          <w:sz w:val="22"/>
        </w:rPr>
        <w:t>consecutive</w:t>
      </w:r>
      <w:r>
        <w:rPr>
          <w:color w:val="000000"/>
        </w:rPr>
        <w:t xml:space="preserve"> </w:t>
      </w:r>
      <w:r>
        <w:rPr>
          <w:rFonts w:ascii="Times New Roman;serif" w:hAnsi="Times New Roman;serif"/>
          <w:b w:val="false"/>
          <w:color w:val="000000"/>
          <w:sz w:val="22"/>
        </w:rPr>
        <w:t>calendar days; or any proceeding under any Debtor Relief Law relating to any such Person or to all or any material part of its property is instituted without the consent of such Person and continues undismissed or unstayed or not fully bonded for sixty (60)</w:t>
      </w:r>
      <w:r>
        <w:rPr>
          <w:color w:val="000000"/>
        </w:rPr>
        <w:t xml:space="preserve"> </w:t>
      </w:r>
      <w:r>
        <w:rPr>
          <w:rFonts w:ascii="Times New Roman;serif" w:hAnsi="Times New Roman;serif"/>
          <w:b w:val="false"/>
          <w:color w:val="000000"/>
          <w:sz w:val="22"/>
        </w:rPr>
        <w:t>consecutive</w:t>
      </w:r>
      <w:r>
        <w:rPr>
          <w:color w:val="000000"/>
        </w:rPr>
        <w:t xml:space="preserve"> </w:t>
      </w:r>
      <w:r>
        <w:rPr>
          <w:rFonts w:ascii="Times New Roman;serif" w:hAnsi="Times New Roman;serif"/>
          <w:b w:val="false"/>
          <w:color w:val="000000"/>
          <w:sz w:val="22"/>
        </w:rPr>
        <w:t>calendar days, or an order for relief is entered in any such proceeding;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Inability to Pay Debts; Attachment</w:t>
      </w:r>
      <w:r>
        <w:rPr>
          <w:rFonts w:ascii="Times New Roman;serif" w:hAnsi="Times New Roman;serif"/>
          <w:b w:val="false"/>
          <w:color w:val="000000"/>
          <w:sz w:val="22"/>
        </w:rPr>
        <w:t xml:space="preserve">. (i) Any Loan Party, any Subsidiary (other than Immaterial Subsidiaries) or any Material Managed Company becomes unable or admits in writing its inability or fails generally to pay its debts as they become due, or (ii) any writ or warrant of attachment or execution or similar process is issued or levied against all or any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701675"/>
                <wp:effectExtent l="0" t="0" r="0" b="0"/>
                <wp:wrapNone/>
                <wp:docPr id="272" name="Frame27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material part of the property of any such Person and is not released, vacated or fully bonded within sixty (60) consecutive</w:t>
      </w:r>
      <w:r>
        <w:rPr>
          <w:color w:val="000000"/>
        </w:rPr>
        <w:t xml:space="preserve"> </w:t>
      </w:r>
      <w:r>
        <w:rPr>
          <w:rFonts w:ascii="Times New Roman;serif" w:hAnsi="Times New Roman;serif"/>
          <w:b w:val="false"/>
          <w:color w:val="000000"/>
          <w:sz w:val="22"/>
        </w:rPr>
        <w:t>days after its issue or levy;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Judgments</w:t>
      </w:r>
      <w:r>
        <w:rPr>
          <w:rFonts w:ascii="Times New Roman;serif" w:hAnsi="Times New Roman;serif"/>
          <w:b w:val="false"/>
          <w:color w:val="000000"/>
          <w:sz w:val="22"/>
        </w:rPr>
        <w:t>. There is entered against any Loan Party or any Subsidiary thereof (i) one or more final judgments or orders for the payment of money in an aggregate amount (as to all such judgments and orders) exceeding the Threshold Amount (to the extent not covered by solvent and independent third-party insurance, has been notified of the potential claim and does not dispute coverage), or (ii) any one or more non-monetary final judgments that are for injunctive relief and could reasonably be expected to have, individually or in the aggregate, a Material Adverse Effect and, in either case, (A) enforcement proceedings are commenced by any creditor upon such judgment or order, or (B) there is a period of thirty (30)</w:t>
      </w:r>
      <w:r>
        <w:rPr>
          <w:color w:val="000000"/>
        </w:rPr>
        <w:t xml:space="preserve"> </w:t>
      </w:r>
      <w:r>
        <w:rPr>
          <w:rFonts w:ascii="Times New Roman;serif" w:hAnsi="Times New Roman;serif"/>
          <w:b w:val="false"/>
          <w:color w:val="000000"/>
          <w:sz w:val="22"/>
        </w:rPr>
        <w:t>consecutive days during which a stay of enforcement of such judgment, by reason of a pending appeal or otherwise, is not in effect (or except to the extent that the terms of such judgment specifically provide for a longer payment term and such Loan Party or such Subsidiary, as applicable, timely discharges or satisfies such obligations during such specified longer term);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ERISA</w:t>
      </w:r>
      <w:r>
        <w:rPr>
          <w:rFonts w:ascii="Times New Roman;serif" w:hAnsi="Times New Roman;serif"/>
          <w:b w:val="false"/>
          <w:color w:val="000000"/>
          <w:sz w:val="22"/>
        </w:rPr>
        <w:t>. (i) An ERISA Event occurs with respect to a Pension Plan or Multiemployer Plan which has resulted or would, individually or in the aggregate, reasonably be expected to result in a Material Adverse Effect or (ii) any Loan Party or any ERISA Affiliate fails to pay when due, after the expiration of any applicable grace period, an installment payment with respect to its withdrawal liability under Section 4201 of ERISA under a Multiemployer Plan in an amount that would, individually or in the aggregate, reasonably be expected to result in a Material Adverse Effect;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Invalidity of Loan Documents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Any material provision of any material Loan Document, at any time after its execution and delivery and for any reason (other than as expressly permitted hereunder or thereunder or satisfaction in full of all Obligations arising under the Loan Documents), ceases to be in full force and effect; or any Loan Party or any Subsidiary contests in any manner the validity or enforceability of any provision of any Loan Document; or any Loan Party or any Subsidiary denies that it has any or further liability or obligation under any provision of any Loan Document, or purports to revoke, terminate or rescind any provision of any Loan Document;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Collateral Documents</w:t>
      </w:r>
      <w:r>
        <w:rPr>
          <w:rFonts w:ascii="Times New Roman;serif" w:hAnsi="Times New Roman;serif"/>
          <w:b w:val="false"/>
          <w:color w:val="000000"/>
          <w:sz w:val="22"/>
        </w:rPr>
        <w:t>. Any Collateral Document after delivery thereof pursuant to the terms of the Loan Documents shall for any reason cease to create a valid and perfected first priority Lien (subject to Permitted Liens) on a material portion of the Collateral purported to be covered thereby (in each case, for any reason other than (i) as a result of the sale or other disposition of the applicable Collateral in a transaction permitted under the Loan Documents or (ii) as a result of the Administrative Agent’s failure to maintain possession of any stock certificates or other instruments delivered to it under the Collateral Documents, or any Loan Party or Subsidiary shall assert in writing the invalidity of such Liens;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There occurs any Change of Control;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Subordination Terms</w:t>
      </w:r>
      <w:r>
        <w:rPr>
          <w:rFonts w:ascii="Times New Roman;serif" w:hAnsi="Times New Roman;serif"/>
          <w:b w:val="false"/>
          <w:color w:val="000000"/>
          <w:sz w:val="22"/>
        </w:rPr>
        <w:t>. (i) Any of the Secured Obligations for any reason shall cease to be “senior debt,” “senior indebtedness,” “designated senior debt” or “senior secured financing” (or any comparable term) under, and as defined in, the documentation governing any Subordinated Indebtedness that is subordinated (in terms of payment or lien priority) to the Secured Obligations, (ii) the subordination provisions set forth in the documentation for any Subordinated Indebtedness that is subordinated (in terms of payment or lien priority) to the Secured Obligations shall, in whole or in part, cease to be effective or cease to be legally valid, binding and enforceable against the holders of any Subordinated Indebtedness, if applicable, or (iii) any Loan Party shall contest the subordination of any Junior Indebtedness or any guarantees thereof;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u w:val="single"/>
        </w:rPr>
        <w:t>Injunctions</w:t>
      </w:r>
      <w:r>
        <w:rPr>
          <w:rFonts w:ascii="Times New Roman;serif" w:hAnsi="Times New Roman;serif"/>
          <w:b w:val="false"/>
          <w:color w:val="000000"/>
          <w:sz w:val="22"/>
        </w:rPr>
        <w:t xml:space="preserve">. Any injunction or action, including by any Governmental Authority, whether temporary or permanent, shall be rendered against Parent or any Subsidiary that prevents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701675"/>
                <wp:effectExtent l="0" t="0" r="0" b="0"/>
                <wp:wrapNone/>
                <wp:docPr id="273" name="Frame27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Parent and its Subsidiaries from operating their insurance business in California for more than 45 consecutive calendar days;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u w:val="single"/>
        </w:rPr>
        <w:t>Insurance Regulatory Matters</w:t>
      </w:r>
      <w:r>
        <w:rPr>
          <w:rFonts w:ascii="Times New Roman;serif" w:hAnsi="Times New Roman;serif"/>
          <w:b w:val="false"/>
          <w:color w:val="000000"/>
          <w:sz w:val="22"/>
        </w:rPr>
        <w:t xml:space="preserve">. Any Insurance License held by a Regulated Insurance Subsidiary, the loss of which could, individually or in the aggregate, reasonably be expected to have a Material Adverse Effect, (i) shall be revoked by a final non-appealable order by the state which shall have issued such Insurance License, or any action (whether administrative or judicial) to revoke such Insurance License shall have been commenced against such Regulated Insurance Subsidiary which shall not have been dismissed or contested in good faith within 45 days of the commencement thereof, (ii) shall be suspended by such state for a period in excess of 45 days or (iii) shall not be reissued or renewed by such state upon the expiration thereof following application for such reissuance or renewal by such Regulated Insurance Subsidiary; or </w:t>
      </w:r>
    </w:p>
    <w:p>
      <w:pPr>
        <w:pStyle w:val="TextBody"/>
        <w:bidi w:val="0"/>
        <w:spacing w:lineRule="auto" w:line="240"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u w:val="single"/>
        </w:rPr>
        <w:t>Management Services Documents</w:t>
      </w:r>
      <w:r>
        <w:rPr>
          <w:rFonts w:ascii="Times New Roman;serif" w:hAnsi="Times New Roman;serif"/>
          <w:b w:val="false"/>
          <w:color w:val="000000"/>
          <w:sz w:val="22"/>
        </w:rPr>
        <w:t>. Any of the Management Services Documents shall fail for any reason to be in full force and effect, or any Loan Party is in default in any material respect with any terms or conditions of such Management Services Documents beyond the applicable grace period, but only to the extent any such failure or default could, individually or in the aggregate, reasonably be expected to have a Material Adverse Effect;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u w:val="single"/>
        </w:rPr>
        <w:t>Healthcare Matters</w:t>
      </w:r>
      <w:r>
        <w:rPr>
          <w:rFonts w:ascii="Times New Roman;serif" w:hAnsi="Times New Roman;serif"/>
          <w:b w:val="false"/>
          <w:color w:val="000000"/>
          <w:sz w:val="22"/>
        </w:rPr>
        <w:t>. The occurrence of any of the following, in each case to the extent that such event could reasonably be expected to have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(i)the loss or revocation of any material Health Care Permits held by any Loan Party or a Health Plan Subsidiary necessary for the conduct of business;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(ii)any Governmental Authority or Government Reimbursement Program determines that any Loan Party or any Subsidiary has violated any Health Care Laws, which violation results in, or could reasonably be expected to result in, sanctions, penalties, recoupments, exclusion, suspension, or other enforcement action;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(iii)with respect to any Health Plan Subsidiary, (A) CMS’ termination of a CMS Agreement, or (B) imposition by CMS of an intermediate sanction that restricts enrollment in a Health Plan Subsidiary’s Medicare Advantage or Part D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Without limiting the provisions of </w:t>
      </w:r>
      <w:r>
        <w:rPr>
          <w:rFonts w:ascii="Times New Roman;serif" w:hAnsi="Times New Roman;serif"/>
          <w:b w:val="false"/>
          <w:color w:val="000000"/>
          <w:sz w:val="22"/>
          <w:u w:val="single"/>
        </w:rPr>
        <w:t>Article IX</w:t>
      </w:r>
      <w:r>
        <w:rPr>
          <w:rFonts w:ascii="Times New Roman;serif" w:hAnsi="Times New Roman;serif"/>
          <w:b w:val="false"/>
          <w:color w:val="000000"/>
          <w:sz w:val="22"/>
        </w:rPr>
        <w:t xml:space="preserve">, if a Default shall have occurred under the Loan Documents, then such Default will continue to exist until it either is cured (to the extent specifically permitted) in accordance with the Loan Documents or is otherwise expressly waived by Administrative Agent (with the approval of requisite Appropriate Lenders (in their sole discretion)) as determined in accordance with </w:t>
      </w:r>
      <w:r>
        <w:rPr>
          <w:rFonts w:ascii="Times New Roman;serif" w:hAnsi="Times New Roman;serif"/>
          <w:b w:val="false"/>
          <w:color w:val="000000"/>
          <w:sz w:val="22"/>
          <w:u w:val="single"/>
        </w:rPr>
        <w:t>Section 11.01</w:t>
      </w:r>
      <w:r>
        <w:rPr>
          <w:rFonts w:ascii="Times New Roman;serif" w:hAnsi="Times New Roman;serif"/>
          <w:b w:val="false"/>
          <w:color w:val="000000"/>
          <w:sz w:val="22"/>
        </w:rPr>
        <w:t xml:space="preserve">; and once an Event of Default occurs under the Loan Documents, then such Event of Default will continue to exist until it is expressly waived by the requisite Appropriate Lenders or by the Administrative Agent with the approval of the requisite Appropriate Lenders, as required hereunder in </w:t>
      </w:r>
      <w:r>
        <w:rPr>
          <w:rFonts w:ascii="Times New Roman;serif" w:hAnsi="Times New Roman;serif"/>
          <w:b w:val="false"/>
          <w:color w:val="000000"/>
          <w:sz w:val="22"/>
          <w:u w:val="single"/>
        </w:rPr>
        <w:t>Section 11.01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8.02</w:t>
      </w:r>
      <w:r>
        <w:rPr>
          <w:rFonts w:ascii="Times New Roman;serif" w:hAnsi="Times New Roman;serif"/>
          <w:b/>
          <w:color w:val="000000"/>
          <w:sz w:val="22"/>
          <w:u w:val="single"/>
        </w:rPr>
        <w:t>Remedies upon Event of Default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any Event of Default occurs and is continuing, the Administrative Agent shall, at the request of, or may, with the consent of, the Required Lenders, take any or all of the following actions: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(a)declare the Commitment of each Lender to make Loans and any obligation of each L/C Issuer to make L/C Credit Extensions to be terminated, whereupon such commitments and obligation shall be terminated;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(b)declare the unpaid principal amount of all outstanding Loans, all interest accrued and unpaid thereon, and all other amounts owing or payable hereunder or under any other Loan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701675"/>
                <wp:effectExtent l="0" t="0" r="0" b="0"/>
                <wp:wrapNone/>
                <wp:docPr id="274" name="Frame27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Document to be immediately due and payable, without presentment, demand, protest or other notice of any kind, all of which are hereby expressly waived by the Loan Parties;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(c)require that the Borrower Cash Collateralize the L/C Obligations (in an amount equal to the Minimum Collateral Amount with respect thereto);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(d)exercise on behalf of itself, the Lenders and the L/C Issuers all rights and remedies available to it, the Lenders and the L/C Issuers under the Loan Documents or Applicable Law or equity;</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upon the occurrence of an event described in </w:t>
      </w:r>
      <w:r>
        <w:rPr>
          <w:rFonts w:ascii="Times New Roman;serif" w:hAnsi="Times New Roman;serif"/>
          <w:b w:val="false"/>
          <w:color w:val="000000"/>
          <w:sz w:val="22"/>
          <w:u w:val="single"/>
        </w:rPr>
        <w:t>Section 8.01(f) or (g)</w:t>
      </w:r>
      <w:r>
        <w:rPr>
          <w:color w:val="000000"/>
        </w:rPr>
        <w:t xml:space="preserve"> </w:t>
      </w:r>
      <w:r>
        <w:rPr>
          <w:rFonts w:ascii="Times New Roman;serif" w:hAnsi="Times New Roman;serif"/>
          <w:b w:val="false"/>
          <w:color w:val="000000"/>
          <w:sz w:val="22"/>
        </w:rPr>
        <w:t>with respect to the Borrower, Parent, Intermediate Holdings or Holdings, the obligation of each Lender to make Loans, the Commitments and any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contained herein or in any other Loan Document, any foreclosure on, sale, transfer or other disposition of any Collateral or any other action taken or proposed to be taken hereunder that would affect the operational, voting or other control of any Regulated Insurance Subsidiary or affect the ownership of any Regulated Insurance Subsidiary shall be pursuant to the Applicable Law and, if and to the extent required thereby, subject to the prior consent of the Applicable Insurance Regulatory Authority and any other applicable Governmental Authority. Notwithstanding anything to the contrary contained herein, no party, including the Administrative Agent and the Lenders, shall take any action pursuant hereto that would constitute or result in any assignment or transfer of control of any Regulated Insurance Subsidiary if such assignment or transfer of control would require, under then existing Law, the prior approval of the Applicable Insurance Regulatory Authority and any other applicable Governmental Authority, without first obtaining such approval of the Applicable Insurance Regulatory Authority or such other applicable Governmental Authority and notifying the Applicable Insurance Regulatory Authority or such other applicable Governmental Authority of the consummation of such assignment or transfer of control (to the extent required to do so).</w:t>
      </w:r>
    </w:p>
    <w:p>
      <w:pPr>
        <w:pStyle w:val="TextBody"/>
        <w:bidi w:val="0"/>
        <w:spacing w:lineRule="auto" w:line="240" w:before="0" w:after="240"/>
        <w:ind w:left="0" w:right="0" w:firstLine="720"/>
        <w:jc w:val="both"/>
        <w:rPr/>
      </w:pPr>
      <w:r>
        <w:rPr>
          <w:rFonts w:ascii="Times New Roman;serif" w:hAnsi="Times New Roman;serif"/>
          <w:b/>
          <w:color w:val="000000"/>
          <w:sz w:val="22"/>
        </w:rPr>
        <w:t>8.03</w:t>
      </w:r>
      <w:r>
        <w:rPr>
          <w:rFonts w:ascii="Times New Roman;serif" w:hAnsi="Times New Roman;serif"/>
          <w:b/>
          <w:color w:val="000000"/>
          <w:sz w:val="22"/>
          <w:u w:val="single"/>
        </w:rPr>
        <w:t>Application of Funds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(a)After the exercise of remedies provided for in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(or after the Loans have automatically become immediately due and payable and the L/C Obligations have automatically been required to be Cash Collateralized as set forth in the proviso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any amounts received on account of the Secured Obligations shall, subject to the provisions of </w:t>
      </w:r>
      <w:r>
        <w:rPr>
          <w:rFonts w:ascii="Times New Roman;serif" w:hAnsi="Times New Roman;serif"/>
          <w:b w:val="false"/>
          <w:color w:val="000000"/>
          <w:sz w:val="22"/>
          <w:u w:val="single"/>
        </w:rPr>
        <w:t>Sections 2.14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2.15</w:t>
      </w:r>
      <w:r>
        <w:rPr>
          <w:rFonts w:ascii="Times New Roman;serif" w:hAnsi="Times New Roman;serif"/>
          <w:b w:val="false"/>
          <w:color w:val="000000"/>
          <w:sz w:val="22"/>
        </w:rPr>
        <w:t>, be applied by the Administrative Agent in the following order:</w:t>
      </w:r>
    </w:p>
    <w:p>
      <w:pPr>
        <w:pStyle w:val="TextBody"/>
        <w:bidi w:val="0"/>
        <w:spacing w:lineRule="auto" w:line="288" w:before="0" w:after="240"/>
        <w:ind w:left="0" w:right="0" w:firstLine="720"/>
        <w:jc w:val="both"/>
        <w:rPr/>
      </w:pPr>
      <w:r>
        <w:rPr>
          <w:rFonts w:ascii="Times New Roman;serif" w:hAnsi="Times New Roman;serif"/>
          <w:b w:val="false"/>
          <w:i/>
          <w:color w:val="000000"/>
          <w:sz w:val="22"/>
          <w:u w:val="single"/>
        </w:rPr>
        <w:t>First</w:t>
      </w:r>
      <w:r>
        <w:rPr>
          <w:rFonts w:ascii="Times New Roman;serif" w:hAnsi="Times New Roman;serif"/>
          <w:b w:val="false"/>
          <w:color w:val="000000"/>
          <w:sz w:val="22"/>
        </w:rPr>
        <w:t xml:space="preserve">, to payment of that portion of the Secured Obligations constituting fees, indemnities, expenses and other amounts (including reasonable and documented fees, charges and disbursements of outside counsel to the Administrative Agent and amounts payable under </w:t>
      </w:r>
      <w:r>
        <w:rPr>
          <w:rFonts w:ascii="Times New Roman;serif" w:hAnsi="Times New Roman;serif"/>
          <w:b w:val="false"/>
          <w:color w:val="000000"/>
          <w:sz w:val="22"/>
          <w:u w:val="single"/>
        </w:rPr>
        <w:t>Article III</w:t>
      </w:r>
      <w:r>
        <w:rPr>
          <w:rFonts w:ascii="Times New Roman;serif" w:hAnsi="Times New Roman;serif"/>
          <w:b w:val="false"/>
          <w:color w:val="000000"/>
          <w:sz w:val="22"/>
        </w:rPr>
        <w:t>) payable to the Administrative Agent in its capacity as such;</w:t>
      </w:r>
    </w:p>
    <w:p>
      <w:pPr>
        <w:pStyle w:val="TextBody"/>
        <w:bidi w:val="0"/>
        <w:spacing w:lineRule="auto" w:line="288" w:before="0" w:after="240"/>
        <w:ind w:left="0" w:right="0" w:firstLine="720"/>
        <w:jc w:val="both"/>
        <w:rPr/>
      </w:pPr>
      <w:r>
        <w:rPr>
          <w:rFonts w:ascii="Times New Roman;serif" w:hAnsi="Times New Roman;serif"/>
          <w:b w:val="false"/>
          <w:i/>
          <w:color w:val="000000"/>
          <w:sz w:val="22"/>
          <w:u w:val="single"/>
        </w:rPr>
        <w:t>Second</w:t>
      </w:r>
      <w:r>
        <w:rPr>
          <w:rFonts w:ascii="Times New Roman;serif" w:hAnsi="Times New Roman;serif"/>
          <w:b w:val="false"/>
          <w:color w:val="000000"/>
          <w:sz w:val="22"/>
        </w:rPr>
        <w:t xml:space="preserve">, to payment of that portion of the Secured Obligations constituting fees, indemnities and other amounts (other than principal, interest and Letter of Credit Fees) payable to the Lenders and the L/C Issuers (including reasonable and documented fees, charges and disbursements of outside counsel to the respective Lenders and the L/C Issuers) arising under the Loan Documents and amounts payable under </w:t>
      </w:r>
      <w:r>
        <w:rPr>
          <w:rFonts w:ascii="Times New Roman;serif" w:hAnsi="Times New Roman;serif"/>
          <w:b w:val="false"/>
          <w:color w:val="000000"/>
          <w:sz w:val="22"/>
          <w:u w:val="single"/>
        </w:rPr>
        <w:t>Article III</w:t>
      </w:r>
      <w:r>
        <w:rPr>
          <w:rFonts w:ascii="Times New Roman;serif" w:hAnsi="Times New Roman;serif"/>
          <w:b w:val="false"/>
          <w:color w:val="000000"/>
          <w:sz w:val="22"/>
        </w:rPr>
        <w:t xml:space="preserve">, ratably among them in proportion to the respective amounts described in this </w:t>
      </w:r>
      <w:r>
        <w:rPr>
          <w:rFonts w:ascii="Times New Roman;serif" w:hAnsi="Times New Roman;serif"/>
          <w:b w:val="false"/>
          <w:i/>
          <w:color w:val="000000"/>
          <w:sz w:val="22"/>
          <w:u w:val="single"/>
        </w:rPr>
        <w:t>Second</w:t>
      </w:r>
      <w:r>
        <w:rPr>
          <w:color w:val="000000"/>
        </w:rPr>
        <w:t xml:space="preserve"> </w:t>
      </w:r>
      <w:r>
        <w:rPr>
          <w:rFonts w:ascii="Times New Roman;serif" w:hAnsi="Times New Roman;serif"/>
          <w:b w:val="false"/>
          <w:color w:val="000000"/>
          <w:sz w:val="22"/>
        </w:rPr>
        <w:t>clause payable to them;</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701675"/>
                <wp:effectExtent l="0" t="0" r="0" b="0"/>
                <wp:wrapNone/>
                <wp:docPr id="275" name="Frame27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i/>
          <w:color w:val="000000"/>
          <w:sz w:val="22"/>
          <w:u w:val="single"/>
        </w:rPr>
        <w:t>Third</w:t>
      </w:r>
      <w:r>
        <w:rPr>
          <w:rFonts w:ascii="Times New Roman;serif" w:hAnsi="Times New Roman;serif"/>
          <w:b w:val="false"/>
          <w:color w:val="000000"/>
          <w:sz w:val="22"/>
        </w:rPr>
        <w:t xml:space="preserve">, to payment of that portion of the Secured Obligations constituting accrued and unpaid Letter of Credit Fees and interest on the Loans, L/C Disbursements and other Secured Obligations arising under the Loan Documents, ratably among the Lenders and the L/C Issuers in proportion to the respective amounts described in this </w:t>
      </w:r>
      <w:r>
        <w:rPr>
          <w:rFonts w:ascii="Times New Roman;serif" w:hAnsi="Times New Roman;serif"/>
          <w:b w:val="false"/>
          <w:i/>
          <w:color w:val="000000"/>
          <w:sz w:val="22"/>
          <w:u w:val="single"/>
        </w:rPr>
        <w:t>Third</w:t>
      </w:r>
      <w:r>
        <w:rPr>
          <w:color w:val="000000"/>
        </w:rPr>
        <w:t xml:space="preserve"> </w:t>
      </w:r>
      <w:r>
        <w:rPr>
          <w:rFonts w:ascii="Times New Roman;serif" w:hAnsi="Times New Roman;serif"/>
          <w:b w:val="false"/>
          <w:color w:val="000000"/>
          <w:sz w:val="22"/>
        </w:rPr>
        <w:t>clause payable to them;</w:t>
      </w:r>
    </w:p>
    <w:p>
      <w:pPr>
        <w:pStyle w:val="TextBody"/>
        <w:bidi w:val="0"/>
        <w:spacing w:lineRule="auto" w:line="288" w:before="0" w:after="240"/>
        <w:ind w:left="0" w:right="0" w:firstLine="720"/>
        <w:jc w:val="both"/>
        <w:rPr/>
      </w:pPr>
      <w:r>
        <w:rPr>
          <w:rFonts w:ascii="Times New Roman;serif" w:hAnsi="Times New Roman;serif"/>
          <w:b w:val="false"/>
          <w:i/>
          <w:color w:val="000000"/>
          <w:sz w:val="22"/>
          <w:u w:val="single"/>
        </w:rPr>
        <w:t>Fourth</w:t>
      </w:r>
      <w:r>
        <w:rPr>
          <w:rFonts w:ascii="Times New Roman;serif" w:hAnsi="Times New Roman;serif"/>
          <w:b w:val="false"/>
          <w:color w:val="000000"/>
          <w:sz w:val="22"/>
        </w:rPr>
        <w:t xml:space="preserve">, to payment of that portion of the Secured Obligations constituting unpaid principal of the Loans, L/C Disbursements and Secured Obligations then owing under Secured Hedge Agreements and Secured Cash Management Agreements and to the to the Administrative Agent for the account of the applicable L/C Issuer, to Cash Collateralize that portion of L/C Obligations comprised of the aggregate undrawn amount of Letters of Credit to the extent not otherwise Cash Collateralized by the Borrower pursuant to </w:t>
      </w:r>
      <w:r>
        <w:rPr>
          <w:rFonts w:ascii="Times New Roman;serif" w:hAnsi="Times New Roman;serif"/>
          <w:b w:val="false"/>
          <w:color w:val="000000"/>
          <w:sz w:val="22"/>
          <w:u w:val="single"/>
        </w:rPr>
        <w:t>Sections 2.03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2.14</w:t>
      </w:r>
      <w:r>
        <w:rPr>
          <w:rFonts w:ascii="Times New Roman;serif" w:hAnsi="Times New Roman;serif"/>
          <w:b w:val="false"/>
          <w:color w:val="000000"/>
          <w:sz w:val="22"/>
        </w:rPr>
        <w:t xml:space="preserve">, in each case ratably among the Administrative Agent, the Lenders, the L/C Issuers, the Hedge Banks and the Cash Management Banks in proportion to the respective amounts described in this </w:t>
      </w:r>
      <w:r>
        <w:rPr>
          <w:rFonts w:ascii="Times New Roman;serif" w:hAnsi="Times New Roman;serif"/>
          <w:b w:val="false"/>
          <w:i/>
          <w:color w:val="000000"/>
          <w:sz w:val="22"/>
          <w:u w:val="single"/>
        </w:rPr>
        <w:t>Fourth</w:t>
      </w:r>
      <w:r>
        <w:rPr>
          <w:color w:val="000000"/>
        </w:rPr>
        <w:t xml:space="preserve"> </w:t>
      </w:r>
      <w:r>
        <w:rPr>
          <w:rFonts w:ascii="Times New Roman;serif" w:hAnsi="Times New Roman;serif"/>
          <w:b w:val="false"/>
          <w:color w:val="000000"/>
          <w:sz w:val="22"/>
        </w:rPr>
        <w:t>clause held by them; and</w:t>
      </w:r>
    </w:p>
    <w:p>
      <w:pPr>
        <w:pStyle w:val="TextBody"/>
        <w:bidi w:val="0"/>
        <w:spacing w:lineRule="auto" w:line="288" w:before="0" w:after="240"/>
        <w:ind w:left="0" w:right="0" w:firstLine="720"/>
        <w:jc w:val="both"/>
        <w:rPr/>
      </w:pPr>
      <w:r>
        <w:rPr>
          <w:rFonts w:ascii="Times New Roman;serif" w:hAnsi="Times New Roman;serif"/>
          <w:b w:val="false"/>
          <w:i/>
          <w:color w:val="000000"/>
          <w:sz w:val="22"/>
          <w:u w:val="single"/>
        </w:rPr>
        <w:t>Last</w:t>
      </w:r>
      <w:r>
        <w:rPr>
          <w:rFonts w:ascii="Times New Roman;serif" w:hAnsi="Times New Roman;serif"/>
          <w:b w:val="false"/>
          <w:color w:val="000000"/>
          <w:sz w:val="22"/>
        </w:rPr>
        <w:t>, the balance, if any, after payment in full in cash of all Loans and other amounts owing in respect of the Secured Obligations (other than contingent or indemnification obligations not then due), including obligations in respect of Secured Hedge Agreements and Secured Cash Management Agreements (except as to which arrangements satisfactory to the applicable Hedge Bank or Cash Management Bank, as the case may be, shall have been made), to the Borrower or as otherwise required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(b)Subject to </w:t>
      </w:r>
      <w:r>
        <w:rPr>
          <w:rFonts w:ascii="Times New Roman;serif" w:hAnsi="Times New Roman;serif"/>
          <w:b w:val="false"/>
          <w:color w:val="000000"/>
          <w:sz w:val="22"/>
          <w:u w:val="single"/>
        </w:rPr>
        <w:t>Sections 2.03(c</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2.14</w:t>
      </w:r>
      <w:r>
        <w:rPr>
          <w:rFonts w:ascii="Times New Roman;serif" w:hAnsi="Times New Roman;serif"/>
          <w:b w:val="false"/>
          <w:color w:val="000000"/>
          <w:sz w:val="22"/>
        </w:rPr>
        <w:t xml:space="preserve">, amounts used to Cash Collateralize the aggregate undrawn amount of Letters of Credit pursuant to the </w:t>
      </w:r>
      <w:r>
        <w:rPr>
          <w:rFonts w:ascii="Times New Roman;serif" w:hAnsi="Times New Roman;serif"/>
          <w:b w:val="false"/>
          <w:i/>
          <w:color w:val="000000"/>
          <w:sz w:val="22"/>
          <w:u w:val="single"/>
        </w:rPr>
        <w:t>Fourth</w:t>
      </w:r>
      <w:r>
        <w:rPr>
          <w:color w:val="000000"/>
        </w:rPr>
        <w:t xml:space="preserve"> </w:t>
      </w:r>
      <w:r>
        <w:rPr>
          <w:rFonts w:ascii="Times New Roman;serif" w:hAnsi="Times New Roman;serif"/>
          <w:b w:val="false"/>
          <w:color w:val="000000"/>
          <w:sz w:val="22"/>
        </w:rPr>
        <w:t xml:space="preserve">clause 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above in this </w:t>
      </w:r>
      <w:r>
        <w:rPr>
          <w:rFonts w:ascii="Times New Roman;serif" w:hAnsi="Times New Roman;serif"/>
          <w:b w:val="false"/>
          <w:color w:val="000000"/>
          <w:sz w:val="22"/>
          <w:u w:val="single"/>
        </w:rPr>
        <w:t>Section 8.03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(c)Notwithstanding the foregoing, Secured Obligations arising under Secured Cash Management Agreements and Secured Hedge Agreements shall be excluded from the application described above if the Administrative Agent has not received a Secured Party Designation Notice (with a copy of such written notice sent by email to secured.designationnotice@citi.com),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for itself and its Affiliates as if a “Lender” party hereto.</w:t>
      </w:r>
    </w:p>
    <w:p>
      <w:pPr>
        <w:pStyle w:val="TextBody"/>
        <w:bidi w:val="0"/>
        <w:spacing w:lineRule="auto" w:line="240" w:before="0" w:after="240"/>
        <w:jc w:val="center"/>
        <w:rPr/>
      </w:pPr>
      <w:r>
        <w:rPr>
          <w:rFonts w:ascii="Times New Roman;serif" w:hAnsi="Times New Roman;serif"/>
          <w:b/>
          <w:color w:val="000000"/>
          <w:sz w:val="22"/>
        </w:rPr>
        <w:t>Article IX</w:t>
      </w:r>
      <w:r>
        <w:rPr>
          <w:rFonts w:ascii="Times New Roman;serif" w:hAnsi="Times New Roman;serif"/>
          <w:b/>
          <w:color w:val="000000"/>
          <w:sz w:val="22"/>
        </w:rPr>
        <w:br/>
        <w:br/>
      </w:r>
      <w:r>
        <w:rPr>
          <w:rFonts w:ascii="Times New Roman;serif" w:hAnsi="Times New Roman;serif"/>
          <w:b/>
          <w:color w:val="000000"/>
          <w:sz w:val="22"/>
          <w:u w:val="single"/>
        </w:rPr>
        <w:t>ADMINISTRATIVE AGENT</w:t>
      </w:r>
    </w:p>
    <w:p>
      <w:pPr>
        <w:pStyle w:val="TextBody"/>
        <w:bidi w:val="0"/>
        <w:spacing w:lineRule="auto" w:line="240" w:before="0" w:after="240"/>
        <w:ind w:left="0" w:right="0" w:firstLine="720"/>
        <w:jc w:val="both"/>
        <w:rPr/>
      </w:pPr>
      <w:r>
        <w:rPr>
          <w:rFonts w:ascii="Times New Roman;serif" w:hAnsi="Times New Roman;serif"/>
          <w:b/>
          <w:color w:val="000000"/>
          <w:sz w:val="22"/>
        </w:rPr>
        <w:t>9.01</w:t>
      </w:r>
      <w:r>
        <w:rPr>
          <w:rFonts w:ascii="Times New Roman;serif" w:hAnsi="Times New Roman;serif"/>
          <w:b/>
          <w:color w:val="000000"/>
          <w:sz w:val="22"/>
          <w:u w:val="single"/>
        </w:rPr>
        <w:t>Appointment and Authority</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Appointment</w:t>
      </w:r>
      <w:r>
        <w:rPr>
          <w:rFonts w:ascii="Times New Roman;serif" w:hAnsi="Times New Roman;serif"/>
          <w:b w:val="false"/>
          <w:color w:val="000000"/>
          <w:sz w:val="22"/>
        </w:rPr>
        <w:t xml:space="preserve">. Each of the Lenders and the L/C Issuers hereby irrevocably appoints, designates and authorizes Citibank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701675"/>
                <wp:effectExtent l="0" t="0" r="0" b="0"/>
                <wp:wrapNone/>
                <wp:docPr id="276" name="Frame27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incidental thereto. The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are solely for the benefit of the Administrative Agent, the Lenders and the L/C Issuers,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Collateral Agent</w:t>
      </w:r>
      <w:r>
        <w:rPr>
          <w:rFonts w:ascii="Times New Roman;serif" w:hAnsi="Times New Roman;serif"/>
          <w:b w:val="false"/>
          <w:color w:val="000000"/>
          <w:sz w:val="22"/>
        </w:rPr>
        <w:t xml:space="preserve">. The Administrative Agent shall also act as the “collateral agent” under the Loan Documents, and each of the Lenders (including in its capacities as a potential Hedge Bank and a potential Cash Management Bank) and the L/C Issuers hereby irrevocably appoints and authorizes the Administrative Agent to act as the agent of such Lender and such L/C Issuer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serif" w:hAnsi="Times New Roman;serif"/>
          <w:b w:val="false"/>
          <w:color w:val="000000"/>
          <w:sz w:val="22"/>
          <w:u w:val="single"/>
        </w:rPr>
        <w:t>Section 9.05</w:t>
      </w:r>
      <w:r>
        <w:rPr>
          <w:color w:val="000000"/>
        </w:rPr>
        <w:t xml:space="preserve"> </w:t>
      </w:r>
      <w:r>
        <w:rPr>
          <w:rFonts w:ascii="Times New Roman;serif" w:hAnsi="Times New Roman;serif"/>
          <w:b w:val="false"/>
          <w:color w:val="000000"/>
          <w:sz w:val="22"/>
        </w:rPr>
        <w:t xml:space="preserve">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XI</w:t>
      </w:r>
      <w:r>
        <w:rPr>
          <w:color w:val="000000"/>
        </w:rPr>
        <w:t xml:space="preserve"> </w:t>
      </w:r>
      <w:r>
        <w:rPr>
          <w:rFonts w:ascii="Times New Roman;serif" w:hAnsi="Times New Roman;serif"/>
          <w:b w:val="false"/>
          <w:color w:val="000000"/>
          <w:sz w:val="22"/>
        </w:rPr>
        <w:t xml:space="preserve">(including </w:t>
      </w:r>
      <w:r>
        <w:rPr>
          <w:rFonts w:ascii="Times New Roman;serif" w:hAnsi="Times New Roman;serif"/>
          <w:b w:val="false"/>
          <w:color w:val="000000"/>
          <w:sz w:val="22"/>
          <w:u w:val="single"/>
        </w:rPr>
        <w:t>Section 11.04(c</w:t>
      </w:r>
      <w:r>
        <w:rPr>
          <w:rFonts w:ascii="Times New Roman;serif" w:hAnsi="Times New Roman;serif"/>
          <w:b w:val="false"/>
          <w:color w:val="000000"/>
          <w:sz w:val="22"/>
        </w:rPr>
        <w:t>), as though such co-agents, sub-agents and attorneys-in-fact were the “collateral agent” under the Loan Documents) as if set forth in full herein with respect thereto.</w:t>
      </w:r>
    </w:p>
    <w:p>
      <w:pPr>
        <w:pStyle w:val="TextBody"/>
        <w:bidi w:val="0"/>
        <w:spacing w:lineRule="auto" w:line="240" w:before="0" w:after="240"/>
        <w:ind w:left="0" w:right="0" w:firstLine="720"/>
        <w:jc w:val="both"/>
        <w:rPr/>
      </w:pPr>
      <w:r>
        <w:rPr>
          <w:rFonts w:ascii="Times New Roman;serif" w:hAnsi="Times New Roman;serif"/>
          <w:b/>
          <w:color w:val="000000"/>
          <w:sz w:val="22"/>
        </w:rPr>
        <w:t>9.02</w:t>
      </w:r>
      <w:r>
        <w:rPr>
          <w:rFonts w:ascii="Times New Roman;serif" w:hAnsi="Times New Roman;serif"/>
          <w:b/>
          <w:color w:val="000000"/>
          <w:sz w:val="22"/>
          <w:u w:val="single"/>
        </w:rPr>
        <w:t>Rights as a Lender</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pStyle w:val="TextBody"/>
        <w:bidi w:val="0"/>
        <w:spacing w:lineRule="auto" w:line="240" w:before="0" w:after="240"/>
        <w:ind w:left="0" w:right="0" w:firstLine="720"/>
        <w:jc w:val="both"/>
        <w:rPr/>
      </w:pPr>
      <w:r>
        <w:rPr>
          <w:rFonts w:ascii="Times New Roman;serif" w:hAnsi="Times New Roman;serif"/>
          <w:b/>
          <w:color w:val="000000"/>
          <w:sz w:val="22"/>
        </w:rPr>
        <w:t>9.03</w:t>
      </w:r>
      <w:r>
        <w:rPr>
          <w:rFonts w:ascii="Times New Roman;serif" w:hAnsi="Times New Roman;serif"/>
          <w:b/>
          <w:color w:val="000000"/>
          <w:sz w:val="22"/>
          <w:u w:val="single"/>
        </w:rPr>
        <w:t>Exculpatory Provisions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(a)Neither the Administrative Agent nor any Arranger, as applicable, shall have any duties or obligations except those expressly set forth herein and in the other Loan Documents, and its duties hereunder shall be administrative in nature. Without limiting the generality of the foregoing, the Administrative Agent, the Arrangers, as applicable, and their respective Related Parties: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(i)shall not be subject to any fiduciary or other implied duties, regardless of whether a Default has occurred and is continuing;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Administrative Agent shall not be required to take any action that, in its opinion or the opinion of its counsel, may expose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701675"/>
                <wp:effectExtent l="0" t="0" r="0" b="0"/>
                <wp:wrapNone/>
                <wp:docPr id="277" name="Frame27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(iii)shall not have any duty or responsibility to disclose, and shall not be liable for the failure to disclose, to any Lender or any</w:t>
      </w:r>
      <w:r>
        <w:rPr>
          <w:color w:val="000000"/>
        </w:rPr>
        <w:t xml:space="preserve"> </w:t>
      </w:r>
      <w:r>
        <w:rPr>
          <w:rFonts w:ascii="Times New Roman;serif" w:hAnsi="Times New Roman;serif"/>
          <w:b w:val="false"/>
          <w:color w:val="000000"/>
          <w:sz w:val="22"/>
        </w:rPr>
        <w:t>L/C Issuer any credit or other information concerning the business, prospects, operations, property, financial and other condition or creditworthiness of any of the Loan Parties or any of their Affiliates that is communicated to, or in the possession of, the Administrative Agent, Arrangers or any of their Related Parties in any capacity, except for notices, reports and other documents expressly required to be furnished to the Lenders by the Administrative Agent herein.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serif" w:hAnsi="Times New Roman;serif"/>
          <w:b w:val="false"/>
          <w:color w:val="000000"/>
          <w:sz w:val="22"/>
          <w:u w:val="single"/>
        </w:rPr>
        <w:t>Sections 11.01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8.02</w:t>
      </w:r>
      <w:r>
        <w:rPr>
          <w:rFonts w:ascii="Times New Roman;serif" w:hAnsi="Times New Roman;serif"/>
          <w:b w:val="false"/>
          <w:color w:val="000000"/>
          <w:sz w:val="22"/>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an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or elsewhere herein, other than to confirm receipt of items expressly required to be delivered to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(i) be obligated to ascertain, monitor or inquire as to whether any Lender or Participant or prospective Lender or Participant is a Disqualified Lenders or (ii) have any liability with respect to or arising out of any assignment or participation of Loans, or disclosure of confidential information, to any Disqualified Lenders.</w:t>
      </w:r>
    </w:p>
    <w:p>
      <w:pPr>
        <w:pStyle w:val="TextBody"/>
        <w:bidi w:val="0"/>
        <w:spacing w:lineRule="auto" w:line="240" w:before="0" w:after="240"/>
        <w:ind w:left="0" w:right="0" w:firstLine="720"/>
        <w:jc w:val="both"/>
        <w:rPr/>
      </w:pPr>
      <w:r>
        <w:rPr>
          <w:rFonts w:ascii="Times New Roman;serif" w:hAnsi="Times New Roman;serif"/>
          <w:b/>
          <w:color w:val="000000"/>
          <w:sz w:val="22"/>
        </w:rPr>
        <w:t>9.04</w:t>
      </w:r>
      <w:r>
        <w:rPr>
          <w:rFonts w:ascii="Times New Roman;serif" w:hAnsi="Times New Roman;serif"/>
          <w:b/>
          <w:color w:val="000000"/>
          <w:sz w:val="22"/>
          <w:u w:val="single"/>
        </w:rPr>
        <w:t>Reliance by Administrative Agent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an L/C </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701675"/>
                <wp:effectExtent l="0" t="0" r="0" b="0"/>
                <wp:wrapNone/>
                <wp:docPr id="278" name="Frame27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serif" w:hAnsi="Times New Roman;serif"/>
          <w:b w:val="false"/>
          <w:color w:val="000000"/>
          <w:sz w:val="22"/>
          <w:u w:val="single"/>
        </w:rPr>
        <w:t>Section 4.01</w:t>
      </w:r>
      <w:r>
        <w:rPr>
          <w:rFonts w:ascii="Times New Roman;serif" w:hAnsi="Times New Roman;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pStyle w:val="TextBody"/>
        <w:bidi w:val="0"/>
        <w:spacing w:lineRule="auto" w:line="240" w:before="0" w:after="240"/>
        <w:ind w:left="0" w:right="0" w:firstLine="720"/>
        <w:jc w:val="both"/>
        <w:rPr/>
      </w:pPr>
      <w:r>
        <w:rPr>
          <w:rFonts w:ascii="Times New Roman;serif" w:hAnsi="Times New Roman;serif"/>
          <w:b/>
          <w:color w:val="000000"/>
          <w:sz w:val="22"/>
        </w:rPr>
        <w:t>9.05</w:t>
      </w:r>
      <w:r>
        <w:rPr>
          <w:rFonts w:ascii="Times New Roman;serif" w:hAnsi="Times New Roman;serif"/>
          <w:b/>
          <w:color w:val="000000"/>
          <w:sz w:val="22"/>
          <w:u w:val="single"/>
        </w:rPr>
        <w:t>Delegation of Duties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shall apply to any such sub-agent and to the Related Parties of the Administrative Agent and any such sub-agent, and shall apply to their respective activities in connection with the syndication of the Revolving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lineRule="auto" w:line="240" w:before="0" w:after="240"/>
        <w:ind w:left="0" w:right="0" w:firstLine="720"/>
        <w:jc w:val="both"/>
        <w:rPr/>
      </w:pPr>
      <w:r>
        <w:rPr>
          <w:rFonts w:ascii="Times New Roman;serif" w:hAnsi="Times New Roman;serif"/>
          <w:b/>
          <w:color w:val="000000"/>
          <w:sz w:val="22"/>
        </w:rPr>
        <w:t>9.06</w:t>
      </w:r>
      <w:r>
        <w:rPr>
          <w:rFonts w:ascii="Times New Roman;serif" w:hAnsi="Times New Roman;serif"/>
          <w:b/>
          <w:color w:val="000000"/>
          <w:sz w:val="22"/>
          <w:u w:val="single"/>
        </w:rPr>
        <w:t>Resignation of Administrative Agent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Notice</w:t>
      </w:r>
      <w:r>
        <w:rPr>
          <w:rFonts w:ascii="Times New Roman;serif" w:hAnsi="Times New Roman;serif"/>
          <w:b w:val="false"/>
          <w:color w:val="000000"/>
          <w:sz w:val="22"/>
        </w:rPr>
        <w:t>. The Administrative Agent may at any time give notice of its resignation to the Lenders, the L/C Issuers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serif" w:hAnsi="Times New Roman;serif"/>
          <w:b w:val="false"/>
          <w:i/>
          <w:color w:val="000000"/>
          <w:sz w:val="22"/>
          <w:u w:val="single"/>
        </w:rPr>
        <w:t>Resignation Effective Date</w:t>
      </w:r>
      <w:r>
        <w:rPr>
          <w:color w:val="000000"/>
        </w:rPr>
        <w:t>”</w:t>
      </w:r>
      <w:r>
        <w:rPr>
          <w:rFonts w:ascii="Times New Roman;serif" w:hAnsi="Times New Roman;serif"/>
          <w:b w:val="false"/>
          <w:color w:val="000000"/>
          <w:sz w:val="22"/>
        </w:rPr>
        <w:t xml:space="preserve">), then the retiring Administrative Agent may (but shall not be obligated to) on behalf of the Lenders and the L/C Issuers, appoint a successor Administrative Agent meeting the qualifications set forth 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any successor Administrative Agent be a Defaulting Lender or a Disqualified Lender. Whether or not a successor has been appointed, such resignation shall become effective in accordance with such notice on the Resignation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Effect of Resignation or Removal</w:t>
      </w:r>
      <w:r>
        <w:rPr>
          <w:rFonts w:ascii="Times New Roman;serif" w:hAnsi="Times New Roman;serif"/>
          <w:b w:val="false"/>
          <w:color w:val="000000"/>
          <w:sz w:val="22"/>
        </w:rPr>
        <w:t xml:space="preserve">. With effect from the Resignation Effective Date (i) the retiring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(ii) except for any indemnity payments or other amounts then owed to the retiring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for above. Upon the acceptance of a successor’s appointment as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701675"/>
                <wp:effectExtent l="0" t="0" r="0" b="0"/>
                <wp:wrapNone/>
                <wp:docPr id="279" name="Frame27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hereunder, such successor shall succeed to and become vested with all of the rights, powers, privileges and duties of the retiring Administrative Agent (other than as provided in </w:t>
      </w:r>
      <w:r>
        <w:rPr>
          <w:rFonts w:ascii="Times New Roman;serif" w:hAnsi="Times New Roman;serif"/>
          <w:b w:val="false"/>
          <w:color w:val="000000"/>
          <w:sz w:val="22"/>
          <w:u w:val="single"/>
        </w:rPr>
        <w:t>Section 3.01(g</w:t>
      </w:r>
      <w:r>
        <w:rPr>
          <w:rFonts w:ascii="Times New Roman;serif" w:hAnsi="Times New Roman;serif"/>
          <w:b w:val="false"/>
          <w:color w:val="000000"/>
          <w:sz w:val="22"/>
        </w:rPr>
        <w:t xml:space="preserve">) and other than any rights to indemnity payments or other amounts owed to the retiring Administrative Agent as of the Resignation Effective Date), and the retiring Administrative Agent shall be discharged from all of its duties and obligations hereunder or under the other Loan Documents (if not already discharged therefrom as provided above in this </w:t>
      </w:r>
      <w:r>
        <w:rPr>
          <w:rFonts w:ascii="Times New Roman;serif" w:hAnsi="Times New Roman;serif"/>
          <w:b w:val="false"/>
          <w:color w:val="000000"/>
          <w:sz w:val="22"/>
          <w:u w:val="single"/>
        </w:rPr>
        <w:t>Section 9.06</w:t>
      </w:r>
      <w:r>
        <w:rPr>
          <w:rFonts w:ascii="Times New Roman;serif" w:hAnsi="Times New Roman;serif"/>
          <w:b w:val="false"/>
          <w:color w:val="000000"/>
          <w:sz w:val="22"/>
        </w:rPr>
        <w:t xml:space="preserve">).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11.04</w:t>
      </w:r>
      <w:r>
        <w:rPr>
          <w:color w:val="000000"/>
        </w:rPr>
        <w:t xml:space="preserve"> </w:t>
      </w:r>
      <w:r>
        <w:rPr>
          <w:rFonts w:ascii="Times New Roman;serif" w:hAnsi="Times New Roman;serif"/>
          <w:b w:val="false"/>
          <w:color w:val="000000"/>
          <w:sz w:val="22"/>
        </w:rPr>
        <w:t>shall continue in effect for the benefit of such retiring Administrative Agent, its sub-agents and their respective Related Parties in respect of any actions taken or omitted to be taken by any of them (A) while the retiring Administrative Agent was acting as Administrative Agent and (B) after such resignation or removal for as long as any of them continues to act in any capacity hereunder or under the other Loan Documents, including, without limitation, (1) acting as collateral agent or otherwise holding any collateral security on behalf of any of the Secured Parties and (2) in respect of any actions taken in connection with transferring the agency to any successor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L/C Issuers and Swingline Lender</w:t>
      </w:r>
      <w:r>
        <w:rPr>
          <w:rFonts w:ascii="Times New Roman;serif" w:hAnsi="Times New Roman;serif"/>
          <w:b w:val="false"/>
          <w:color w:val="000000"/>
          <w:sz w:val="22"/>
        </w:rPr>
        <w:t xml:space="preserve">. Any resignation or removal by Citibank as Administrative Agent pursuant to this </w:t>
      </w:r>
      <w:r>
        <w:rPr>
          <w:rFonts w:ascii="Times New Roman;serif" w:hAnsi="Times New Roman;serif"/>
          <w:b w:val="false"/>
          <w:color w:val="000000"/>
          <w:sz w:val="22"/>
          <w:u w:val="single"/>
        </w:rPr>
        <w:t>Section 9.06</w:t>
      </w:r>
      <w:r>
        <w:rPr>
          <w:color w:val="000000"/>
        </w:rPr>
        <w:t xml:space="preserve"> </w:t>
      </w:r>
      <w:r>
        <w:rPr>
          <w:rFonts w:ascii="Times New Roman;serif" w:hAnsi="Times New Roman;serif"/>
          <w:b w:val="false"/>
          <w:color w:val="000000"/>
          <w:sz w:val="22"/>
        </w:rPr>
        <w:t xml:space="preserve">shall also constitute its resignation as an L/C Issuer and Swingline Lender. If Citibank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If Citibank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serif" w:hAnsi="Times New Roman;serif"/>
          <w:b w:val="false"/>
          <w:color w:val="000000"/>
          <w:sz w:val="22"/>
          <w:u w:val="single"/>
        </w:rPr>
        <w:t>Section 2.04(c</w:t>
      </w:r>
      <w:r>
        <w:rPr>
          <w:rFonts w:ascii="Times New Roman;serif" w:hAnsi="Times New Roman;serif"/>
          <w:b w:val="false"/>
          <w:color w:val="000000"/>
          <w:sz w:val="22"/>
        </w:rPr>
        <w:t>). Upon the appointment by the Borrower of a successor L/C Issuer or Swingline Lender hereunder (which successor shall in all cases be a Lender other than a Defaulting Lender) and subject to such successor L/C Issuer’s or Swingline Lender’s consent to act in such role, (i) such successor shall succeed to and become vested with all of the rights, powers, privileges and duties of the retiring L/C Issuer or Swingline Lender, as applicable, (ii) the retiring L/C Issuer and Swingline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Citibank to effectively assume the obligations of Citibank with respect to such Letters of Credit.</w:t>
      </w:r>
    </w:p>
    <w:p>
      <w:pPr>
        <w:pStyle w:val="TextBody"/>
        <w:bidi w:val="0"/>
        <w:spacing w:lineRule="auto" w:line="240" w:before="0" w:after="240"/>
        <w:ind w:left="0" w:right="0" w:firstLine="720"/>
        <w:jc w:val="both"/>
        <w:rPr/>
      </w:pPr>
      <w:r>
        <w:rPr>
          <w:rFonts w:ascii="Times New Roman;serif" w:hAnsi="Times New Roman;serif"/>
          <w:b/>
          <w:color w:val="000000"/>
          <w:sz w:val="22"/>
        </w:rPr>
        <w:t>9.07</w:t>
      </w:r>
      <w:r>
        <w:rPr>
          <w:rFonts w:ascii="Times New Roman;serif" w:hAnsi="Times New Roman;serif"/>
          <w:b/>
          <w:color w:val="000000"/>
          <w:sz w:val="22"/>
          <w:u w:val="single"/>
        </w:rPr>
        <w:t>Non-Reliance on Administrative Agent, the Arrangers and the Other Lenders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Each Lender and each L/C Issuer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any Arranger to any Lender or any</w:t>
      </w:r>
      <w:r>
        <w:rPr>
          <w:color w:val="000000"/>
        </w:rPr>
        <w:t xml:space="preserve"> </w:t>
      </w:r>
      <w:r>
        <w:rPr>
          <w:rFonts w:ascii="Times New Roman;serif" w:hAnsi="Times New Roman;serif"/>
          <w:b w:val="false"/>
          <w:color w:val="000000"/>
          <w:sz w:val="22"/>
        </w:rPr>
        <w:t>L/C Issuer as to any matter, including whether the Administrative Agent or any Arranger have disclosed material information in their (or their Related Parties’) possession. Each Lender and each</w:t>
      </w:r>
      <w:r>
        <w:rPr>
          <w:color w:val="000000"/>
        </w:rPr>
        <w:t xml:space="preserve"> </w:t>
      </w:r>
      <w:r>
        <w:rPr>
          <w:rFonts w:ascii="Times New Roman;serif" w:hAnsi="Times New Roman;serif"/>
          <w:b w:val="false"/>
          <w:color w:val="000000"/>
          <w:sz w:val="22"/>
        </w:rPr>
        <w:t xml:space="preserve">L/C Issuer represents to the Administrative Agent and each Arranger that it has, independently and without reliance upon the Administrative Agent, any Arranger, any other Lender or any of their Related Parties and based on such documents and information as it has deemed appropriate, made its own credit analysis of, appraisal of, </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701675"/>
                <wp:effectExtent l="0" t="0" r="0" b="0"/>
                <wp:wrapNone/>
                <wp:docPr id="280" name="Frame27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L/C Issuer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w:t>
      </w:r>
      <w:r>
        <w:rPr>
          <w:color w:val="000000"/>
        </w:rPr>
        <w:t xml:space="preserve"> </w:t>
      </w:r>
      <w:r>
        <w:rPr>
          <w:rFonts w:ascii="Times New Roman;serif" w:hAnsi="Times New Roman;serif"/>
          <w:b w:val="false"/>
          <w:color w:val="000000"/>
          <w:sz w:val="22"/>
        </w:rPr>
        <w:t>L/C Issuer represents and warrants that (i) the Loan Documents set forth the terms of a commercial lending facility and (ii) it is engaged in making, acquiring or holding commercial loans in the ordinary course and is entering into this Agreement as a Lender or an L/C Issuer for the purpose of making, acquiring or holding commercial loans and providing other facilities set forth herein as may be applicable to such Lender or such L/C Issuer, and not for the purpose of purchasing, acquiring or holding any other type of financial instrument, and each Lender and each L/C Issuer agrees not to assert a claim in contravention of the foregoing. Each Lender and each</w:t>
      </w:r>
      <w:r>
        <w:rPr>
          <w:color w:val="000000"/>
        </w:rPr>
        <w:t xml:space="preserve"> </w:t>
      </w:r>
      <w:r>
        <w:rPr>
          <w:rFonts w:ascii="Times New Roman;serif" w:hAnsi="Times New Roman;serif"/>
          <w:b w:val="false"/>
          <w:color w:val="000000"/>
          <w:sz w:val="22"/>
        </w:rPr>
        <w:t>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lineRule="auto" w:line="240" w:before="0" w:after="240"/>
        <w:ind w:left="0" w:right="0" w:firstLine="720"/>
        <w:jc w:val="both"/>
        <w:rPr/>
      </w:pPr>
      <w:r>
        <w:rPr>
          <w:rFonts w:ascii="Times New Roman;serif" w:hAnsi="Times New Roman;serif"/>
          <w:b/>
          <w:color w:val="000000"/>
          <w:sz w:val="22"/>
        </w:rPr>
        <w:t>9.08</w:t>
      </w:r>
      <w:r>
        <w:rPr>
          <w:rFonts w:ascii="Times New Roman;serif" w:hAnsi="Times New Roman;serif"/>
          <w:b/>
          <w:color w:val="000000"/>
          <w:sz w:val="22"/>
          <w:u w:val="single"/>
        </w:rPr>
        <w:t>No Other Duties</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Etc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Anything herein to the contrary notwithstanding, none of the titles listed on the cover page hereof shall have any powers, duties or responsibilities under this Agreement or any of the other Loan Documents, except in its capacity, as applicable, as the Administrative Agent, an Arranger, a Lender or an L/C Issuer hereunder.</w:t>
      </w:r>
    </w:p>
    <w:p>
      <w:pPr>
        <w:pStyle w:val="TextBody"/>
        <w:bidi w:val="0"/>
        <w:spacing w:lineRule="auto" w:line="240" w:before="0" w:after="240"/>
        <w:ind w:left="0" w:right="0" w:firstLine="720"/>
        <w:jc w:val="both"/>
        <w:rPr/>
      </w:pPr>
      <w:r>
        <w:rPr>
          <w:rFonts w:ascii="Times New Roman;serif" w:hAnsi="Times New Roman;serif"/>
          <w:b/>
          <w:color w:val="000000"/>
          <w:sz w:val="22"/>
        </w:rPr>
        <w:t>9.09</w:t>
      </w:r>
      <w:r>
        <w:rPr>
          <w:rFonts w:ascii="Times New Roman;serif" w:hAnsi="Times New Roman;serif"/>
          <w:b/>
          <w:color w:val="000000"/>
          <w:sz w:val="22"/>
          <w:u w:val="single"/>
        </w:rPr>
        <w:t>Administrative Agent May File Proofs of Claim</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Credit Bidding</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serif" w:hAnsi="Times New Roman;serif"/>
          <w:b w:val="false"/>
          <w:color w:val="000000"/>
          <w:sz w:val="22"/>
          <w:u w:val="single"/>
        </w:rPr>
        <w:t>Sections 2.03(l</w:t>
      </w:r>
      <w:r>
        <w:rPr>
          <w:rFonts w:ascii="Times New Roman;serif" w:hAnsi="Times New Roman;serif"/>
          <w:b w:val="false"/>
          <w:color w:val="000000"/>
          <w:sz w:val="22"/>
        </w:rPr>
        <w:t>) and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2.09</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11.04</w:t>
      </w:r>
      <w:r>
        <w:rPr>
          <w:rFonts w:ascii="Times New Roman;serif" w:hAnsi="Times New Roman;serif"/>
          <w:b w:val="false"/>
          <w:color w:val="000000"/>
          <w:sz w:val="22"/>
        </w:rPr>
        <w:t>) allowed in such judicial proceeding;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(ii)to collect and receive any monies or other property payable or deliverable on any such claims and to distribute the same;</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701675"/>
                <wp:effectExtent l="0" t="0" r="0" b="0"/>
                <wp:wrapNone/>
                <wp:docPr id="281" name="Frame28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serif" w:hAnsi="Times New Roman;serif"/>
          <w:b w:val="false"/>
          <w:color w:val="000000"/>
          <w:sz w:val="22"/>
          <w:u w:val="single"/>
        </w:rPr>
        <w:t>Sections 2.09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11.04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(b)Nothing contained herein shall be deemed to authorize the Administrative Agent to authorize or consent to or accept or adopt on behalf of any Lender or any L/C Issuer any plan of reorganization, arrangement, adjustment or composition affecting the Secured Obligations or the rights of any Lender or any L/C Issuer to authorize the Administrative Agent to vote in respect of the claim of any Lender or any L/C Issuer in any such proceeding.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(c)The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(i) at any sale thereof conducted under the provisions of the Bankruptcy Code of the United States, including under Sections 363, 1123 or 1129 of the Bankruptcy Code of the United States, or any 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serif" w:hAnsi="Times New Roman;serif"/>
          <w:b w:val="false"/>
          <w:color w:val="000000"/>
          <w:sz w:val="22"/>
          <w:u w:val="single"/>
        </w:rPr>
        <w:t>Section 11.01</w:t>
      </w:r>
      <w:r>
        <w:rPr>
          <w:rFonts w:ascii="Times New Roman;serif" w:hAnsi="Times New Roman;serif"/>
          <w:b w:val="false"/>
          <w:color w:val="000000"/>
          <w:sz w:val="22"/>
        </w:rPr>
        <w:t>), and (C)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pro rata and the Equity Interests and/or debt instruments issued by any acquisition vehicle on account of the Secured Obligations that had been assigned to the acquisition vehicle shall automatically be cancelled, without the need for any Secured Party or any acquisition vehicle to take any further action.</w:t>
      </w:r>
    </w:p>
    <w:p>
      <w:pPr>
        <w:pStyle w:val="TextBody"/>
        <w:bidi w:val="0"/>
        <w:spacing w:lineRule="auto" w:line="240" w:before="0" w:after="240"/>
        <w:ind w:left="0" w:right="0" w:firstLine="720"/>
        <w:jc w:val="both"/>
        <w:rPr/>
      </w:pPr>
      <w:r>
        <w:rPr>
          <w:rFonts w:ascii="Times New Roman;serif" w:hAnsi="Times New Roman;serif"/>
          <w:b/>
          <w:color w:val="000000"/>
          <w:sz w:val="22"/>
        </w:rPr>
        <w:t>9.10</w:t>
      </w:r>
      <w:r>
        <w:rPr>
          <w:rFonts w:ascii="Times New Roman;serif" w:hAnsi="Times New Roman;serif"/>
          <w:b/>
          <w:color w:val="000000"/>
          <w:sz w:val="22"/>
          <w:u w:val="single"/>
        </w:rPr>
        <w:t>Collateral and Guaranty Matters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(a)Each of the Lenders (including in its capacity as a potential Cash Management Bank and a potential Hedge Bank) and each L/C Issuer irrevocably authorize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(i)to release any Lien on any property granted to or held by the Administrative Agent under any Loan Document (i) upon the Facility Termination Date, (ii) that is sold or otherwise disposed of or to be sold or otherwise disposed of as part of </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701675"/>
                <wp:effectExtent l="0" t="0" r="0" b="0"/>
                <wp:wrapNone/>
                <wp:docPr id="282" name="Frame28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or in connection with any sale or other disposition permitted hereunder or under any other Loan Document, (iii) that constitutes Excluded Property or (iv) if approved, authorized or ratified in writing by the Required Lenders in accordance with </w:t>
      </w:r>
      <w:r>
        <w:rPr>
          <w:rFonts w:ascii="Times New Roman;serif" w:hAnsi="Times New Roman;serif"/>
          <w:b w:val="false"/>
          <w:color w:val="000000"/>
          <w:sz w:val="22"/>
          <w:u w:val="single"/>
        </w:rPr>
        <w:t>Section 11.01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(ii)to subordinate any Lien on any property granted to or held by the Administrative Agent under any Loan Document to the holder of any Lien on such property that is permitted by </w:t>
      </w:r>
      <w:r>
        <w:rPr>
          <w:rFonts w:ascii="Times New Roman;serif" w:hAnsi="Times New Roman;serif"/>
          <w:b w:val="false"/>
          <w:color w:val="000000"/>
          <w:sz w:val="22"/>
          <w:u w:val="single"/>
        </w:rPr>
        <w:t>Section 7.01(i</w:t>
      </w:r>
      <w:r>
        <w:rPr>
          <w:rFonts w:ascii="Times New Roman;serif" w:hAnsi="Times New Roman;serif"/>
          <w:b w:val="false"/>
          <w:color w:val="000000"/>
          <w:sz w:val="22"/>
        </w:rPr>
        <w: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(iii)to release any Guarantor from its obligations under the Guaranty, the Security Agreement and/or any other Loan Document, including any lien granted by such Guarantor thereunder if such Person becomes (x) an Excluded Subsidiary or (y) ceases to be a Subsidiary as a result of a transaction permitted under the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serif" w:hAnsi="Times New Roman;serif"/>
          <w:b w:val="false"/>
          <w:color w:val="000000"/>
          <w:sz w:val="22"/>
          <w:u w:val="single"/>
        </w:rPr>
        <w:t>Section 9.10</w:t>
      </w:r>
      <w:r>
        <w:rPr>
          <w:rFonts w:ascii="Times New Roman;serif" w:hAnsi="Times New Roman;serif"/>
          <w:b w:val="false"/>
          <w:color w:val="000000"/>
          <w:sz w:val="22"/>
        </w:rPr>
        <w:t xml:space="preserve">. In each case as specified in this </w:t>
      </w:r>
      <w:r>
        <w:rPr>
          <w:rFonts w:ascii="Times New Roman;serif" w:hAnsi="Times New Roman;serif"/>
          <w:b w:val="false"/>
          <w:color w:val="000000"/>
          <w:sz w:val="22"/>
          <w:u w:val="single"/>
        </w:rPr>
        <w:t>Section 9.10</w:t>
      </w:r>
      <w:r>
        <w:rPr>
          <w:rFonts w:ascii="Times New Roman;serif" w:hAnsi="Times New Roman;serif"/>
          <w:b w:val="false"/>
          <w:color w:val="000000"/>
          <w:sz w:val="22"/>
        </w:rPr>
        <w:t xml:space="preserve">, the Administrative Agent will, at the Borrower’s reasonable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the Security Agreement and/or any other Loan Document, including any lien granted by such Guarantor thereunder, in each case in accordance with the terms of the Loan Documents and this </w:t>
      </w:r>
      <w:r>
        <w:rPr>
          <w:rFonts w:ascii="Times New Roman;serif" w:hAnsi="Times New Roman;serif"/>
          <w:b w:val="false"/>
          <w:color w:val="000000"/>
          <w:sz w:val="22"/>
          <w:u w:val="single"/>
        </w:rPr>
        <w:t>Section 9.10</w:t>
      </w:r>
      <w:r>
        <w:rPr>
          <w:rFonts w:ascii="Times New Roman;serif" w:hAnsi="Times New Roman;serif"/>
          <w:b w:val="false"/>
          <w:color w:val="000000"/>
          <w:sz w:val="22"/>
        </w:rPr>
        <w:t xml:space="preserve">. To the extent any Collateral is Disposed of as expressly permitted by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to any Person that is not a Loan Party, the Liens created by any of the Collateral Documents on such property shall be automatically released without need for further action by any person, and the Administrative Agent shall be authorized to take any actions deemed appropriate in order to effectuate the foregoing.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lineRule="auto" w:line="240" w:before="0" w:after="240"/>
        <w:ind w:left="0" w:right="0" w:firstLine="720"/>
        <w:jc w:val="both"/>
        <w:rPr/>
      </w:pPr>
      <w:r>
        <w:rPr>
          <w:rFonts w:ascii="Times New Roman;serif" w:hAnsi="Times New Roman;serif"/>
          <w:b/>
          <w:color w:val="000000"/>
          <w:sz w:val="22"/>
        </w:rPr>
        <w:t>9.11</w:t>
      </w:r>
      <w:r>
        <w:rPr>
          <w:rFonts w:ascii="Times New Roman;serif" w:hAnsi="Times New Roman;serif"/>
          <w:b/>
          <w:color w:val="000000"/>
          <w:sz w:val="22"/>
          <w:u w:val="single"/>
        </w:rPr>
        <w:t>Secured Cash Management Agreements and Secured Hedge Agreements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Except as otherwise expressly set forth herein or any Collateral Document, no Cash Management Bank or Hedge Bank that obtains the benefit of the provisions of </w:t>
      </w:r>
      <w:r>
        <w:rPr>
          <w:rFonts w:ascii="Times New Roman;serif" w:hAnsi="Times New Roman;serif"/>
          <w:b w:val="false"/>
          <w:color w:val="000000"/>
          <w:sz w:val="22"/>
          <w:u w:val="single"/>
        </w:rPr>
        <w:t>Section 8.03</w:t>
      </w:r>
      <w:r>
        <w:rPr>
          <w:rFonts w:ascii="Times New Roman;serif" w:hAnsi="Times New Roman;serif"/>
          <w:b w:val="false"/>
          <w:color w:val="000000"/>
          <w:sz w:val="22"/>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to the contrary, the Administrative Agent shall not be required to verify the payment of, or that other satisfactory arrangements have been made with respect to, Secured Obligations arising under Secured Cash Management Agreements and Secured Hedge Agreements except to the extent expressly provided herein and unless the Administrative Agent has received a Secured Party Designation Notice of such Secured Obligations (with a copy of such written notice sent by email to secured.designationnotice@citi.com), together with such supporting documentation as the Administrative Agent may request, from the applicable Cash Management Bank or Hedge Bank, as the case may be. The Administrative Agent shall not be required to verify the payment of, or that other satisfactory </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701675"/>
                <wp:effectExtent l="0" t="0" r="0" b="0"/>
                <wp:wrapNone/>
                <wp:docPr id="283" name="Frame28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arrangements have been made with respect to, Secured Obligations arising under Secured Cash Management Agreements and Secured Hedge Agreements in the case of a Facility Termination Date.</w:t>
      </w:r>
    </w:p>
    <w:p>
      <w:pPr>
        <w:pStyle w:val="TextBody"/>
        <w:bidi w:val="0"/>
        <w:spacing w:lineRule="auto" w:line="240" w:before="0" w:after="240"/>
        <w:ind w:left="0" w:right="0" w:firstLine="720"/>
        <w:jc w:val="both"/>
        <w:rPr/>
      </w:pPr>
      <w:r>
        <w:rPr>
          <w:rFonts w:ascii="Times New Roman;serif" w:hAnsi="Times New Roman;serif"/>
          <w:b/>
          <w:color w:val="000000"/>
          <w:sz w:val="22"/>
        </w:rPr>
        <w:t>9.12</w:t>
      </w:r>
      <w:r>
        <w:rPr>
          <w:rFonts w:ascii="Times New Roman;serif" w:hAnsi="Times New Roman;serif"/>
          <w:b/>
          <w:color w:val="000000"/>
          <w:sz w:val="22"/>
          <w:u w:val="single"/>
        </w:rPr>
        <w:t>Certain ERISA Matters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(iv)such other representation, warranty and covenant as may be agreed in writing between the Administrative Agent, in its sole discretion, and such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(b)In addition, unless either (1) </w:t>
      </w:r>
      <w:r>
        <w:rPr>
          <w:rFonts w:ascii="Times New Roman;serif" w:hAnsi="Times New Roman;serif"/>
          <w:b w:val="false"/>
          <w:color w:val="000000"/>
          <w:sz w:val="22"/>
          <w:u w:val="single"/>
        </w:rPr>
        <w:t>clause (i</w:t>
      </w:r>
      <w:r>
        <w:rPr>
          <w:rFonts w:ascii="Times New Roman;serif" w:hAnsi="Times New Roman;serif"/>
          <w:b w:val="false"/>
          <w:color w:val="000000"/>
          <w:sz w:val="22"/>
        </w:rPr>
        <w:t xml:space="preserve">) in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is true with respect to a Lender or (2) a Lender has provided another representation, warranty and covenant in accordance with </w:t>
      </w:r>
      <w:r>
        <w:rPr>
          <w:rFonts w:ascii="Times New Roman;serif" w:hAnsi="Times New Roman;serif"/>
          <w:b w:val="false"/>
          <w:color w:val="000000"/>
          <w:sz w:val="22"/>
          <w:u w:val="single"/>
        </w:rPr>
        <w:t>clause (iv</w:t>
      </w:r>
      <w:r>
        <w:rPr>
          <w:rFonts w:ascii="Times New Roman;serif" w:hAnsi="Times New Roman;serif"/>
          <w:b w:val="false"/>
          <w:color w:val="000000"/>
          <w:sz w:val="22"/>
        </w:rPr>
        <w:t xml:space="preserve">) in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w:t>
      </w:r>
      <w:r>
        <w:rPr>
          <w:color w:val="000000"/>
        </w:rPr>
        <w:t xml:space="preserve"> </w:t>
      </w:r>
      <w:r>
        <w:rPr>
          <w:rFonts w:ascii="Times New Roman;serif" w:hAnsi="Times New Roman;serif"/>
          <w:b w:val="false"/>
          <w:color w:val="000000"/>
          <w:sz w:val="22"/>
        </w:rPr>
        <w:t>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701675"/>
                <wp:effectExtent l="0" t="0" r="0" b="0"/>
                <wp:wrapNone/>
                <wp:docPr id="284" name="Frame28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9.13</w:t>
      </w:r>
      <w:r>
        <w:rPr>
          <w:rFonts w:ascii="Times New Roman;serif" w:hAnsi="Times New Roman;serif"/>
          <w:b/>
          <w:color w:val="000000"/>
          <w:sz w:val="22"/>
          <w:u w:val="single"/>
        </w:rPr>
        <w:t>Recovery of Erroneous Payments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(a)If the Administrative Agent (x) notifies a Lender, an L/C Issuer or Secured Party, or any Person who has received funds on behalf of a Lender, an L/C Issuer or Secured Party (any such Lender, such L/C Issuer, Secured Party or other recipient (and each of their respective successors and assigns), a “</w:t>
      </w:r>
      <w:r>
        <w:rPr>
          <w:rFonts w:ascii="Times New Roman;serif" w:hAnsi="Times New Roman;serif"/>
          <w:b w:val="false"/>
          <w:color w:val="000000"/>
          <w:sz w:val="22"/>
          <w:u w:val="single"/>
        </w:rPr>
        <w:t>Payment Recipient</w:t>
      </w:r>
      <w:r>
        <w:rPr>
          <w:color w:val="000000"/>
        </w:rPr>
        <w:t>”</w:t>
      </w:r>
      <w:r>
        <w:rPr>
          <w:rFonts w:ascii="Times New Roman;serif" w:hAnsi="Times New Roman;serif"/>
          <w:b w:val="false"/>
          <w:color w:val="000000"/>
          <w:sz w:val="22"/>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such L/C Issuer, Secured Party or other Payment Recipient on its behalf) (any such funds, whether transmitted or received as a payment, prepayment or repayment of principal, interest, fees, distribution or otherwise, individually and collectively, an “</w:t>
      </w:r>
      <w:r>
        <w:rPr>
          <w:rFonts w:ascii="Times New Roman;serif" w:hAnsi="Times New Roman;serif"/>
          <w:b w:val="false"/>
          <w:color w:val="000000"/>
          <w:sz w:val="22"/>
          <w:u w:val="single"/>
        </w:rPr>
        <w:t>Erroneous Payment</w:t>
      </w:r>
      <w:r>
        <w:rPr>
          <w:color w:val="000000"/>
        </w:rPr>
        <w:t>”</w:t>
      </w:r>
      <w:r>
        <w:rPr>
          <w:rFonts w:ascii="Times New Roman;serif" w:hAnsi="Times New Roman;serif"/>
          <w:b w:val="false"/>
          <w:color w:val="000000"/>
          <w:sz w:val="22"/>
        </w:rPr>
        <w:t>) and (y) demands in writing the return of such Erroneous Payment (or a portion thereof), such Erroneous Payment shall at all times remain the property of the Administrative Agent pending its return or repayment as contemplated below in this Section 9.13 and held in trust for the benefit of the Administrative Agent, and such Lender, such L/C Issuer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(b)Without limiting immediately preceding clause (a), each Lender, each L/C Issuer, Secured Party or any Person who has received funds on behalf of a Lender, an L/C Issuer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such L/C Issuer or Secured Party, or other such recipient, otherwise becomes aware was transmitted, or received, in error or by mistake (in whole or in part), then in each such case: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(ii)such Lender, such L/C Issuer or Secured Party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9.13(b).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701675"/>
                <wp:effectExtent l="0" t="0" r="0" b="0"/>
                <wp:wrapNone/>
                <wp:docPr id="285" name="Frame28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(iii)For the avoidance of doubt, the failure to deliver a notice to the Administrative Agent pursuant to this Section 9.13(b) shall not have any effect on a Payment Recipient’s obligations pursuant to Section 9.13(a) or on whether or not an Erroneous Payment has been made.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(c)Each Lender, each L/C Issuer or Secured Party hereby authorizes the Administrative Agent to set off, net and apply any and all amounts at any time owing to such Lender, such L/C Issuer or Secured Party under any Loan Document, or otherwise payable or distributable by the Administrative Agent to such Lender, such L/C Issuer or Secured Party under any Loan Document with respect to any payment of principal, interest, fees or other amounts, against any amount that the Administrative Agent has demanded to be returned under immediately preceding clause (a).</w:t>
      </w:r>
    </w:p>
    <w:p>
      <w:pPr>
        <w:pStyle w:val="TextBody"/>
        <w:bidi w:val="0"/>
        <w:spacing w:lineRule="auto" w:line="240" w:before="0" w:after="240"/>
        <w:ind w:left="0" w:right="0" w:firstLine="720"/>
        <w:jc w:val="both"/>
        <w:rPr/>
      </w:pPr>
      <w:r>
        <w:rPr>
          <w:rFonts w:ascii="Times New Roman;serif" w:hAnsi="Times New Roman;serif"/>
          <w:b w:val="false"/>
          <w:color w:val="000000"/>
          <w:sz w:val="22"/>
        </w:rPr>
        <w:t>(d)(i) 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serif" w:hAnsi="Times New Roman;serif"/>
          <w:b w:val="false"/>
          <w:color w:val="000000"/>
          <w:sz w:val="22"/>
          <w:u w:val="single"/>
        </w:rPr>
        <w:t>Erroneous Payment Return Deficiency</w:t>
      </w:r>
      <w:r>
        <w:rPr>
          <w:color w:val="000000"/>
        </w:rPr>
        <w:t>”</w:t>
      </w:r>
      <w:r>
        <w:rPr>
          <w:rFonts w:ascii="Times New Roman;serif" w:hAnsi="Times New Roman;serif"/>
          <w:b w:val="false"/>
          <w:color w:val="000000"/>
          <w:sz w:val="22"/>
        </w:rPr>
        <w:t>), upon the Administrative Agent’s notice to such Lender at any time, then effective immediately (with the consideration therefor being acknowledged by the parties hereto), (A) such Lender shall be deemed to have assigned its Loans (but not its Commitments) with respect to which such Erroneous Payment was made (the “</w:t>
      </w:r>
      <w:r>
        <w:rPr>
          <w:rFonts w:ascii="Times New Roman;serif" w:hAnsi="Times New Roman;serif"/>
          <w:b w:val="false"/>
          <w:color w:val="000000"/>
          <w:sz w:val="22"/>
          <w:u w:val="single"/>
        </w:rPr>
        <w:t>Erroneous Payment Impacted Class</w:t>
      </w:r>
      <w:r>
        <w:rPr>
          <w:color w:val="000000"/>
        </w:rPr>
        <w:t>”</w:t>
      </w:r>
      <w:r>
        <w:rPr>
          <w:rFonts w:ascii="Times New Roman;serif" w:hAnsi="Times New Roman;serif"/>
          <w:b w:val="false"/>
          <w:color w:val="000000"/>
          <w:sz w:val="22"/>
        </w:rPr>
        <w:t>) in an amount equal to the Erroneous Payment Return Deficiency (or such lesser amount as the Administrative Agent may specify) (such assignment of the Loans (but not Commitments) of the Erroneous Payment Impacted Class, the “</w:t>
      </w:r>
      <w:r>
        <w:rPr>
          <w:rFonts w:ascii="Times New Roman;serif" w:hAnsi="Times New Roman;serif"/>
          <w:b w:val="false"/>
          <w:color w:val="000000"/>
          <w:sz w:val="22"/>
          <w:u w:val="single"/>
        </w:rPr>
        <w:t>Erroneous Payment Deficiency Assignment</w:t>
      </w:r>
      <w:r>
        <w:rPr>
          <w:color w:val="000000"/>
        </w:rPr>
        <w:t>”</w:t>
      </w:r>
      <w:r>
        <w:rPr>
          <w:rFonts w:ascii="Times New Roman;serif" w:hAnsi="Times New Roman;serif"/>
          <w:b w:val="false"/>
          <w:color w:val="000000"/>
          <w:sz w:val="22"/>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as to 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    Subject to Section 11.06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701675"/>
                <wp:effectExtent l="0" t="0" r="0" b="0"/>
                <wp:wrapNone/>
                <wp:docPr id="286" name="Frame28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2"/>
        </w:rPr>
        <w:t>(e)The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an L/C Issuer or Secured Party, to the rights and interests of such Lender, such L/C Issuer or Secured Party, as the case may be) under the Loan Documents with respect to such amount (the “</w:t>
      </w:r>
      <w:r>
        <w:rPr>
          <w:rFonts w:ascii="Times New Roman;serif" w:hAnsi="Times New Roman;serif"/>
          <w:b w:val="false"/>
          <w:color w:val="000000"/>
          <w:sz w:val="22"/>
          <w:u w:val="single"/>
        </w:rPr>
        <w:t>Erroneous Payment Subrogation Rights</w:t>
      </w:r>
      <w:r>
        <w:rPr>
          <w:color w:val="000000"/>
        </w:rPr>
        <w:t>”</w:t>
      </w:r>
      <w:r>
        <w:rPr>
          <w:rFonts w:ascii="Times New Roman;serif" w:hAnsi="Times New Roman;serif"/>
          <w:b w:val="false"/>
          <w:color w:val="000000"/>
          <w:sz w:val="22"/>
        </w:rPr>
        <w:t xml:space="preserve">) (provided that the Loan Parties’ Secured Obligations under the Loan Documents in respect of the Erroneous Payment Subrogation Rights shall not be duplicative of such Secured Obligations in respect of Loans that have been assigned to the Administrative Agent under an Erroneous Payment Deficiency Assignment) and (y) an Erroneous Payment shall not pay, prepay, repay, discharge or otherwise satisfy any Secured Obligations owed by the Borrower or any other Loan Party; provided that this Section 9.13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serif" w:hAnsi="Times New Roman;serif"/>
          <w:b w:val="false"/>
          <w:color w:val="000000"/>
          <w:sz w:val="22"/>
          <w:u w:val="single"/>
        </w:rPr>
        <w:t>provided</w:t>
      </w:r>
      <w:r>
        <w:rPr>
          <w:rFonts w:ascii="Times New Roman;serif" w:hAnsi="Times New Roman;serif"/>
          <w:b w:val="false"/>
          <w:color w:val="000000"/>
          <w:sz w:val="22"/>
        </w:rPr>
        <w:t>,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(g)Each party’s obligations, agreements and waivers under this Section 9.13 shall survive the resignation or replacement of the Administrative Agent, any transfer of rights or obligations by, or the replacement of, a Lender or an L/C Issuer, the termination of the Commitments and/or the repayment, satisfaction or discharge of all Secured Obligations (or any portion thereof) under any Loan Document.</w:t>
      </w:r>
    </w:p>
    <w:p>
      <w:pPr>
        <w:pStyle w:val="TextBody"/>
        <w:bidi w:val="0"/>
        <w:spacing w:lineRule="auto" w:line="240" w:before="0" w:after="240"/>
        <w:jc w:val="center"/>
        <w:rPr/>
      </w:pPr>
      <w:r>
        <w:rPr>
          <w:rFonts w:ascii="Times New Roman;serif" w:hAnsi="Times New Roman;serif"/>
          <w:b/>
          <w:color w:val="000000"/>
          <w:sz w:val="22"/>
        </w:rPr>
        <w:t>Article X</w:t>
      </w:r>
      <w:r>
        <w:rPr>
          <w:rFonts w:ascii="Times New Roman;serif" w:hAnsi="Times New Roman;serif"/>
          <w:b/>
          <w:color w:val="000000"/>
          <w:sz w:val="22"/>
        </w:rPr>
        <w:br/>
        <w:br/>
      </w:r>
      <w:r>
        <w:rPr>
          <w:rFonts w:ascii="Times New Roman;serif" w:hAnsi="Times New Roman;serif"/>
          <w:b/>
          <w:color w:val="000000"/>
          <w:sz w:val="22"/>
          <w:u w:val="single"/>
        </w:rPr>
        <w:t>CONTINUING GUARANTY</w:t>
      </w:r>
    </w:p>
    <w:p>
      <w:pPr>
        <w:pStyle w:val="TextBody"/>
        <w:bidi w:val="0"/>
        <w:spacing w:lineRule="auto" w:line="240" w:before="0" w:after="240"/>
        <w:ind w:left="0" w:right="0" w:firstLine="720"/>
        <w:jc w:val="both"/>
        <w:rPr/>
      </w:pPr>
      <w:r>
        <w:rPr>
          <w:rFonts w:ascii="Times New Roman;serif" w:hAnsi="Times New Roman;serif"/>
          <w:b/>
          <w:color w:val="000000"/>
          <w:sz w:val="22"/>
        </w:rPr>
        <w:t>10.01</w:t>
      </w:r>
      <w:r>
        <w:rPr>
          <w:rFonts w:ascii="Times New Roman;serif" w:hAnsi="Times New Roman;serif"/>
          <w:b/>
          <w:color w:val="000000"/>
          <w:sz w:val="22"/>
          <w:u w:val="single"/>
        </w:rPr>
        <w:t>Guaranty</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Each Guarantor hereby absolutely and unconditionally, jointly and severally guarantees in favor of the Administrative Agent and the other Secured Parties, as primary obligor and as a guaranty of payment and performance and not merely as a guaranty of collection, prompt payment when due, whether at stated maturity, by required prepayment, upon acceleration, demand or otherwise, and at all times thereafter, of any and all Secured Obligations (for each Guarantor, subject to the proviso in this sentence, its “</w:t>
      </w:r>
      <w:r>
        <w:rPr>
          <w:rFonts w:ascii="Times New Roman;serif" w:hAnsi="Times New Roman;serif"/>
          <w:b w:val="false"/>
          <w:i/>
          <w:color w:val="000000"/>
          <w:sz w:val="22"/>
          <w:u w:val="single"/>
        </w:rPr>
        <w:t>Guaranteed Obligations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the Guaranteed Obligations of a Guarantor shall exclude any Excluded Swap Obligations with respect to such Guarantor and (b) the liability of each Guarantor individually with respect to this Guaranty shall be limited to an aggregate amount equal to the largest </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701675"/>
                <wp:effectExtent l="0" t="0" r="0" b="0"/>
                <wp:wrapNone/>
                <wp:docPr id="287" name="Frame28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amount that would not render its obligations hereunder subject to avoidance under Section 548 of the Bankruptcy Code of the United States or any comparable provisions of any applicable state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shall be admissible in evidence in any action or proceeding, and shall be binding upon each Guarantor, and conclusive absent manifest error for the purpose of establishing the amount of the Secured Obligations. This Guaranty shall not be affected by the genuineness, validity, regularity or enforceability of the Secured Obligations or any Loan Document, instrument or agreement evidencing any Secured Obligations, or by the existence, validity, enforceability, perfection, non-perfection or extent of any collateral therefor, or by any fact or circumstance relating to the Secured Obligations which might otherwise constitute a defense to the obligations of the Guarantors, or any of them, under this Guaranty, and each Guarantor hereby irrevocably waives any defenses (other than a defense of payment in full) it may now have or hereafter acquire in any way relating to any or all of the foregoing.</w:t>
      </w:r>
    </w:p>
    <w:p>
      <w:pPr>
        <w:pStyle w:val="TextBody"/>
        <w:bidi w:val="0"/>
        <w:spacing w:lineRule="auto" w:line="240" w:before="0" w:after="240"/>
        <w:ind w:left="0" w:right="0" w:firstLine="720"/>
        <w:jc w:val="both"/>
        <w:rPr/>
      </w:pPr>
      <w:r>
        <w:rPr>
          <w:rFonts w:ascii="Times New Roman;serif" w:hAnsi="Times New Roman;serif"/>
          <w:b/>
          <w:color w:val="000000"/>
          <w:sz w:val="22"/>
        </w:rPr>
        <w:t>10.02</w:t>
      </w:r>
      <w:r>
        <w:rPr>
          <w:rFonts w:ascii="Times New Roman;serif" w:hAnsi="Times New Roman;serif"/>
          <w:b/>
          <w:color w:val="000000"/>
          <w:sz w:val="22"/>
          <w:u w:val="single"/>
        </w:rPr>
        <w:t>Rights of Lenders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Administrative Agent, the L/C Issuers and the Lenders in their sole discretion may determine; and (d) release or substitute one or more of 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pStyle w:val="TextBody"/>
        <w:bidi w:val="0"/>
        <w:spacing w:lineRule="auto" w:line="240" w:before="0" w:after="240"/>
        <w:ind w:left="0" w:right="0" w:firstLine="720"/>
        <w:jc w:val="both"/>
        <w:rPr/>
      </w:pPr>
      <w:r>
        <w:rPr>
          <w:rFonts w:ascii="Times New Roman;serif" w:hAnsi="Times New Roman;serif"/>
          <w:b/>
          <w:color w:val="000000"/>
          <w:sz w:val="22"/>
        </w:rPr>
        <w:t>10.03</w:t>
      </w:r>
      <w:r>
        <w:rPr>
          <w:rFonts w:ascii="Times New Roman;serif" w:hAnsi="Times New Roman;serif"/>
          <w:b/>
          <w:color w:val="000000"/>
          <w:sz w:val="22"/>
          <w:u w:val="single"/>
        </w:rPr>
        <w:t>Certain Waivers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Guarantor waives (a) any defense arising by reason of any disability or other defense of the Borrower or any other guarantor, or the cessation from any cause whatsoever (including any act or omission of any Secured Party) of the liability of the Borrower or any other Loan Party; (b) 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Secured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other than the defense of payment.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Secured Obligations, and all notices of acceptance of this Guaranty or of the existence, creation or incurrence of new or additional Secured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701675"/>
                <wp:effectExtent l="0" t="0" r="0" b="0"/>
                <wp:wrapNone/>
                <wp:docPr id="288" name="Frame28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10.04</w:t>
      </w:r>
      <w:r>
        <w:rPr>
          <w:rFonts w:ascii="Times New Roman;serif" w:hAnsi="Times New Roman;serif"/>
          <w:b/>
          <w:color w:val="000000"/>
          <w:sz w:val="22"/>
          <w:u w:val="single"/>
        </w:rPr>
        <w:t>Obligations Independent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the Borrower or any other person or entity is joined as a party.</w:t>
      </w:r>
    </w:p>
    <w:p>
      <w:pPr>
        <w:pStyle w:val="TextBody"/>
        <w:bidi w:val="0"/>
        <w:spacing w:lineRule="auto" w:line="240" w:before="0" w:after="240"/>
        <w:ind w:left="0" w:right="0" w:firstLine="720"/>
        <w:jc w:val="both"/>
        <w:rPr/>
      </w:pPr>
      <w:r>
        <w:rPr>
          <w:rFonts w:ascii="Times New Roman;serif" w:hAnsi="Times New Roman;serif"/>
          <w:b/>
          <w:color w:val="000000"/>
          <w:sz w:val="22"/>
        </w:rPr>
        <w:t>10.05</w:t>
      </w:r>
      <w:r>
        <w:rPr>
          <w:rFonts w:ascii="Times New Roman;serif" w:hAnsi="Times New Roman;serif"/>
          <w:b/>
          <w:color w:val="000000"/>
          <w:sz w:val="22"/>
          <w:u w:val="single"/>
        </w:rPr>
        <w:t>Subrogation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Guarantor shall exercise any right of subrogation, contribution, indemnity, reimbursement or similar rights with respect to any payments it makes under this Guaranty until the Facility Termination Date. If any amounts are paid to a Guarantor in violation of the foregoing limitation, then such amounts shall be held in trust for the benefit of the Secured Parties and shall forthwith be paid to the Secured Parties to reduce the amount of the Secured Obligations, whether matured or unmatured.</w:t>
      </w:r>
    </w:p>
    <w:p>
      <w:pPr>
        <w:pStyle w:val="TextBody"/>
        <w:bidi w:val="0"/>
        <w:spacing w:lineRule="auto" w:line="240" w:before="0" w:after="240"/>
        <w:ind w:left="0" w:right="0" w:firstLine="720"/>
        <w:jc w:val="both"/>
        <w:rPr/>
      </w:pPr>
      <w:r>
        <w:rPr>
          <w:rFonts w:ascii="Times New Roman;serif" w:hAnsi="Times New Roman;serif"/>
          <w:b/>
          <w:color w:val="000000"/>
          <w:sz w:val="22"/>
        </w:rPr>
        <w:t>10.06</w:t>
      </w:r>
      <w:r>
        <w:rPr>
          <w:rFonts w:ascii="Times New Roman;serif" w:hAnsi="Times New Roman;serif"/>
          <w:b/>
          <w:color w:val="000000"/>
          <w:sz w:val="22"/>
          <w:u w:val="single"/>
        </w:rPr>
        <w:t>Termination</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Reinstatement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This Guaranty is a continuing and irrevocable guaranty of all Secured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Secured Parties exercises its right of setoff, in respect of the Secured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w:t>
      </w:r>
      <w:r>
        <w:rPr>
          <w:rFonts w:ascii="Times New Roman;serif" w:hAnsi="Times New Roman;serif"/>
          <w:b w:val="false"/>
          <w:color w:val="000000"/>
          <w:sz w:val="22"/>
          <w:u w:val="single"/>
        </w:rPr>
        <w:t>Section 10.06</w:t>
      </w:r>
      <w:r>
        <w:rPr>
          <w:color w:val="000000"/>
        </w:rPr>
        <w:t xml:space="preserve"> </w:t>
      </w:r>
      <w:r>
        <w:rPr>
          <w:rFonts w:ascii="Times New Roman;serif" w:hAnsi="Times New Roman;serif"/>
          <w:b w:val="false"/>
          <w:color w:val="000000"/>
          <w:sz w:val="22"/>
        </w:rPr>
        <w:t>shall survive termination of this Guaranty.</w:t>
      </w:r>
    </w:p>
    <w:p>
      <w:pPr>
        <w:pStyle w:val="TextBody"/>
        <w:bidi w:val="0"/>
        <w:spacing w:lineRule="auto" w:line="240" w:before="0" w:after="240"/>
        <w:ind w:left="0" w:right="0" w:firstLine="720"/>
        <w:jc w:val="both"/>
        <w:rPr/>
      </w:pPr>
      <w:r>
        <w:rPr>
          <w:rFonts w:ascii="Times New Roman;serif" w:hAnsi="Times New Roman;serif"/>
          <w:b/>
          <w:color w:val="000000"/>
          <w:sz w:val="22"/>
        </w:rPr>
        <w:t>10.07</w:t>
      </w:r>
      <w:r>
        <w:rPr>
          <w:rFonts w:ascii="Times New Roman;serif" w:hAnsi="Times New Roman;serif"/>
          <w:b/>
          <w:color w:val="000000"/>
          <w:sz w:val="22"/>
          <w:u w:val="single"/>
        </w:rPr>
        <w:t>Stay of Acceleration</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pStyle w:val="TextBody"/>
        <w:bidi w:val="0"/>
        <w:spacing w:lineRule="auto" w:line="240" w:before="0" w:after="240"/>
        <w:ind w:left="0" w:right="0" w:firstLine="720"/>
        <w:jc w:val="both"/>
        <w:rPr/>
      </w:pPr>
      <w:r>
        <w:rPr>
          <w:rFonts w:ascii="Times New Roman;serif" w:hAnsi="Times New Roman;serif"/>
          <w:b/>
          <w:color w:val="000000"/>
          <w:sz w:val="22"/>
        </w:rPr>
        <w:t>10.08</w:t>
      </w:r>
      <w:r>
        <w:rPr>
          <w:rFonts w:ascii="Times New Roman;serif" w:hAnsi="Times New Roman;serif"/>
          <w:b/>
          <w:color w:val="000000"/>
          <w:sz w:val="22"/>
          <w:u w:val="single"/>
        </w:rPr>
        <w:t>Condition of Borrower</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701675"/>
                <wp:effectExtent l="0" t="0" r="0" b="0"/>
                <wp:wrapNone/>
                <wp:docPr id="289" name="Frame28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10.09</w:t>
      </w:r>
      <w:r>
        <w:rPr>
          <w:rFonts w:ascii="Times New Roman;serif" w:hAnsi="Times New Roman;serif"/>
          <w:b/>
          <w:color w:val="000000"/>
          <w:sz w:val="22"/>
          <w:u w:val="single"/>
        </w:rPr>
        <w:t>Appointment of Borrower</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Loan Parties hereby appoints the Borrower to act as its agent for all purposes of this Agreement, the other Loan Documents and all other documents and electronic platforms entered into in connection herewith and agrees that (a) 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 (b) any notice or communication delivered by the Administrative Agent, an L/C Issuer or a Lender to the Borrower shall be deemed delivered to each Loan Party and (c) the Administrative Agent, L/C Issuers or the Lenders may accept, and be permitted to rely on, any document, authorization, instrument or agreement executed by the Borrower on behalf of each of the Loan Parties.</w:t>
      </w:r>
    </w:p>
    <w:p>
      <w:pPr>
        <w:pStyle w:val="TextBody"/>
        <w:bidi w:val="0"/>
        <w:spacing w:lineRule="auto" w:line="240" w:before="0" w:after="240"/>
        <w:ind w:left="0" w:right="0" w:firstLine="720"/>
        <w:jc w:val="both"/>
        <w:rPr/>
      </w:pPr>
      <w:r>
        <w:rPr>
          <w:rFonts w:ascii="Times New Roman;serif" w:hAnsi="Times New Roman;serif"/>
          <w:b/>
          <w:color w:val="000000"/>
          <w:sz w:val="22"/>
        </w:rPr>
        <w:t>10.10</w:t>
      </w:r>
      <w:r>
        <w:rPr>
          <w:rFonts w:ascii="Times New Roman;serif" w:hAnsi="Times New Roman;serif"/>
          <w:b/>
          <w:color w:val="000000"/>
          <w:sz w:val="22"/>
          <w:u w:val="single"/>
        </w:rPr>
        <w:t>Right of Contribution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Guarantors agree among themselves that, in connection with payments made hereunder, each Guarantor shall have contribution rights against the other Guarantors as permitted under Applicable Law.</w:t>
      </w:r>
    </w:p>
    <w:p>
      <w:pPr>
        <w:pStyle w:val="TextBody"/>
        <w:bidi w:val="0"/>
        <w:spacing w:lineRule="auto" w:line="240" w:before="0" w:after="240"/>
        <w:ind w:left="0" w:right="0" w:firstLine="720"/>
        <w:jc w:val="both"/>
        <w:rPr/>
      </w:pPr>
      <w:r>
        <w:rPr>
          <w:rFonts w:ascii="Times New Roman;serif" w:hAnsi="Times New Roman;serif"/>
          <w:b/>
          <w:color w:val="000000"/>
          <w:sz w:val="22"/>
        </w:rPr>
        <w:t>10.11</w:t>
      </w:r>
      <w:r>
        <w:rPr>
          <w:rFonts w:ascii="Times New Roman;serif" w:hAnsi="Times New Roman;serif"/>
          <w:b/>
          <w:color w:val="000000"/>
          <w:sz w:val="22"/>
          <w:u w:val="single"/>
        </w:rPr>
        <w:t>Keepwell</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 xml:space="preserve">voidable under Applicable Law relating to fraudulent conveyance or fraudulent transfer, and not for any greater amount). The obligations and undertakings of each Qualified ECP Guarantor under this </w:t>
      </w:r>
      <w:r>
        <w:rPr>
          <w:rFonts w:ascii="Times New Roman;serif" w:hAnsi="Times New Roman;serif"/>
          <w:b w:val="false"/>
          <w:color w:val="000000"/>
          <w:sz w:val="22"/>
          <w:u w:val="single"/>
        </w:rPr>
        <w:t>Section 10.11</w:t>
      </w:r>
      <w:r>
        <w:rPr>
          <w:color w:val="000000"/>
        </w:rPr>
        <w:t xml:space="preserve"> </w:t>
      </w:r>
      <w:r>
        <w:rPr>
          <w:rFonts w:ascii="Times New Roman;serif" w:hAnsi="Times New Roman;serif"/>
          <w:b w:val="false"/>
          <w:color w:val="000000"/>
          <w:sz w:val="22"/>
        </w:rPr>
        <w:t xml:space="preserve">shall remain in full force and effect until the Secured Obligations have been indefeasibly paid and performed in full. Each Loan Party intends this </w:t>
      </w:r>
      <w:r>
        <w:rPr>
          <w:rFonts w:ascii="Times New Roman;serif" w:hAnsi="Times New Roman;serif"/>
          <w:b w:val="false"/>
          <w:color w:val="000000"/>
          <w:sz w:val="22"/>
          <w:u w:val="single"/>
        </w:rPr>
        <w:t>Section 10.11</w:t>
      </w:r>
      <w:r>
        <w:rPr>
          <w:color w:val="000000"/>
        </w:rPr>
        <w:t xml:space="preserve"> </w:t>
      </w:r>
      <w:r>
        <w:rPr>
          <w:rFonts w:ascii="Times New Roman;serif" w:hAnsi="Times New Roman;serif"/>
          <w:b w:val="false"/>
          <w:color w:val="000000"/>
          <w:sz w:val="22"/>
        </w:rPr>
        <w:t xml:space="preserve">to constitute, and this </w:t>
      </w:r>
      <w:r>
        <w:rPr>
          <w:rFonts w:ascii="Times New Roman;serif" w:hAnsi="Times New Roman;serif"/>
          <w:b w:val="false"/>
          <w:color w:val="000000"/>
          <w:sz w:val="22"/>
          <w:u w:val="single"/>
        </w:rPr>
        <w:t>Section 10.11</w:t>
      </w:r>
      <w:r>
        <w:rPr>
          <w:color w:val="000000"/>
        </w:rPr>
        <w:t xml:space="preserve"> </w:t>
      </w:r>
      <w:r>
        <w:rPr>
          <w:rFonts w:ascii="Times New Roman;serif" w:hAnsi="Times New Roman;serif"/>
          <w:b w:val="false"/>
          <w:color w:val="000000"/>
          <w:sz w:val="22"/>
        </w:rPr>
        <w:t>shall be deemed to constitute, a guarantee of the obligations of, and a “keepwell, support, or other agreement” for the benefit of, each Specified Loan Party for all purposes of the Commodity Exchange Act.</w:t>
      </w:r>
    </w:p>
    <w:p>
      <w:pPr>
        <w:pStyle w:val="TextBody"/>
        <w:bidi w:val="0"/>
        <w:spacing w:lineRule="auto" w:line="240" w:before="0" w:after="240"/>
        <w:jc w:val="center"/>
        <w:rPr/>
      </w:pPr>
      <w:r>
        <w:rPr>
          <w:rFonts w:ascii="Times New Roman;serif" w:hAnsi="Times New Roman;serif"/>
          <w:b/>
          <w:color w:val="000000"/>
          <w:sz w:val="22"/>
        </w:rPr>
        <w:t>Article XI</w:t>
      </w:r>
      <w:r>
        <w:rPr>
          <w:rFonts w:ascii="Times New Roman;serif" w:hAnsi="Times New Roman;serif"/>
          <w:b/>
          <w:color w:val="000000"/>
          <w:sz w:val="22"/>
        </w:rPr>
        <w:br/>
        <w:br/>
      </w:r>
      <w:r>
        <w:rPr>
          <w:rFonts w:ascii="Times New Roman;serif" w:hAnsi="Times New Roman;serif"/>
          <w:b/>
          <w:color w:val="000000"/>
          <w:sz w:val="22"/>
          <w:u w:val="single"/>
        </w:rPr>
        <w:t>MISCELLANEOUS</w:t>
      </w:r>
    </w:p>
    <w:p>
      <w:pPr>
        <w:pStyle w:val="TextBody"/>
        <w:bidi w:val="0"/>
        <w:spacing w:lineRule="auto" w:line="240" w:before="0" w:after="240"/>
        <w:ind w:left="0" w:right="0" w:firstLine="720"/>
        <w:jc w:val="both"/>
        <w:rPr/>
      </w:pPr>
      <w:r>
        <w:rPr>
          <w:rFonts w:ascii="Times New Roman;serif" w:hAnsi="Times New Roman;serif"/>
          <w:b/>
          <w:color w:val="000000"/>
          <w:sz w:val="22"/>
        </w:rPr>
        <w:t>11.01</w:t>
      </w:r>
      <w:r>
        <w:rPr>
          <w:rFonts w:ascii="Times New Roman;serif" w:hAnsi="Times New Roman;serif"/>
          <w:b/>
          <w:color w:val="000000"/>
          <w:sz w:val="22"/>
          <w:u w:val="single"/>
        </w:rPr>
        <w:t>Amendments</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Etc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(a)Subject to </w:t>
      </w:r>
      <w:r>
        <w:rPr>
          <w:rFonts w:ascii="Times New Roman;serif" w:hAnsi="Times New Roman;serif"/>
          <w:b w:val="false"/>
          <w:color w:val="000000"/>
          <w:sz w:val="22"/>
          <w:u w:val="single"/>
        </w:rPr>
        <w:t>Section 3.03</w:t>
      </w:r>
      <w:r>
        <w:rPr>
          <w:color w:val="000000"/>
        </w:rPr>
        <w:t xml:space="preserve"> </w:t>
      </w:r>
      <w:r>
        <w:rPr>
          <w:rFonts w:ascii="Times New Roman;serif" w:hAnsi="Times New Roman;serif"/>
          <w:b w:val="false"/>
          <w:color w:val="000000"/>
          <w:sz w:val="22"/>
        </w:rPr>
        <w:t xml:space="preserve">and the last paragraph of this </w:t>
      </w:r>
      <w:r>
        <w:rPr>
          <w:rFonts w:ascii="Times New Roman;serif" w:hAnsi="Times New Roman;serif"/>
          <w:b w:val="false"/>
          <w:color w:val="000000"/>
          <w:sz w:val="22"/>
          <w:u w:val="single"/>
        </w:rPr>
        <w:t>Section 11.01</w:t>
      </w:r>
      <w:r>
        <w:rPr>
          <w:rFonts w:ascii="Times New Roman;serif" w:hAnsi="Times New Roman;serif"/>
          <w:b w:val="false"/>
          <w:color w:val="000000"/>
          <w:sz w:val="22"/>
        </w:rPr>
        <w:t xml:space="preserve">, no amendment or waiver of any provision of this Agreement or any other Loan Document, and no consent to any departure by the Borrower or any other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amendment, waiver or consent shall:</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(i)waive any condition set forth in </w:t>
      </w:r>
      <w:r>
        <w:rPr>
          <w:rFonts w:ascii="Times New Roman;serif" w:hAnsi="Times New Roman;serif"/>
          <w:b w:val="false"/>
          <w:color w:val="000000"/>
          <w:sz w:val="22"/>
          <w:u w:val="single"/>
        </w:rPr>
        <w:t>Section 4.01</w:t>
      </w:r>
      <w:r>
        <w:rPr>
          <w:color w:val="000000"/>
        </w:rPr>
        <w:t xml:space="preserve"> </w:t>
      </w:r>
      <w:r>
        <w:rPr>
          <w:rFonts w:ascii="Times New Roman;serif" w:hAnsi="Times New Roman;serif"/>
          <w:b w:val="false"/>
          <w:color w:val="000000"/>
          <w:sz w:val="22"/>
        </w:rPr>
        <w:t>without the written consent of each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701675"/>
                <wp:effectExtent l="0" t="0" r="0" b="0"/>
                <wp:wrapNone/>
                <wp:docPr id="290" name="Frame28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(ii)extend or increase the Commitment of any Lender (or reinstate any Commitment terminated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without the written consent of such Lender (it being understood and agreed that a waiver of any condition precedent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or of any Default or a mandatory reduction in Commitments is not considered an extension or increase in Commitments of any Lender);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(iv)reduce the principal of, or the rate of interest specified herein on, any Loan or L/C Disbursement, or (subject to </w:t>
      </w:r>
      <w:r>
        <w:rPr>
          <w:rFonts w:ascii="Times New Roman;serif" w:hAnsi="Times New Roman;serif"/>
          <w:b w:val="false"/>
          <w:color w:val="000000"/>
          <w:sz w:val="22"/>
          <w:u w:val="single"/>
        </w:rPr>
        <w:t>clause (D</w:t>
      </w:r>
      <w:r>
        <w:rPr>
          <w:rFonts w:ascii="Times New Roman;serif" w:hAnsi="Times New Roman;serif"/>
          <w:b w:val="false"/>
          <w:color w:val="000000"/>
          <w:sz w:val="22"/>
        </w:rPr>
        <w:t xml:space="preserve">) of the second proviso to this </w:t>
      </w:r>
      <w:r>
        <w:rPr>
          <w:rFonts w:ascii="Times New Roman;serif" w:hAnsi="Times New Roman;serif"/>
          <w:b w:val="false"/>
          <w:color w:val="000000"/>
          <w:sz w:val="22"/>
          <w:u w:val="single"/>
        </w:rPr>
        <w:t>Section 11.01(a)</w:t>
      </w:r>
      <w:r>
        <w:rPr>
          <w:rFonts w:ascii="Times New Roman;serif" w:hAnsi="Times New Roman;serif"/>
          <w:b w:val="false"/>
          <w:color w:val="000000"/>
          <w:sz w:val="22"/>
        </w:rPr>
        <w:t xml:space="preserve">) any fees or other amounts payable hereunder or under any other Loan Document, without the written consent of each Lender entitled to such amount;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only the consent of the Required Lenders shall be necessary (i) to amend the definition of “Default Rate” or to waive any obligation of the Borrower to pay any Obligations at the Default Rate or (ii) to amend any financial covenant hereunder (or any defined term used therein) even if the effect of such amendment would be to reduce the rate of interest on any Loan or L/C Disbursement or to reduce any fee payable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(v)change (i)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in a manner that would have the effect of altering the ratable reduction of Commitments, pro rata payments, pro rata sharing of payments or order of application required hereunder without the written consent of each Lender, or</w:t>
      </w:r>
      <w:r>
        <w:rPr>
          <w:color w:val="000000"/>
        </w:rPr>
        <w:t xml:space="preserve"> </w:t>
      </w:r>
      <w:r>
        <w:rPr>
          <w:rFonts w:ascii="Times New Roman;serif" w:hAnsi="Times New Roman;serif"/>
          <w:b w:val="false"/>
          <w:color w:val="000000"/>
          <w:sz w:val="22"/>
        </w:rPr>
        <w:t>(ii) </w:t>
      </w:r>
      <w:r>
        <w:rPr>
          <w:rFonts w:ascii="Times New Roman;serif" w:hAnsi="Times New Roman;serif"/>
          <w:b w:val="false"/>
          <w:color w:val="000000"/>
          <w:sz w:val="22"/>
          <w:u w:val="single"/>
        </w:rPr>
        <w:t>Section 2.12(f</w:t>
      </w:r>
      <w:r>
        <w:rPr>
          <w:rFonts w:ascii="Times New Roman;serif" w:hAnsi="Times New Roman;serif"/>
          <w:b w:val="false"/>
          <w:color w:val="000000"/>
          <w:sz w:val="22"/>
        </w:rPr>
        <w:t>) in a manner that would alter the pro rata application required thereby without the written consent of each Lender directly and adversely affected thereby;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(vi)change any provision of this </w:t>
      </w:r>
      <w:r>
        <w:rPr>
          <w:rFonts w:ascii="Times New Roman;serif" w:hAnsi="Times New Roman;serif"/>
          <w:b w:val="false"/>
          <w:color w:val="000000"/>
          <w:sz w:val="22"/>
          <w:u w:val="single"/>
        </w:rPr>
        <w:t>Section 11.01</w:t>
      </w:r>
      <w:r>
        <w:rPr>
          <w:color w:val="000000"/>
        </w:rPr>
        <w:t xml:space="preserve"> </w:t>
      </w:r>
      <w:r>
        <w:rPr>
          <w:rFonts w:ascii="Times New Roman;serif" w:hAnsi="Times New Roman;serif"/>
          <w:b w:val="false"/>
          <w:color w:val="000000"/>
          <w:sz w:val="22"/>
        </w:rPr>
        <w:t>or the definition of “Required Lenders” or any other provision of any Loan Document specifying the number or percentage of Lenders required to amend, waive or otherwise modify any rights hereunder or thereunder or make any determination or grant any consent hereunder, without the written consent of each Lender directly and adversely affected thereby;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(vii)release all or substantially all of the Collateral in any transaction or series of related transactions (other than as specifically permitted or contemplated in this Agreement or the Security Agreement), without the written consent of each Lender,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(viii)(i) subordinate the Secured Obligations hereunder to any other Indebtedness or other obligation, without the written consent of each Lender directly and adversely affected thereby or (ii) subordinate the Liens securing the Secured Obligations to Liens securing any other Indebtedness or other obligations, without the written consent of each Lender directly and adversely affected thereby (other than, in each case of clauses (i) and (ii): (x) in connection with any debtor-in-possession financing or equivalent financing under any Debtor Relief Laws or any other use of Collateral in any proceeding under Debtor Relief Laws, (y) as expressly permitted by this Agreement to be senior (if any) as of the Closing Date or (z) if such Lender is offered a bona fide opportunity to participate on a pro rata basis (or greater than pro rata basis) in such other Indebtedness on the same terms as offered to all other providers of such Indebtedness);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(ix)release, or have the effect of releasing, all or substantially all of the value of the Guaranty, without the written consent of each Lender, except to the extent the release of any Subsidiary from the Guaranty is permitted pursuant to </w:t>
      </w:r>
      <w:r>
        <w:rPr>
          <w:rFonts w:ascii="Times New Roman;serif" w:hAnsi="Times New Roman;serif"/>
          <w:b w:val="false"/>
          <w:color w:val="000000"/>
          <w:sz w:val="22"/>
          <w:u w:val="single"/>
        </w:rPr>
        <w:t>Section 9.10</w:t>
      </w:r>
      <w:r>
        <w:rPr>
          <w:color w:val="000000"/>
        </w:rPr>
        <w:t xml:space="preserve"> </w:t>
      </w:r>
      <w:r>
        <w:rPr>
          <w:rFonts w:ascii="Times New Roman;serif" w:hAnsi="Times New Roman;serif"/>
          <w:b w:val="false"/>
          <w:color w:val="000000"/>
          <w:sz w:val="22"/>
        </w:rPr>
        <w:t xml:space="preserve">(in which case such release may be made by the Administrative Agent acting alone); </w:t>
      </w:r>
    </w:p>
    <w:p>
      <w:pPr>
        <w:pStyle w:val="TextBody"/>
        <w:bidi w:val="0"/>
        <w:spacing w:lineRule="auto" w:line="288" w:before="0" w:after="240"/>
        <w:jc w:val="both"/>
        <w:rPr/>
      </w:pP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(A) no amendment, waiver or consent shall, unless in writing and signed by the L/C Issuers in addition to the Lenders required above, affect the rights or duties of the L/C </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701675"/>
                <wp:effectExtent l="0" t="0" r="0" b="0"/>
                <wp:wrapNone/>
                <wp:docPr id="291" name="Frame29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Issuers under this Agreement or any Issuer Document relating to any Letter of Credit issued or to be issued by it; (B) no amendment, waiver or consent shall, unless in writing and signed by the Swingline Lender in addition to the Lenders required above, affect the rights or duties of the Swingline Lender under this Agreement; (C) no amendment, waiver or consent shall, unless in writing and signed by the Administrative Agent in addition to the Lenders required above, affect the rights or duties of the Administrative Agent under this Agreement or any other Loan Document; and (D) the Fee Letter may be amended, or rights or privileges thereunder waived, in a writing executed only by the parties thereto.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(b)Notwithstanding anything to the contrary herein, (i)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that by its terms affects any Defaulting Lender disproportionately adversely relative to other affected Lenders shall require the consent of such Defaulting Lender;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(iii) the Required Lenders shall determine whether or not to allow a Loan Party to use cash collateral in the context of a bankruptcy or insolvency proceeding and such determination shall be binding on all of the Lenders.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(c)Notwithstanding anything to the contrary herein, this Agreement may be amended, or amended and restated without the consent of any Lender (but with the consent of the Borrower and the Administrative Agent) if, upon giving effect to such amendment, or amendment and restatement, such Lender shall no longer be a party to this Agreement (as so amended, or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11.02</w:t>
      </w:r>
      <w:r>
        <w:rPr>
          <w:rFonts w:ascii="Times New Roman;serif" w:hAnsi="Times New Roman;serif"/>
          <w:b/>
          <w:color w:val="000000"/>
          <w:sz w:val="22"/>
          <w:u w:val="single"/>
        </w:rPr>
        <w:t>Notices</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Effectiveness</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Electronic Communications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Notices Generally</w:t>
      </w:r>
      <w:r>
        <w:rPr>
          <w:rFonts w:ascii="Times New Roman;serif" w:hAnsi="Times New Roman;serif"/>
          <w:b w:val="false"/>
          <w:color w:val="000000"/>
          <w:sz w:val="22"/>
        </w:rPr>
        <w:t xml:space="preserve">. Except in the case of notices and other communications expressly permitted to be given by telephone (and except as provided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(i)if to the Borrower or any other Loan Party, the Administrative Agent, any L/C Issuer or the Swingline Lender, to the address, fax number, e-mail address or telephone number specified for such Person on </w:t>
      </w:r>
      <w:r>
        <w:rPr>
          <w:rFonts w:ascii="Times New Roman;serif" w:hAnsi="Times New Roman;serif"/>
          <w:b w:val="false"/>
          <w:color w:val="000000"/>
          <w:sz w:val="22"/>
          <w:u w:val="single"/>
        </w:rPr>
        <w:t>Schedule 1.01(a</w:t>
      </w:r>
      <w:r>
        <w:rPr>
          <w:rFonts w:ascii="Times New Roman;serif" w:hAnsi="Times New Roman;serif"/>
          <w:b w:val="false"/>
          <w:color w:val="000000"/>
          <w:sz w:val="22"/>
        </w:rPr>
        <w:t>); and</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701675"/>
                <wp:effectExtent l="0" t="0" r="0" b="0"/>
                <wp:wrapNone/>
                <wp:docPr id="292" name="Frame29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below shall be effective as provided in such </w:t>
      </w:r>
      <w:r>
        <w:rPr>
          <w:rFonts w:ascii="Times New Roman;serif" w:hAnsi="Times New Roman;serif"/>
          <w:b w:val="false"/>
          <w:color w:val="000000"/>
          <w:sz w:val="22"/>
          <w:u w:val="single"/>
        </w:rPr>
        <w:t>clause (b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Electronic Communications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(i)Notices and other communications to the Administrative Agent, the Lenders, the Swingline Lender and the L/C Issuers hereunder may be delivered or furnished by electronic communication (including e-mail, FPML messaging, and Internet or intranet websites);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apply to notices to any Lender, the Swingline Lender or any L/C Issuer pursuant to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 xml:space="preserve">if such Lender, the Swingline Lender or such L/C Issuer, as applicable, has notified the Administrative Agent that it is incapable of receiving notices under such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 xml:space="preserve">by electronic communication. The Administrative Agent, the Swingline Lender, any L/C Issuer or the Borrower may each, in its discretion, agree to accept notices and other communications to it hereunder by electronic communications pursuant to procedures approved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approval of such procedures may be limited to particular notices or communications.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(ii)Unless the Administrative Agent otherwise prescribes, (A) notices and other communications sent to an e-mail address shall be deemed received upon the sender’s receipt of an acknowledgment from the intended recipient (such as by the “return receipt requested” function, as available, return e-mail or other written acknowledgement) and (B)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both </w:t>
      </w:r>
      <w:r>
        <w:rPr>
          <w:rFonts w:ascii="Times New Roman;serif" w:hAnsi="Times New Roman;serif"/>
          <w:b w:val="false"/>
          <w:color w:val="000000"/>
          <w:sz w:val="22"/>
          <w:u w:val="single"/>
        </w:rPr>
        <w:t>clauses (A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 if such notice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The Platform</w:t>
      </w:r>
      <w:r>
        <w:rPr>
          <w:rFonts w:ascii="Times New Roman;serif" w:hAnsi="Times New Roman;serif"/>
          <w:b w:val="false"/>
          <w:color w:val="000000"/>
          <w:sz w:val="22"/>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serif" w:hAnsi="Times New Roman;serif"/>
          <w:b w:val="false"/>
          <w:i/>
          <w:color w:val="000000"/>
          <w:sz w:val="22"/>
          <w:u w:val="single"/>
        </w:rPr>
        <w:t>Agent Parties</w:t>
      </w:r>
      <w:r>
        <w:rPr>
          <w:color w:val="000000"/>
        </w:rPr>
        <w:t>”</w:t>
      </w:r>
      <w:r>
        <w:rPr>
          <w:rFonts w:ascii="Times New Roman;serif" w:hAnsi="Times New Roman;serif"/>
          <w:b w:val="false"/>
          <w:color w:val="000000"/>
          <w:sz w:val="22"/>
        </w:rPr>
        <w:t xml:space="preserve">) have any liability to the Borrower, any other Loan Party, any Lender, any L/C Issuer or any other Person for losses, claims, damages, liabilities or expenses of any kind (whether in tort, contract or otherwise) arising out of the Borrower’s, any </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701675"/>
                <wp:effectExtent l="0" t="0" r="0" b="0"/>
                <wp:wrapNone/>
                <wp:docPr id="293" name="Frame29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Loan Party’s or the Administrative Agent’s transmission of Borrower Materials or notices through the Platform, any other electronic platform or electronic messaging service, or through the Internet.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Change of Address, Etc</w:t>
      </w:r>
      <w:r>
        <w:rPr>
          <w:rFonts w:ascii="Times New Roman;serif" w:hAnsi="Times New Roman;serif"/>
          <w:b w:val="false"/>
          <w:color w:val="000000"/>
          <w:sz w:val="22"/>
        </w:rPr>
        <w:t>. Each of the Borrower, the Administrative Agent, each L/C Issuer and the Swingline Lender may change its address, fax number or telephone number or e-mail address for notices and other communications hereunder by written notice to the other parties hereto. Each other Lender may change its address, fax number or telephone number or e-mail address for notices and other communications hereunder by written notice to the Borrower, the Administrative Agent, each L/C Issuer and the Swingline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Reliance by Administrative Agent, L/C Issuers and Lenders</w:t>
      </w:r>
      <w:r>
        <w:rPr>
          <w:rFonts w:ascii="Times New Roman;serif" w:hAnsi="Times New Roman;serif"/>
          <w:b w:val="false"/>
          <w:color w:val="000000"/>
          <w:sz w:val="22"/>
        </w:rPr>
        <w:t>. The Administrative Agent, the L/C Issuers and the Lenders shall be entitled to rely and act upon any notices (including, without limitation, telephonic or electronic notices, Loan Notices, Letter of Credit Applications, Notice of Loan Prepayment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L/C Issuer, each Lender and the Related Parties of each of them from all losses, costs, expenses and liabilities resulting from the reliance by such Person on each notice purportedly given by or on behalf of a Loan Party, other than such losses, costs, expenses and liabilities resulting from reliance that constitutes gross negligence or willful misconduct of the Administrative Agent, any L/C Issuer, any Lender and any Related Parties, in each case, as determined by a court of competent jurisdiction by a final and non-appealable judgment. All telephonic notices to and other telephonic communications with the Administrative Agent may be recorded by the Administrative Agent, and each of the parties hereto hereby consents to such recording.</w:t>
      </w:r>
    </w:p>
    <w:p>
      <w:pPr>
        <w:pStyle w:val="TextBody"/>
        <w:bidi w:val="0"/>
        <w:spacing w:lineRule="auto" w:line="240" w:before="0" w:after="240"/>
        <w:ind w:left="0" w:right="0" w:firstLine="720"/>
        <w:jc w:val="both"/>
        <w:rPr/>
      </w:pPr>
      <w:r>
        <w:rPr>
          <w:rFonts w:ascii="Times New Roman;serif" w:hAnsi="Times New Roman;serif"/>
          <w:b/>
          <w:color w:val="000000"/>
          <w:sz w:val="22"/>
        </w:rPr>
        <w:t>11.03</w:t>
      </w:r>
      <w:r>
        <w:rPr>
          <w:rFonts w:ascii="Times New Roman;serif" w:hAnsi="Times New Roman;serif"/>
          <w:b/>
          <w:color w:val="000000"/>
          <w:sz w:val="22"/>
          <w:u w:val="single"/>
        </w:rPr>
        <w:t>No Waiver</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Cumulative Remedies</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Enforcement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for the benefit of all the Lenders and the L/C Issuers;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prohibit (a) the Administrative Agent from exercising on its own behalf the rights and remedies that inure to its benefit (solely in </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701675"/>
                <wp:effectExtent l="0" t="0" r="0" b="0"/>
                <wp:wrapNone/>
                <wp:docPr id="294" name="Frame29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its capacity as Administrative Agent) hereunder and under the other Loan Documents, (b) any L/C Issuer or the Swingline Lender from exercising the rights and remedies that inure to its benefit (solely in its capacity as an L/C Issuer or Swingline Lender, as the case may be) hereunder and under the other Loan Documents, (c) any Lender from exercising setoff rights in accordance with </w:t>
      </w:r>
      <w:r>
        <w:rPr>
          <w:rFonts w:ascii="Times New Roman;serif" w:hAnsi="Times New Roman;serif"/>
          <w:b w:val="false"/>
          <w:color w:val="000000"/>
          <w:sz w:val="22"/>
          <w:u w:val="single"/>
        </w:rPr>
        <w:t>Section 11.08</w:t>
      </w:r>
      <w:r>
        <w:rPr>
          <w:color w:val="000000"/>
        </w:rPr>
        <w:t xml:space="preserve"> </w:t>
      </w:r>
      <w:r>
        <w:rPr>
          <w:rFonts w:ascii="Times New Roman;serif" w:hAnsi="Times New Roman;serif"/>
          <w:b w:val="false"/>
          <w:color w:val="000000"/>
          <w:sz w:val="22"/>
        </w:rPr>
        <w:t xml:space="preserve">(subject to the terms of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or (d) any Lender from filing proofs of claim or appearing and filing pleadings on its own behalf during the pendency of a proceeding relative to any Loan Party under any Debtor Relief Law;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if at any time there is no Person acting as Administrative Agent hereunder and under the other Loan Documents, then (i) the Required Lenders shall have the rights otherwise ascribed to the Administrative Agent pursuant to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and (ii) in addition to the matters set forth in </w:t>
      </w:r>
      <w:r>
        <w:rPr>
          <w:rFonts w:ascii="Times New Roman;serif" w:hAnsi="Times New Roman;serif"/>
          <w:b w:val="false"/>
          <w:color w:val="000000"/>
          <w:sz w:val="22"/>
          <w:u w:val="single"/>
        </w:rPr>
        <w:t>clauses (b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of the preceding proviso and subject to </w:t>
      </w:r>
      <w:r>
        <w:rPr>
          <w:rFonts w:ascii="Times New Roman;serif" w:hAnsi="Times New Roman;serif"/>
          <w:b w:val="false"/>
          <w:color w:val="000000"/>
          <w:sz w:val="22"/>
          <w:u w:val="single"/>
        </w:rPr>
        <w:t>Section 2.13</w:t>
      </w:r>
      <w:r>
        <w:rPr>
          <w:rFonts w:ascii="Times New Roman;serif" w:hAnsi="Times New Roman;serif"/>
          <w:b w:val="false"/>
          <w:color w:val="000000"/>
          <w:sz w:val="22"/>
        </w:rPr>
        <w:t>, any Lender may, with the consent of the Required Lenders, enforce any rights and remedies available to it and as authorized by the Required Lenders.</w:t>
      </w:r>
    </w:p>
    <w:p>
      <w:pPr>
        <w:pStyle w:val="TextBody"/>
        <w:bidi w:val="0"/>
        <w:spacing w:lineRule="auto" w:line="240" w:before="0" w:after="240"/>
        <w:ind w:left="0" w:right="0" w:firstLine="720"/>
        <w:jc w:val="both"/>
        <w:rPr/>
      </w:pPr>
      <w:r>
        <w:rPr>
          <w:rFonts w:ascii="Times New Roman;serif" w:hAnsi="Times New Roman;serif"/>
          <w:b/>
          <w:color w:val="000000"/>
          <w:sz w:val="22"/>
        </w:rPr>
        <w:t>11.04</w:t>
      </w:r>
      <w:r>
        <w:rPr>
          <w:rFonts w:ascii="Times New Roman;serif" w:hAnsi="Times New Roman;serif"/>
          <w:b/>
          <w:color w:val="000000"/>
          <w:sz w:val="22"/>
          <w:u w:val="single"/>
        </w:rPr>
        <w:t>Expenses</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Indemnity</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Damage Waiver</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Costs and Expenses</w:t>
      </w:r>
      <w:r>
        <w:rPr>
          <w:rFonts w:ascii="Times New Roman;serif" w:hAnsi="Times New Roman;serif"/>
          <w:b w:val="false"/>
          <w:color w:val="000000"/>
          <w:sz w:val="22"/>
        </w:rPr>
        <w:t xml:space="preserve">. The Loan Parties shall pay (i) all reasonable and documented out-of-pocket expenses incurred by the Administrative Agent and its Affiliates (including, but not limited to, (A) the reasonable and documented fees, charges and disbursements of outside counsel for the Administrative Agent and its Affiliates (limited to one primary counsel to the Administrative Agent, the Lead Arranger and its Affiliates (taken as a whole), and, if reasonably necessary one additional specialty counsel to the Administrative Agent, the Lead Arranger and such Affiliates (taken as a whole) in any relevant specialty and one additional local counsel to the Administrative Agent, the Lead Arranger and such Affiliates (taken as a whole) in any relevant jurisdiction) and (B) due diligence expenses),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L/C Issuers in connection with the issuance, amendment, extension, reinstatement or renewal of any Letter of Credit or any demand for payment thereunder and (iii) all reasonable and documented out-of-pocket expenses incurred by the Administrative Agent, the Lead Arranger, any Lender, any L/C Issuer or their Affiliates (including the documented fees, charges and disbursements of any outside counsel for the Administrative Agent, the Lead Arranger, any Lender, any L/C Issuer or their Affiliates) (limited to one primary counsel to the Administrative Agent, the Lead Arranger the Lenders, the L/C Issuers and such Affiliates (taken as a whole), and, if reasonably necessary, one additional specialty counsel to the Administrative Agent, the Lead Arranger the Lenders, the L/C Issuers and such Affiliates (taken as a whole) in any relevant specialty and one additional local counsel to the Administrative Agent, the Lead Arranger the Lenders, the L/C Issuers and such Affiliates (taken as a whole) in any relevant jurisdiction, and in the case of an actual or perceived conflict of interest of any such counsel, one additional such primary, specialty or local counsel to each group of affected persons similarly situated and taken as a whole), in connection with the enforcement or protection of its rights (A) in connection with this Agreement and the other Loan Documents, including its rights under this </w:t>
      </w:r>
      <w:r>
        <w:rPr>
          <w:rFonts w:ascii="Times New Roman;serif" w:hAnsi="Times New Roman;serif"/>
          <w:b w:val="false"/>
          <w:color w:val="000000"/>
          <w:sz w:val="22"/>
          <w:u w:val="single"/>
        </w:rPr>
        <w:t>Section 11.04</w:t>
      </w:r>
      <w:r>
        <w:rPr>
          <w:rFonts w:ascii="Times New Roman;serif" w:hAnsi="Times New Roman;serif"/>
          <w:b w:val="false"/>
          <w:color w:val="000000"/>
          <w:sz w:val="22"/>
        </w:rPr>
        <w:t>, or (B) in connection with Loans made or Letters of Credit issued hereunder, including all such out-of-pocket expenses incurred during any workout, restructuring, insolvency or bankruptcy proceeding or negotiations in respect of such Loans or Letters of Credit.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Indemnification by the Loan Parties</w:t>
      </w:r>
      <w:r>
        <w:rPr>
          <w:rFonts w:ascii="Times New Roman;serif" w:hAnsi="Times New Roman;serif"/>
          <w:b w:val="false"/>
          <w:color w:val="000000"/>
          <w:sz w:val="22"/>
        </w:rPr>
        <w:t>. The Loan Parties shall indemnify the Administrative Agent (and any sub-agent thereof), each Lender and each</w:t>
      </w:r>
      <w:r>
        <w:rPr>
          <w:color w:val="000000"/>
        </w:rPr>
        <w:t xml:space="preserve"> </w:t>
      </w:r>
      <w:r>
        <w:rPr>
          <w:rFonts w:ascii="Times New Roman;serif" w:hAnsi="Times New Roman;serif"/>
          <w:b w:val="false"/>
          <w:color w:val="000000"/>
          <w:sz w:val="22"/>
        </w:rPr>
        <w:t>L/C Issuer, and each Related Party of any of the foregoing Persons (each such Person being called an “</w:t>
      </w:r>
      <w:r>
        <w:rPr>
          <w:rFonts w:ascii="Times New Roman;serif" w:hAnsi="Times New Roman;serif"/>
          <w:b w:val="false"/>
          <w:i/>
          <w:color w:val="000000"/>
          <w:sz w:val="22"/>
          <w:u w:val="single"/>
        </w:rPr>
        <w:t>Indemnitee</w:t>
      </w:r>
      <w:r>
        <w:rPr>
          <w:color w:val="000000"/>
        </w:rPr>
        <w:t>”</w:t>
      </w:r>
      <w:r>
        <w:rPr>
          <w:rFonts w:ascii="Times New Roman;serif" w:hAnsi="Times New Roman;serif"/>
          <w:b w:val="false"/>
          <w:color w:val="000000"/>
          <w:sz w:val="22"/>
        </w:rPr>
        <w:t xml:space="preserve">) against, and hold each Indemnitee harmless from, any and all losses, claims, damages, liabilities and related expenses (including the reasonable and documented out-of-pocket fees, charges and disbursements of any outside counsel for any Indemnitee (limited to one primary counsel to the Indemnitees (taken as a whole), and, if reasonably necessary, one additional specialty counsel to the Indemnitees (taken as a whole) in any relevant specialty and one additional local counsel to the Indemnitees (taken as a whole) in any relevant jurisdiction, and in the case of an actual or </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701675"/>
                <wp:effectExtent l="0" t="0" r="0" b="0"/>
                <wp:wrapNone/>
                <wp:docPr id="295" name="Frame29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perceived conflict of interest of any such counsel, one additional such primary, specialty or local counsel to each group of affected persons similarly situated and taken as a whole)),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(ii) any Loan or Letter of Credit or the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a Loan Party or any of its Subsidiaries, or any Environmental Liability related in any way to a Loan Party or any of its Subsidiaries,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or (v) any action taken by the Administrative Agent or any Lender to comply with Applicable Law, including Sanctions;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indemnity shall not, as to any Indemnitee, be available to the extent that such losses, claims, damages, liabilities or related expenses are determined by a court of competent jurisdiction by final and non-appealable judgment to have resulted from (x) the gross negligence or willful misconduct of such Indemnitee, (y) a claim not involving an act or omission of the Borrower or any of its Affiliates and that is brought by an Indemnitee against another Indemnitee (other than against an Arranger, the Administrative Agent, an L/C Issuer or the Swingline Lender in their capacities as such) or (z) a claim brought by a Loan Party against an Indemnitee for a material breach of such Indemnitee’s funding obligations hereunder or under any other Loan Documents and such Loan Party is the prevailing party. Without limiting the provisions of </w:t>
      </w:r>
      <w:r>
        <w:rPr>
          <w:rFonts w:ascii="Times New Roman;serif" w:hAnsi="Times New Roman;serif"/>
          <w:b w:val="false"/>
          <w:color w:val="000000"/>
          <w:sz w:val="22"/>
          <w:u w:val="single"/>
        </w:rPr>
        <w:t>Section 3.01(d</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11.04(b</w:t>
      </w:r>
      <w:r>
        <w:rPr>
          <w:rFonts w:ascii="Times New Roman;serif" w:hAnsi="Times New Roman;serif"/>
          <w:b w:val="false"/>
          <w:color w:val="000000"/>
          <w:sz w:val="22"/>
        </w:rPr>
        <w:t>) shall not apply with respect to Taxes other than any Taxes that represent losses, claims, damages, etc. arising from any non-Tax claim.</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Reimbursement by Lenders</w:t>
      </w:r>
      <w:r>
        <w:rPr>
          <w:rFonts w:ascii="Times New Roman;serif" w:hAnsi="Times New Roman;serif"/>
          <w:b w:val="false"/>
          <w:color w:val="000000"/>
          <w:sz w:val="22"/>
        </w:rPr>
        <w:t xml:space="preserve">. To the extent that the Loan Parties for any reason fail to indefeasibly pay any amount required under </w:t>
      </w:r>
      <w:r>
        <w:rPr>
          <w:rFonts w:ascii="Times New Roman;serif" w:hAnsi="Times New Roman;serif"/>
          <w:b w:val="false"/>
          <w:color w:val="000000"/>
          <w:sz w:val="22"/>
          <w:u w:val="single"/>
        </w:rPr>
        <w:t>clauses (a</w:t>
      </w:r>
      <w:r>
        <w:rPr>
          <w:rFonts w:ascii="Times New Roman;serif" w:hAnsi="Times New Roman;serif"/>
          <w:b w:val="false"/>
          <w:color w:val="000000"/>
          <w:sz w:val="22"/>
        </w:rPr>
        <w:t>) 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11.04</w:t>
      </w:r>
      <w:r>
        <w:rPr>
          <w:color w:val="000000"/>
        </w:rPr>
        <w:t xml:space="preserve"> </w:t>
      </w:r>
      <w:r>
        <w:rPr>
          <w:rFonts w:ascii="Times New Roman;serif" w:hAnsi="Times New Roman;serif"/>
          <w:b w:val="false"/>
          <w:color w:val="000000"/>
          <w:sz w:val="22"/>
        </w:rPr>
        <w:t xml:space="preserve">to be paid by it to the Administrative Agent (or any sub-agent thereof), any L/C Issuer, the Swingline Lender or any Related Party of any of the foregoing, without affecting the Loan Parties’ obligations under clauses (a) or (b) of this Section 11.04, each Lender severally agrees to pay to the Administrative Agent (or any such sub-agent), any L/C Issuer, the Swingline Lender or such Related Party, as the case may be, such Lender’s pro rata share (determined as of the time that the applicable unreimbursed expense or indemnity payment is sought based on each Lender’s share of all Lenders’ Total Revolving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unreimbursed expense or indemnified loss, claim, damage, liability or related expense, as the case may be, was incurred by or asserted against the Administrative Agent (or any such sub-agent), such L/C Issuer or the Swingline Lender in its capacity as such, or against any Related Party of any of the foregoing acting for the Administrative Agent (or any such sub-agent), such L/C Issuer or the Swingline Lender in connection with such capacity. The obligations of the Lenders under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are subject to the provisions of </w:t>
      </w:r>
      <w:r>
        <w:rPr>
          <w:rFonts w:ascii="Times New Roman;serif" w:hAnsi="Times New Roman;serif"/>
          <w:b w:val="false"/>
          <w:color w:val="000000"/>
          <w:sz w:val="22"/>
          <w:u w:val="single"/>
        </w:rPr>
        <w:t>Section 2.12(d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Waiver of Consequential Damages, Etc</w:t>
      </w:r>
      <w:r>
        <w:rPr>
          <w:rFonts w:ascii="Times New Roman;serif" w:hAnsi="Times New Roman;serif"/>
          <w:b w:val="false"/>
          <w:color w:val="000000"/>
          <w:sz w:val="22"/>
        </w:rPr>
        <w:t xml:space="preserve">. To the fullest extent permitted by Applicable Law, neither the Administrative Agent or the Lenders on the one hand nor any Loan Party on the other hand shall assert against any other party hereto, and each such party hereto waives, and acknowledges that no other Person shall have, any claim against any Indemnitee, on any theory of liability, for special, indirect, consequential or punitive damages (as opposed to </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701675"/>
                <wp:effectExtent l="0" t="0" r="0" b="0"/>
                <wp:wrapNone/>
                <wp:docPr id="296" name="Frame29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direct or actual damages) arising out of, in connection with, or as a result of, this Agreement, any other Loan Document or any agreement or instrument contemplated hereby, the transactions contemplated hereby or thereby, any Loan or Letter of Credit or the use of the proceeds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nothing contained in this sentence shall limit the Loan Parties’ indemnification obligations to the extent set forth in </w:t>
      </w:r>
      <w:r>
        <w:rPr>
          <w:rFonts w:ascii="Times New Roman;serif" w:hAnsi="Times New Roman;serif"/>
          <w:b w:val="false"/>
          <w:color w:val="000000"/>
          <w:sz w:val="22"/>
          <w:u w:val="single"/>
        </w:rPr>
        <w:t>Section 11.04(b)</w:t>
      </w:r>
      <w:r>
        <w:rPr>
          <w:color w:val="000000"/>
        </w:rPr>
        <w:t xml:space="preserve"> </w:t>
      </w:r>
      <w:r>
        <w:rPr>
          <w:rFonts w:ascii="Times New Roman;serif" w:hAnsi="Times New Roman;serif"/>
          <w:b w:val="false"/>
          <w:color w:val="000000"/>
          <w:sz w:val="22"/>
        </w:rPr>
        <w:t xml:space="preserve">to the extent such special, indirect, consequential or punitive damages (including any loss of profits) are included in any third party claim in connection with which such Indemnitee is entitled to indemnification hereunder. No Indemnitee referred to in </w:t>
      </w:r>
      <w:r>
        <w:rPr>
          <w:rFonts w:ascii="Times New Roman;serif" w:hAnsi="Times New Roman;serif"/>
          <w:b w:val="false"/>
          <w:color w:val="000000"/>
          <w:sz w:val="22"/>
          <w:u w:val="single"/>
        </w:rPr>
        <w:t>clause (b</w:t>
      </w:r>
      <w:r>
        <w:rPr>
          <w:rFonts w:ascii="Times New Roman;serif" w:hAnsi="Times New Roman;serif"/>
          <w:b w:val="false"/>
          <w:color w:val="000000"/>
          <w:sz w:val="22"/>
        </w:rPr>
        <w:t>)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except for direct or actual damages determined in a final, nonappealable judgment by a court of competent jurisdiction to have resulted from such Indemnitee’s gross negligence or willful misconduct.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Payments</w:t>
      </w:r>
      <w:r>
        <w:rPr>
          <w:rFonts w:ascii="Times New Roman;serif" w:hAnsi="Times New Roman;serif"/>
          <w:b w:val="false"/>
          <w:color w:val="000000"/>
          <w:sz w:val="22"/>
        </w:rPr>
        <w:t xml:space="preserve">. All amounts due under this </w:t>
      </w:r>
      <w:r>
        <w:rPr>
          <w:rFonts w:ascii="Times New Roman;serif" w:hAnsi="Times New Roman;serif"/>
          <w:b w:val="false"/>
          <w:color w:val="000000"/>
          <w:sz w:val="22"/>
          <w:u w:val="single"/>
        </w:rPr>
        <w:t>Section 11.04</w:t>
      </w:r>
      <w:r>
        <w:rPr>
          <w:color w:val="000000"/>
        </w:rPr>
        <w:t xml:space="preserve"> </w:t>
      </w:r>
      <w:r>
        <w:rPr>
          <w:rFonts w:ascii="Times New Roman;serif" w:hAnsi="Times New Roman;serif"/>
          <w:b w:val="false"/>
          <w:color w:val="000000"/>
          <w:sz w:val="22"/>
        </w:rPr>
        <w:t>shall be payable not later than ten (10) Business Days after demand therefor.</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The agreements in this </w:t>
      </w:r>
      <w:r>
        <w:rPr>
          <w:rFonts w:ascii="Times New Roman;serif" w:hAnsi="Times New Roman;serif"/>
          <w:b w:val="false"/>
          <w:color w:val="000000"/>
          <w:sz w:val="22"/>
          <w:u w:val="single"/>
        </w:rPr>
        <w:t>Section 11.04</w:t>
      </w:r>
      <w:r>
        <w:rPr>
          <w:color w:val="000000"/>
        </w:rPr>
        <w:t xml:space="preserve"> </w:t>
      </w:r>
      <w:r>
        <w:rPr>
          <w:rFonts w:ascii="Times New Roman;serif" w:hAnsi="Times New Roman;serif"/>
          <w:b w:val="false"/>
          <w:color w:val="000000"/>
          <w:sz w:val="22"/>
        </w:rPr>
        <w:t xml:space="preserve">and the indemnity provisions of </w:t>
      </w:r>
      <w:r>
        <w:rPr>
          <w:rFonts w:ascii="Times New Roman;serif" w:hAnsi="Times New Roman;serif"/>
          <w:b w:val="false"/>
          <w:color w:val="000000"/>
          <w:sz w:val="22"/>
          <w:u w:val="single"/>
        </w:rPr>
        <w:t>Section 11.02(e</w:t>
      </w:r>
      <w:r>
        <w:rPr>
          <w:rFonts w:ascii="Times New Roman;serif" w:hAnsi="Times New Roman;serif"/>
          <w:b w:val="false"/>
          <w:color w:val="000000"/>
          <w:sz w:val="22"/>
        </w:rPr>
        <w:t>) shall survive the resignation of the Administrative Agent, the L/C Issuers and the Swingline Lender, the replacement of any Lender, the termination of the Aggregate Commitments and the repayment, satisfaction or discharge of all the other Obligations.</w:t>
      </w:r>
    </w:p>
    <w:p>
      <w:pPr>
        <w:pStyle w:val="TextBody"/>
        <w:bidi w:val="0"/>
        <w:spacing w:lineRule="auto" w:line="240" w:before="0" w:after="240"/>
        <w:ind w:left="0" w:right="0" w:firstLine="720"/>
        <w:jc w:val="both"/>
        <w:rPr/>
      </w:pPr>
      <w:r>
        <w:rPr>
          <w:rFonts w:ascii="Times New Roman;serif" w:hAnsi="Times New Roman;serif"/>
          <w:b/>
          <w:color w:val="000000"/>
          <w:sz w:val="22"/>
        </w:rPr>
        <w:t>11.05</w:t>
      </w:r>
      <w:r>
        <w:rPr>
          <w:rFonts w:ascii="Times New Roman;serif" w:hAnsi="Times New Roman;serif"/>
          <w:b/>
          <w:color w:val="000000"/>
          <w:sz w:val="22"/>
          <w:u w:val="single"/>
        </w:rPr>
        <w:t>Payments Set Aside</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Issuers under </w:t>
      </w:r>
      <w:r>
        <w:rPr>
          <w:rFonts w:ascii="Times New Roman;serif" w:hAnsi="Times New Roman;serif"/>
          <w:b w:val="false"/>
          <w:color w:val="000000"/>
          <w:sz w:val="22"/>
          <w:u w:val="single"/>
        </w:rPr>
        <w:t>clause (b</w:t>
      </w:r>
      <w:r>
        <w:rPr>
          <w:rFonts w:ascii="Times New Roman;serif" w:hAnsi="Times New Roman;serif"/>
          <w:b w:val="false"/>
          <w:color w:val="000000"/>
          <w:sz w:val="22"/>
        </w:rPr>
        <w:t>) of the preceding sentence shall survive the payment in full of the Obligations and the termination of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11.06</w:t>
      </w:r>
      <w:r>
        <w:rPr>
          <w:rFonts w:ascii="Times New Roman;serif" w:hAnsi="Times New Roman;serif"/>
          <w:b/>
          <w:color w:val="000000"/>
          <w:sz w:val="22"/>
          <w:u w:val="single"/>
        </w:rPr>
        <w:t>Successors and Assigns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Successors and Assigns Generally</w:t>
      </w:r>
      <w:r>
        <w:rPr>
          <w:rFonts w:ascii="Times New Roman;serif" w:hAnsi="Times New Roman;serif"/>
          <w:b w:val="false"/>
          <w:color w:val="000000"/>
          <w:sz w:val="22"/>
        </w:rPr>
        <w:t xml:space="preserve">. The provisions of this Agreement and the other Loan Documents shall be binding upon and inure to the benefit of the parties hereto and thereto and their respective successors and assigns permitted hereby, except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serif" w:hAnsi="Times New Roman;serif"/>
          <w:b w:val="false"/>
          <w:color w:val="000000"/>
          <w:sz w:val="22"/>
          <w:u w:val="single"/>
        </w:rPr>
        <w:t>Section 11.06(b</w:t>
      </w:r>
      <w:r>
        <w:rPr>
          <w:rFonts w:ascii="Times New Roman;serif" w:hAnsi="Times New Roman;serif"/>
          <w:b w:val="false"/>
          <w:color w:val="000000"/>
          <w:sz w:val="22"/>
        </w:rPr>
        <w:t xml:space="preserve">), (ii) by way of participation in accordance with the provisions of </w:t>
      </w:r>
      <w:r>
        <w:rPr>
          <w:rFonts w:ascii="Times New Roman;serif" w:hAnsi="Times New Roman;serif"/>
          <w:b w:val="false"/>
          <w:color w:val="000000"/>
          <w:sz w:val="22"/>
          <w:u w:val="single"/>
        </w:rPr>
        <w:t>Section 11.06(d</w:t>
      </w:r>
      <w:r>
        <w:rPr>
          <w:rFonts w:ascii="Times New Roman;serif" w:hAnsi="Times New Roman;serif"/>
          <w:b w:val="false"/>
          <w:color w:val="000000"/>
          <w:sz w:val="22"/>
        </w:rPr>
        <w:t xml:space="preserve">), or (iii) by way of pledge or assignment of a security interest subject to the restrictions of </w:t>
      </w:r>
      <w:r>
        <w:rPr>
          <w:rFonts w:ascii="Times New Roman;serif" w:hAnsi="Times New Roman;serif"/>
          <w:b w:val="false"/>
          <w:color w:val="000000"/>
          <w:sz w:val="22"/>
          <w:u w:val="single"/>
        </w:rPr>
        <w:t>Section 11.06(e</w:t>
      </w:r>
      <w:r>
        <w:rPr>
          <w:rFonts w:ascii="Times New Roman;serif" w:hAnsi="Times New Roman;serif"/>
          <w:b w:val="false"/>
          <w:color w:val="000000"/>
          <w:sz w:val="22"/>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701675"/>
                <wp:effectExtent l="0" t="0" r="0" b="0"/>
                <wp:wrapNone/>
                <wp:docPr id="297" name="Frame29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Section 11.06(d</w:t>
      </w:r>
      <w:r>
        <w:rPr>
          <w:rFonts w:ascii="Times New Roman;serif" w:hAnsi="Times New Roman;serif"/>
          <w:b w:val="false"/>
          <w:color w:val="000000"/>
          <w:sz w:val="22"/>
        </w:rPr>
        <w:t>) and, to the extent expressly contemplated hereby, the Related Parties of each of the Administrative Agent, the L/C Issuers and the Lenders) any legal or equitable right, remedy or claim under or by reason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Assignments by Lenders</w:t>
      </w:r>
      <w:r>
        <w:rPr>
          <w:rFonts w:ascii="Times New Roman;serif" w:hAnsi="Times New Roman;serif"/>
          <w:b w:val="false"/>
          <w:color w:val="000000"/>
          <w:sz w:val="22"/>
        </w:rPr>
        <w:t xml:space="preserve">. Any Lender may at any time assign to one or more assignees all or a portion of its rights and obligations under this Agreement and the other Loan Documents (including all or a portion of its Commitment(s) and the Loans (including for purposes of this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participations in L/C Obligations and in Swingline Loans) at the time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assignment shall be subject to the following conditions: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Minimum Amounts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(I)in the case of an assignment of the entire remaining amount of the assigning Lender’s Commitment and/or the Loans at the time owing to it or contemporaneous assignments to related Approved Funds (determined after giving effect to such assignments) that equal at least the amount specified in </w:t>
      </w:r>
      <w:r>
        <w:rPr>
          <w:rFonts w:ascii="Times New Roman;serif" w:hAnsi="Times New Roman;serif"/>
          <w:b w:val="false"/>
          <w:color w:val="000000"/>
          <w:sz w:val="22"/>
          <w:u w:val="single"/>
        </w:rPr>
        <w:t>clause (b)(i)(B</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in the aggregate or in the case of an assignment to a Lender, an Affiliate of a Lender or an Approved Fund, no minimum amount need be assigned;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(II)in any case not described in </w:t>
      </w:r>
      <w:r>
        <w:rPr>
          <w:rFonts w:ascii="Times New Roman;serif" w:hAnsi="Times New Roman;serif"/>
          <w:b w:val="false"/>
          <w:color w:val="000000"/>
          <w:sz w:val="22"/>
          <w:u w:val="single"/>
        </w:rPr>
        <w:t>clause (b)(i)(A</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11.06</w:t>
      </w:r>
      <w:r>
        <w:rPr>
          <w:rFonts w:ascii="Times New Roman;serif" w:hAnsi="Times New Roman;serif"/>
          <w:b w:val="false"/>
          <w:color w:val="000000"/>
          <w:sz w:val="22"/>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Proportionate Amounts</w:t>
      </w:r>
      <w:r>
        <w:rPr>
          <w:rFonts w:ascii="Times New Roman;serif" w:hAnsi="Times New Roman;serif"/>
          <w:b w:val="false"/>
          <w:color w:val="000000"/>
          <w:sz w:val="22"/>
        </w:rPr>
        <w:t xml:space="preserve">. Each partial assignment shall be made as an assignment of a proportionate part of all the assigning Lender’s rights and obligations under this Agreement and the other Loan Documents with respect to the Loans and/or the Commitment assigned, except that this </w:t>
      </w:r>
      <w:r>
        <w:rPr>
          <w:rFonts w:ascii="Times New Roman;serif" w:hAnsi="Times New Roman;serif"/>
          <w:b w:val="false"/>
          <w:color w:val="000000"/>
          <w:sz w:val="22"/>
          <w:u w:val="single"/>
        </w:rPr>
        <w:t>clause (b)(ii</w:t>
      </w:r>
      <w:r>
        <w:rPr>
          <w:rFonts w:ascii="Times New Roman;serif" w:hAnsi="Times New Roman;serif"/>
          <w:b w:val="false"/>
          <w:color w:val="000000"/>
          <w:sz w:val="22"/>
        </w:rPr>
        <w:t>) shall not apply to the Swingline Lender’s rights and obligations in respect of Swingline Loans.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Required Consents</w:t>
      </w:r>
      <w:r>
        <w:rPr>
          <w:rFonts w:ascii="Times New Roman;serif" w:hAnsi="Times New Roman;serif"/>
          <w:b w:val="false"/>
          <w:color w:val="000000"/>
          <w:sz w:val="22"/>
        </w:rPr>
        <w:t xml:space="preserve">. No consent shall be required for any assignment except to the extent required by </w:t>
      </w:r>
      <w:r>
        <w:rPr>
          <w:rFonts w:ascii="Times New Roman;serif" w:hAnsi="Times New Roman;serif"/>
          <w:b w:val="false"/>
          <w:color w:val="000000"/>
          <w:sz w:val="22"/>
          <w:u w:val="single"/>
        </w:rPr>
        <w:t>clause (b)(i)(B</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and, in addition: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(I)the consent of the Borrower (such consent not to be unreasonably withheld, conditioned or delayed) shall be required unless (1) an Event of Default under </w:t>
      </w: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8.01(b)</w:t>
      </w:r>
      <w:r>
        <w:rPr>
          <w:color w:val="000000"/>
        </w:rPr>
        <w:t xml:space="preserve"> </w:t>
      </w:r>
      <w:r>
        <w:rPr>
          <w:rFonts w:ascii="Times New Roman;serif" w:hAnsi="Times New Roman;serif"/>
          <w:b w:val="false"/>
          <w:color w:val="000000"/>
          <w:sz w:val="22"/>
        </w:rPr>
        <w:t xml:space="preserve">(with respect to a breach of </w:t>
      </w:r>
      <w:r>
        <w:rPr>
          <w:rFonts w:ascii="Times New Roman;serif" w:hAnsi="Times New Roman;serif"/>
          <w:b w:val="false"/>
          <w:color w:val="000000"/>
          <w:sz w:val="22"/>
          <w:u w:val="single"/>
        </w:rPr>
        <w:t>Section 6.01(a) or (b)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6.02(b)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8.01(f)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8.01(g)</w:t>
      </w:r>
      <w:r>
        <w:rPr>
          <w:color w:val="000000"/>
        </w:rPr>
        <w:t xml:space="preserve"> </w:t>
      </w:r>
      <w:r>
        <w:rPr>
          <w:rFonts w:ascii="Times New Roman;serif" w:hAnsi="Times New Roman;serif"/>
          <w:b w:val="false"/>
          <w:color w:val="000000"/>
          <w:sz w:val="22"/>
        </w:rPr>
        <w:t xml:space="preserve">has occurred and is continuing at the time of such assignment or (2) such assignment is to a Lender, an Affiliate of a Lender or an Approved Fund;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be deemed to have consented to any such assignment unless it shall object thereto by written notice to the Administrative Agent within ten (10) Business Days after having received notice thereof;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the Borrower’s consent shall not be required during the primary syndication;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consent of the Administrative Agent (such consent not to be unreasonably withheld, conditioned or delayed) shall be required for assignments if such assignment is to a Person that is not a Lender with a Commitment, an Affiliate of such Lender or an Approved Fund with respect to such Lender; and</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701675"/>
                <wp:effectExtent l="0" t="0" r="0" b="0"/>
                <wp:wrapNone/>
                <wp:docPr id="298" name="Frame29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(III)the consent of each L/C Issuer and the Swingline Lender (in each case, such consent not to be unreasonably withheld, conditioned or delayed) shall be required for any assignment.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Assignment and Assumption</w:t>
      </w:r>
      <w:r>
        <w:rPr>
          <w:rFonts w:ascii="Times New Roman;serif" w:hAnsi="Times New Roman;serif"/>
          <w:b w:val="false"/>
          <w:color w:val="000000"/>
          <w:sz w:val="22"/>
        </w:rPr>
        <w:t xml:space="preserve">. The parties to each assignment shall execute and deliver to the Administrative Agent an Assignment and Assumption, together with a processing and recordation fee in the amount of $3,500;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lineRule="auto" w:line="240"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No Assignment to Certain Persons</w:t>
      </w:r>
      <w:r>
        <w:rPr>
          <w:rFonts w:ascii="Times New Roman;serif" w:hAnsi="Times New Roman;serif"/>
          <w:b w:val="false"/>
          <w:color w:val="000000"/>
          <w:sz w:val="22"/>
        </w:rPr>
        <w:t xml:space="preserve">. No such assignment shall be made (A) to any Loan Party or any of the Loan Parties’ Affiliates or Subsidiaries, (B) to any Defaulting Lender or any of its Subsidiaries, or any Person who, upon becoming a Lender hereunder, would constitute any of the foregoing Persons described in this </w:t>
      </w:r>
      <w:r>
        <w:rPr>
          <w:rFonts w:ascii="Times New Roman;serif" w:hAnsi="Times New Roman;serif"/>
          <w:b w:val="false"/>
          <w:color w:val="000000"/>
          <w:sz w:val="22"/>
          <w:u w:val="single"/>
        </w:rPr>
        <w:t>clause (B</w:t>
      </w:r>
      <w:r>
        <w:rPr>
          <w:rFonts w:ascii="Times New Roman;serif" w:hAnsi="Times New Roman;serif"/>
          <w:b w:val="false"/>
          <w:color w:val="000000"/>
          <w:sz w:val="22"/>
        </w:rPr>
        <w:t>), or (C) to a natural Person (or a holding company, investment vehicle or trust for, or owned and operated by or for the primary benefit of one or more natural Persons) or (D) to any Disqualified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(vi)</w:t>
      </w:r>
      <w:r>
        <w:rPr>
          <w:rFonts w:ascii="Times New Roman;serif" w:hAnsi="Times New Roman;serif"/>
          <w:b w:val="false"/>
          <w:color w:val="000000"/>
          <w:sz w:val="22"/>
          <w:u w:val="single"/>
        </w:rPr>
        <w:t>Certain Additional Payments</w:t>
      </w:r>
      <w:r>
        <w:rPr>
          <w:rFonts w:ascii="Times New Roman;serif" w:hAnsi="Times New Roman;serif"/>
          <w:b w:val="false"/>
          <w:color w:val="000000"/>
          <w:sz w:val="22"/>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any L/C Issuer or any Lender hereunder (and interest accrued thereon) and (B)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serif" w:hAnsi="Times New Roman;serif"/>
          <w:b w:val="false"/>
          <w:color w:val="000000"/>
          <w:sz w:val="22"/>
          <w:u w:val="single"/>
        </w:rPr>
        <w:t>clause (b)(vi</w:t>
      </w:r>
      <w:r>
        <w:rPr>
          <w:rFonts w:ascii="Times New Roman;serif" w:hAnsi="Times New Roman;serif"/>
          <w:b w:val="false"/>
          <w:color w:val="000000"/>
          <w:sz w:val="22"/>
        </w:rPr>
        <w:t>), then the assignee of such interest shall be deemed to be a Defaulting Lender for all purposes of this Agreement until such compliance occurs.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(vii)Subject to acceptance and recording thereof by the Administrative Agent pursuant to </w:t>
      </w:r>
      <w:r>
        <w:rPr>
          <w:rFonts w:ascii="Times New Roman;serif" w:hAnsi="Times New Roman;serif"/>
          <w:b w:val="false"/>
          <w:color w:val="000000"/>
          <w:sz w:val="22"/>
          <w:u w:val="single"/>
        </w:rPr>
        <w:t>Section 11.06(c</w:t>
      </w:r>
      <w:r>
        <w:rPr>
          <w:rFonts w:ascii="Times New Roman;serif" w:hAnsi="Times New Roman;serif"/>
          <w:b w:val="false"/>
          <w:color w:val="000000"/>
          <w:sz w:val="22"/>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2"/>
          <w:u w:val="single"/>
        </w:rPr>
        <w:t>Sections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11.04</w:t>
      </w:r>
      <w:r>
        <w:rPr>
          <w:color w:val="000000"/>
        </w:rPr>
        <w:t xml:space="preserve"> </w:t>
      </w:r>
      <w:r>
        <w:rPr>
          <w:rFonts w:ascii="Times New Roman;serif" w:hAnsi="Times New Roman;serif"/>
          <w:b w:val="false"/>
          <w:color w:val="000000"/>
          <w:sz w:val="22"/>
        </w:rPr>
        <w:t xml:space="preserve">with respect to facts and circumstances occurring prior to the effective date of such assignment);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shall be treated for purposes of this Agreement as a sale by such Lender of a participation in such rights and obligations in accordance with </w:t>
      </w:r>
      <w:r>
        <w:rPr>
          <w:rFonts w:ascii="Times New Roman;serif" w:hAnsi="Times New Roman;serif"/>
          <w:b w:val="false"/>
          <w:color w:val="000000"/>
          <w:sz w:val="22"/>
          <w:u w:val="single"/>
        </w:rPr>
        <w:t>Section 11.06(d</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701675"/>
                <wp:effectExtent l="0" t="0" r="0" b="0"/>
                <wp:wrapNone/>
                <wp:docPr id="299" name="Frame29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Register</w:t>
      </w:r>
      <w:r>
        <w:rPr>
          <w:rFonts w:ascii="Times New Roman;serif" w:hAnsi="Times New Roman;serif"/>
          <w:b w:val="false"/>
          <w:color w:val="000000"/>
          <w:sz w:val="22"/>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maintained in a manner to comply with Section 5f.103-1(c) and proposed Section 1.163-5(b) of the United States Treasury Regulations, for the recordation of the names and addresses of the Lenders, and the Commitments of, and principal amounts (and interest amounts) of the Loans and L/C Obligations owing to, each Lender pursuant to the terms hereof from time to time (the “</w:t>
      </w:r>
      <w:r>
        <w:rPr>
          <w:rFonts w:ascii="Times New Roman;serif" w:hAnsi="Times New Roman;serif"/>
          <w:b w:val="false"/>
          <w:i/>
          <w:color w:val="000000"/>
          <w:sz w:val="22"/>
          <w:u w:val="single"/>
        </w:rPr>
        <w:t>Register</w:t>
      </w:r>
      <w:r>
        <w:rPr>
          <w:color w:val="000000"/>
        </w:rPr>
        <w:t>”</w:t>
      </w:r>
      <w:r>
        <w:rPr>
          <w:rFonts w:ascii="Times New Roman;serif" w:hAnsi="Times New Roman;serif"/>
          <w:b w:val="false"/>
          <w:color w:val="000000"/>
          <w:sz w:val="22"/>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Participations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(i)Any Lender may at any time, without the consent of, or notice to, the Borrower, the Administrative Agent, any L/C Issuer or Swingline Lender, sell participations to any Person (other than a natural Person, or a holding company, investment vehicle or trust for, or owned and operated for the primary benefit of one or more natural Persons, a Defaulting Lender, a Disqualified Lender or the Borrower or any of the Borrower’s Affiliates or Subsidiaries) (each, a “</w:t>
      </w:r>
      <w:r>
        <w:rPr>
          <w:rFonts w:ascii="Times New Roman;serif" w:hAnsi="Times New Roman;serif"/>
          <w:b w:val="false"/>
          <w:i/>
          <w:color w:val="000000"/>
          <w:sz w:val="22"/>
          <w:u w:val="single"/>
        </w:rPr>
        <w:t>Participant</w:t>
      </w:r>
      <w:r>
        <w:rPr>
          <w:color w:val="000000"/>
        </w:rPr>
        <w:t>”</w:t>
      </w:r>
      <w:r>
        <w:rPr>
          <w:rFonts w:ascii="Times New Roman;serif" w:hAnsi="Times New Roman;serif"/>
          <w:b w:val="false"/>
          <w:color w:val="000000"/>
          <w:sz w:val="22"/>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Lender’s obligations under this Agreement shall remain unchanged, (ii) such Lender shall remain solely responsible to the other parties hereto for the performance of such obligations and (iii) the Borrower,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Times New Roman;serif" w:hAnsi="Times New Roman;serif"/>
          <w:b w:val="false"/>
          <w:color w:val="000000"/>
          <w:sz w:val="22"/>
          <w:u w:val="single"/>
        </w:rPr>
        <w:t>Section 11.04(c</w:t>
      </w:r>
      <w:r>
        <w:rPr>
          <w:rFonts w:ascii="Times New Roman;serif" w:hAnsi="Times New Roman;serif"/>
          <w:b w:val="false"/>
          <w:color w:val="000000"/>
          <w:sz w:val="22"/>
        </w:rPr>
        <w:t>) without regard to the existence of any participations.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agreement or instrument may provide that such Lender will not, without the consent of the Participant, agree to any amendment, waiver or other modification described in clauses </w:t>
      </w:r>
      <w:r>
        <w:rPr>
          <w:rFonts w:ascii="Times New Roman;serif" w:hAnsi="Times New Roman;serif"/>
          <w:b w:val="false"/>
          <w:color w:val="000000"/>
          <w:sz w:val="22"/>
          <w:u w:val="single"/>
        </w:rPr>
        <w:t>(a)(ii)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(a)(iv)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(a)(vii)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(a)(viii)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(a)(ix)</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11.01</w:t>
      </w:r>
      <w:r>
        <w:rPr>
          <w:color w:val="000000"/>
        </w:rPr>
        <w:t xml:space="preserve"> </w:t>
      </w:r>
      <w:r>
        <w:rPr>
          <w:rFonts w:ascii="Times New Roman;serif" w:hAnsi="Times New Roman;serif"/>
          <w:b w:val="false"/>
          <w:color w:val="000000"/>
          <w:sz w:val="22"/>
        </w:rPr>
        <w:t xml:space="preserve">that affects such Participant. The Borrower agrees that each Participant shall be entitled to the benefits of </w:t>
      </w:r>
      <w:r>
        <w:rPr>
          <w:rFonts w:ascii="Times New Roman;serif" w:hAnsi="Times New Roman;serif"/>
          <w:b w:val="false"/>
          <w:color w:val="000000"/>
          <w:sz w:val="22"/>
          <w:u w:val="single"/>
        </w:rPr>
        <w:t>Sections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(subject to the requirements and limitations therein, including the requirements under </w:t>
      </w:r>
      <w:r>
        <w:rPr>
          <w:rFonts w:ascii="Times New Roman;serif" w:hAnsi="Times New Roman;serif"/>
          <w:b w:val="false"/>
          <w:color w:val="000000"/>
          <w:sz w:val="22"/>
          <w:u w:val="single"/>
        </w:rPr>
        <w:t>Section 3.01(f</w:t>
      </w:r>
      <w:r>
        <w:rPr>
          <w:rFonts w:ascii="Times New Roman;serif" w:hAnsi="Times New Roman;serif"/>
          <w:b w:val="false"/>
          <w:color w:val="000000"/>
          <w:sz w:val="22"/>
        </w:rPr>
        <w:t xml:space="preserve">) (it being understood that the documentation required under </w:t>
      </w:r>
      <w:r>
        <w:rPr>
          <w:rFonts w:ascii="Times New Roman;serif" w:hAnsi="Times New Roman;serif"/>
          <w:b w:val="false"/>
          <w:color w:val="000000"/>
          <w:sz w:val="22"/>
          <w:u w:val="single"/>
        </w:rPr>
        <w:t>Section 3.01(f</w:t>
      </w:r>
      <w:r>
        <w:rPr>
          <w:rFonts w:ascii="Times New Roman;serif" w:hAnsi="Times New Roman;serif"/>
          <w:b w:val="false"/>
          <w:color w:val="000000"/>
          <w:sz w:val="22"/>
        </w:rPr>
        <w:t xml:space="preserve">) shall be delivered to the Lender who sells the participation)) to the same extent as if it were a Lender and had acquired its interest by assignment pursuant to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11.06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Participant (A) shall be subject to the provisions of </w:t>
      </w:r>
      <w:r>
        <w:rPr>
          <w:rFonts w:ascii="Times New Roman;serif" w:hAnsi="Times New Roman;serif"/>
          <w:b w:val="false"/>
          <w:color w:val="000000"/>
          <w:sz w:val="22"/>
          <w:u w:val="single"/>
        </w:rPr>
        <w:t>Sections 3.06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11.13</w:t>
      </w:r>
      <w:r>
        <w:rPr>
          <w:color w:val="000000"/>
        </w:rPr>
        <w:t xml:space="preserve"> </w:t>
      </w:r>
      <w:r>
        <w:rPr>
          <w:rFonts w:ascii="Times New Roman;serif" w:hAnsi="Times New Roman;serif"/>
          <w:b w:val="false"/>
          <w:color w:val="000000"/>
          <w:sz w:val="22"/>
        </w:rPr>
        <w:t xml:space="preserve">as if it were an assignee under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 xml:space="preserve">and (B) shall not be entitled to receive any greater payment under </w:t>
      </w:r>
      <w:r>
        <w:rPr>
          <w:rFonts w:ascii="Times New Roman;serif" w:hAnsi="Times New Roman;serif"/>
          <w:b w:val="false"/>
          <w:color w:val="000000"/>
          <w:sz w:val="22"/>
          <w:u w:val="single"/>
        </w:rPr>
        <w:t>Sections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serif" w:hAnsi="Times New Roman;serif"/>
          <w:b w:val="false"/>
          <w:color w:val="000000"/>
          <w:sz w:val="22"/>
          <w:u w:val="single"/>
        </w:rPr>
        <w:t>Section 3.06</w:t>
      </w:r>
      <w:r>
        <w:rPr>
          <w:color w:val="000000"/>
        </w:rPr>
        <w:t xml:space="preserve"> </w:t>
      </w:r>
      <w:r>
        <w:rPr>
          <w:rFonts w:ascii="Times New Roman;serif" w:hAnsi="Times New Roman;serif"/>
          <w:b w:val="false"/>
          <w:color w:val="000000"/>
          <w:sz w:val="22"/>
        </w:rPr>
        <w:t xml:space="preserve">with respect to any Participant. To the extent permitted by law, each Participant also shall be entitled to the benefits of </w:t>
      </w:r>
      <w:r>
        <w:rPr>
          <w:rFonts w:ascii="Times New Roman;serif" w:hAnsi="Times New Roman;serif"/>
          <w:b w:val="false"/>
          <w:color w:val="000000"/>
          <w:sz w:val="22"/>
          <w:u w:val="single"/>
        </w:rPr>
        <w:t>Section 11.08</w:t>
      </w:r>
      <w:r>
        <w:rPr>
          <w:color w:val="000000"/>
        </w:rPr>
        <w:t xml:space="preserve"> </w:t>
      </w:r>
      <w:r>
        <w:rPr>
          <w:rFonts w:ascii="Times New Roman;serif" w:hAnsi="Times New Roman;serif"/>
          <w:b w:val="false"/>
          <w:color w:val="000000"/>
          <w:sz w:val="22"/>
        </w:rPr>
        <w:t xml:space="preserve">as though it were a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Participant agrees to be subject to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as though it were a Lender. Each Lender that sells a participation shall, acting solely for this purpose as a non-fiduciary agent of the Borrower, maintain a register, maintained </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701675"/>
                <wp:effectExtent l="0" t="0" r="0" b="0"/>
                <wp:wrapNone/>
                <wp:docPr id="300" name="Frame29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in a manner to comply with Section 5f.103-1(c) and proposed Section 1.163-5(b) of the United States Treasury Regulations on which it enters the name and address of each Participant and the principal amounts (and interest amounts) of each Participant’s interest in the Loans or other obligations under the Loan Documents (the “</w:t>
      </w:r>
      <w:r>
        <w:rPr>
          <w:rFonts w:ascii="Times New Roman;serif" w:hAnsi="Times New Roman;serif"/>
          <w:b w:val="false"/>
          <w:i/>
          <w:color w:val="000000"/>
          <w:sz w:val="22"/>
          <w:u w:val="single"/>
        </w:rPr>
        <w:t>Participant Register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and proposed Section 1.163-5(b)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Certain Pledges</w:t>
      </w:r>
      <w:r>
        <w:rPr>
          <w:rFonts w:ascii="Times New Roman;serif" w:hAnsi="Times New Roman;serif"/>
          <w:b w:val="false"/>
          <w:color w:val="000000"/>
          <w:sz w:val="22"/>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pledge or assignment shall release such Lender from any of its obligations hereunder or substitute any such pledgee or assignee for such Lender as a party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Resignation as L/C Issuer or Swingline Lender after Assignment</w:t>
      </w:r>
      <w:r>
        <w:rPr>
          <w:rFonts w:ascii="Times New Roman;serif" w:hAnsi="Times New Roman;serif"/>
          <w:b w:val="false"/>
          <w:color w:val="000000"/>
          <w:sz w:val="22"/>
        </w:rPr>
        <w:t xml:space="preserve">. Notwithstanding anything to the contrary contained herein, if at any time any L/C Issuer assigns all of its Revolving Commitment and Revolving Loans pursuant to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above, such L/C Issuer may, (i) upon thirty (30) days’ notice to the Administrative Agent, the Borrower and the Lenders, resign as an L/C Issuer and/or (ii) upon thirty (30) days’ notice to the Borrower, resign as Swingline Lender. In the event of any such resignation as an L/C Issuer or Swingline Lender, the Borrower shall be entitled to appoint from among the Lenders a successor L/C Issuer or Swingline Lender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failure by the Borrower to appoint any such successor shall affect the resignation of the applicable L/C Issuer as an L/C Issuer or Swingline Lender, as the case may be. If any L/C Issuer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If Citibank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serif" w:hAnsi="Times New Roman;serif"/>
          <w:b w:val="false"/>
          <w:color w:val="000000"/>
          <w:sz w:val="22"/>
          <w:u w:val="single"/>
        </w:rPr>
        <w:t>Section 2.04(c</w:t>
      </w:r>
      <w:r>
        <w:rPr>
          <w:rFonts w:ascii="Times New Roman;serif" w:hAnsi="Times New Roman;serif"/>
          <w:b w:val="false"/>
          <w:color w:val="000000"/>
          <w:sz w:val="22"/>
        </w:rPr>
        <w:t>). Upon the appointment of a successor L/C Issuer and/or Swingline Lender, (A) such successor shall succeed to and become vested with all of the rights, powers, privileges and duties of the retiring L/C Issuer or Swingline Lender, as the case may be, and (B) the successor L/C Issuer shall issue letters of credit in substitution for the Letters of Credit, if any, outstanding at the time of such succession or make other arrangements satisfactory to the applicable retiring L/C Issuer to effectively assume the obligations of the applicable retiring L/C Issuer with respect to such Letters of Credit.</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Disqualified Lenders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(i)No assignment or participation shall be made to any Person that was a Disqualified Lender as of the date (the “Trade Date”) on which the assigning Lender entered into a binding agreement to sell and assign or participate all or a portion of its rights and obligations under this Agreement to such Person (unless the Borrower has consented to such assignment or participation in writing in its sole and absolute discretion, in which case such Person will not be considered a Disqualified Lender for the purpose of such assignment or participation). For the avoidance of doubt, with respect to </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701675"/>
                <wp:effectExtent l="0" t="0" r="0" b="0"/>
                <wp:wrapNone/>
                <wp:docPr id="301" name="Frame30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any assignee that becomes a Disqualified Lender after the applicable Trade Date (including as a result of the delivery of a notice pursuant to, and/or the expiration of the notice period referred to in, the definition of “Disqualified Lender”), (x) such assignee shall not retroactively be disqualified from becoming a Lender and (y) the execution by the Borrower of an Assignment and Assumption with respect to such assignee will not by itself result in such assignee no longer being considered a Disqualified Lender. Any assignment in violation of this clause (g)(i) shall not be void, but the other provisions of this clause (g) shall apply.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(ii)If any assignment or participation is made to any Disqualified Lender without the Borrower’s prior written consent in violation of clause (i) above, the Borrower may, at its sole expense and effort, upon notice to the applicable Disqualified Lender and the Administrative Agent, (A) terminate any Revolving Commitment of such Disqualified Lender and repay all obligations of the Borrower owing to such Disqualified Lender in connection with such Revolving Commitment and/or (B) require such Disqualified Lender to assign, without recourse (in accordance with and subject to the restrictions contained in this Section 11.06), all of its interest, rights and obligations under this Agreement and the other Loan Documents to one or more Eligible Assignees at the lesser of (x) the principal amount thereof and (y) the amount that such Disqualified Lender paid to acquire such interests, rights and obligations, in each case plus accrued interest, accrued fees and all other amounts (other than principal amounts) payable to it hereunder and the other Loan Documents; provided that (i) the Borrower shall have paid to the Administrative Agent the assignment fee (if any) specified in Section 11.06(b) and (ii) such assignment does not conflict with Applicable Laws.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(iii)Notwithstanding anything to the contrary contained in this Agreement, Disqualified Lenders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and (y) for purposes of voting on any plan of reorganization or plan of liquidation pursuant to any Debtor Relief Laws (“Plan of Reorganization”), each Disqualified Lender party hereto hereby agrees (1) not to vote on such Plan of Reorganization, (2) if such Disqualified Lender does vote on such Plan of Reorganization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(iv)The Administrative Agent shall have the right, and the Borrower hereby expressly authorizes the Administrative Agent, to (A) post the list of Disqualified Lenders provided by the Borrower and any updates thereto from time to time (collectively, the “DQ List”) on the Platform, including that portion of the Platform that is designated for “public side” Lenders and/or (B) provide the DQ List to each Lender requesting the same.</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701675"/>
                <wp:effectExtent l="0" t="0" r="0" b="0"/>
                <wp:wrapNone/>
                <wp:docPr id="302" name="Frame30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11.07</w:t>
      </w:r>
      <w:r>
        <w:rPr>
          <w:rFonts w:ascii="Times New Roman;serif" w:hAnsi="Times New Roman;serif"/>
          <w:b/>
          <w:color w:val="000000"/>
          <w:sz w:val="22"/>
          <w:u w:val="single"/>
        </w:rPr>
        <w:t>Treatment of Certain Information</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Confidentiality</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Treatment of Certain Information</w:t>
      </w:r>
      <w:r>
        <w:rPr>
          <w:rFonts w:ascii="Times New Roman;serif" w:hAnsi="Times New Roman;serif"/>
          <w:b w:val="false"/>
          <w:color w:val="000000"/>
          <w:sz w:val="22"/>
        </w:rPr>
        <w:t xml:space="preserve">. Each of the Administrative Agent, the Lenders and the L/C Issuers agrees to maintain the confidentiality of the Information (as defined below), except that Information may be disclosed (i) to its Affiliates, its auditors and its Related Parties who needs to know such information in connection with the transactions contemplated hereby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in which case (except with respect to any audit or examination conducted by bank accountants or any bank or other regulator authority exercising examination or regulatory authority), the Administrative Agent, L/C Issuer or such Lender, as applicable, to the extent practicable and permitted by law, rule or regulation, agrees to inform the Borrower promptly in advance thereof, (iii) to the extent required by Applicable Laws or regulations or by any subpoena or similar legal process, in which case (except with respect to any audit or examination conducted by bank accountants or any bank or other regulator authority exercising examination or regulatory authority), the Administrative Agent, L/C Issuer or such Lender, as applicable, to the extent practicable and permitted by law, rule or regulation, agrees to inform the Borrower promptly in advance thereof, (iv) to any other party hereto; provided that nothing herein shall permit any party to disclose any material non-public information to any Public Lender,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Times New Roman;serif" w:hAnsi="Times New Roman;serif"/>
          <w:b w:val="false"/>
          <w:color w:val="000000"/>
          <w:sz w:val="22"/>
          <w:u w:val="single"/>
        </w:rPr>
        <w:t>Section 11.07</w:t>
      </w:r>
      <w:r>
        <w:rPr>
          <w:rFonts w:ascii="Times New Roman;serif" w:hAnsi="Times New Roman;serif"/>
          <w:b w:val="false"/>
          <w:color w:val="000000"/>
          <w:sz w:val="22"/>
        </w:rPr>
        <w:t>, to (A) any assignee of or Participant in, or any prospective assignee of or Participant in, any of its rights and obligations under this Agreement or any Eligible Assignee invited to be a Lender pursuant to</w:t>
      </w:r>
      <w:r>
        <w:rPr>
          <w:color w:val="000000"/>
        </w:rPr>
        <w:t xml:space="preserve"> </w:t>
      </w:r>
      <w:r>
        <w:rPr>
          <w:rFonts w:ascii="Times New Roman;serif" w:hAnsi="Times New Roman;serif"/>
          <w:b w:val="false"/>
          <w:color w:val="000000"/>
          <w:sz w:val="22"/>
          <w:u w:val="single"/>
        </w:rPr>
        <w:t>Section 2.16(c)</w:t>
      </w:r>
      <w:r>
        <w:rPr>
          <w:color w:val="000000"/>
        </w:rPr>
        <w:t xml:space="preserve"> </w:t>
      </w:r>
      <w:r>
        <w:rPr>
          <w:rFonts w:ascii="Times New Roman;serif" w:hAnsi="Times New Roman;serif"/>
          <w:b w:val="false"/>
          <w:color w:val="000000"/>
          <w:sz w:val="22"/>
        </w:rPr>
        <w:t xml:space="preserve">or (B) any actual or prospective party (or its Related Parties) to any swap, derivative or other transaction under which payments are to be made by reference to the Parent and its Subsidiaries, and its obligations, this Agreement or payments hereunder, (vii) on a confidential basis to (A) any rating agency in connection with rating the Parent or its Subsidiaries or the credit facilities provided hereunder or (B) the provider of any Platform or other electronic delivery service used by the Administrative Agent, any L/C Issuer and/or the Swingline Lender to deliver Borrower Materials or notices to the Lenders, (viii) the CUSIP Service Bureau or any similar agency in connection with the application, issuance, publishing and monitoring of CUSIP numbers or other market identifiers with respect to the credit facilities provided hereunder, (ix) with the consent of the Borrower, (x) to the extent such Information (A) is or becomes publicly available other than as a result of a breach of this </w:t>
      </w:r>
      <w:r>
        <w:rPr>
          <w:rFonts w:ascii="Times New Roman;serif" w:hAnsi="Times New Roman;serif"/>
          <w:b w:val="false"/>
          <w:color w:val="000000"/>
          <w:sz w:val="22"/>
          <w:u w:val="single"/>
        </w:rPr>
        <w:t>Section 11.07</w:t>
      </w:r>
      <w:r>
        <w:rPr>
          <w:rFonts w:ascii="Times New Roman;serif" w:hAnsi="Times New Roman;serif"/>
          <w:b w:val="false"/>
          <w:color w:val="000000"/>
          <w:sz w:val="22"/>
        </w:rPr>
        <w:t xml:space="preserve">, or (B) is or becomes available to the Administrative Agent, any Lender, any L/C Issuer or any of their respective Affiliates on a nonconfidential basis from a source other than the Borrower or (xi) is independently discovered or developed by a party hereto without utilizing any Information received from the Loan Parties or violating the terms of this </w:t>
      </w:r>
      <w:r>
        <w:rPr>
          <w:rFonts w:ascii="Times New Roman;serif" w:hAnsi="Times New Roman;serif"/>
          <w:b w:val="false"/>
          <w:color w:val="000000"/>
          <w:sz w:val="22"/>
          <w:u w:val="single"/>
        </w:rPr>
        <w:t>Section 11.07</w:t>
      </w:r>
      <w:r>
        <w:rPr>
          <w:rFonts w:ascii="Times New Roman;serif" w:hAnsi="Times New Roman;serif"/>
          <w:b w:val="false"/>
          <w:color w:val="000000"/>
          <w:sz w:val="22"/>
        </w:rPr>
        <w:t xml:space="preserve">. For purposes of this </w:t>
      </w:r>
      <w:r>
        <w:rPr>
          <w:rFonts w:ascii="Times New Roman;serif" w:hAnsi="Times New Roman;serif"/>
          <w:b w:val="false"/>
          <w:color w:val="000000"/>
          <w:sz w:val="22"/>
          <w:u w:val="single"/>
        </w:rPr>
        <w:t>Section 11.07</w:t>
      </w:r>
      <w:r>
        <w:rPr>
          <w:rFonts w:ascii="Times New Roman;serif" w:hAnsi="Times New Roman;serif"/>
          <w:b w:val="false"/>
          <w:color w:val="000000"/>
          <w:sz w:val="22"/>
        </w:rPr>
        <w:t>, “</w:t>
      </w:r>
      <w:r>
        <w:rPr>
          <w:rFonts w:ascii="Times New Roman;serif" w:hAnsi="Times New Roman;serif"/>
          <w:b w:val="false"/>
          <w:i/>
          <w:color w:val="000000"/>
          <w:sz w:val="22"/>
          <w:u w:val="single"/>
        </w:rPr>
        <w:t>Information</w:t>
      </w:r>
      <w:r>
        <w:rPr>
          <w:color w:val="000000"/>
        </w:rPr>
        <w:t xml:space="preserve">” </w:t>
      </w:r>
      <w:r>
        <w:rPr>
          <w:rFonts w:ascii="Times New Roman;serif" w:hAnsi="Times New Roman;serif"/>
          <w:b w:val="false"/>
          <w:color w:val="000000"/>
          <w:sz w:val="22"/>
        </w:rPr>
        <w:t xml:space="preserve">means all information received from the Parent or any Subsidiary relating to the Parent or any Subsidiary or any of their respective businesses. Any Person required to maintain the confidentiality of Information as provided in this </w:t>
      </w:r>
      <w:r>
        <w:rPr>
          <w:rFonts w:ascii="Times New Roman;serif" w:hAnsi="Times New Roman;serif"/>
          <w:b w:val="false"/>
          <w:color w:val="000000"/>
          <w:sz w:val="22"/>
          <w:u w:val="single"/>
        </w:rPr>
        <w:t>Section 11.07</w:t>
      </w:r>
      <w:r>
        <w:rPr>
          <w:color w:val="000000"/>
        </w:rPr>
        <w:t xml:space="preserve"> </w:t>
      </w:r>
      <w:r>
        <w:rPr>
          <w:rFonts w:ascii="Times New Roman;serif" w:hAnsi="Times New Roman;serif"/>
          <w:b w:val="false"/>
          <w:color w:val="000000"/>
          <w:sz w:val="22"/>
        </w:rPr>
        <w:t>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Non-Public Information</w:t>
      </w:r>
      <w:r>
        <w:rPr>
          <w:rFonts w:ascii="Times New Roman;serif" w:hAnsi="Times New Roman;serif"/>
          <w:b w:val="false"/>
          <w:color w:val="000000"/>
          <w:sz w:val="22"/>
        </w:rPr>
        <w:t xml:space="preserve">. Each of the Administrative Agent, the Lenders and the L/C Issuers acknowledges that (i) the Information may include material non-public information concerning a Loan Party or a Subsidiary, as the case may be, (ii) it has developed compliance </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701675"/>
                <wp:effectExtent l="0" t="0" r="0" b="0"/>
                <wp:wrapNone/>
                <wp:docPr id="303" name="Frame30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procedures regarding the use of material non-public information and (iii) it will handle such material non-public information in accordance with Applicable Law, including United States federal and state securities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Press Releases</w:t>
      </w:r>
      <w:r>
        <w:rPr>
          <w:rFonts w:ascii="Times New Roman;serif" w:hAnsi="Times New Roman;serif"/>
          <w:b w:val="false"/>
          <w:color w:val="000000"/>
          <w:sz w:val="22"/>
        </w:rPr>
        <w:t>. The Loan Parties and their Affiliates, on the one hand, and the Administrative Agent, the Lenders, and their respective Affiliates, on the other hand, each agree that they will not in the future issue any press releases or other public disclosure (other than filings required to be made with the SEC) using the name of the other parties or referring to this Agreement or any of the Loan Documents without the prior written consent of the other parties (such consent not to be unreasonably withheld, conditioned or delayed).</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Customary Advertising Material</w:t>
      </w:r>
      <w:r>
        <w:rPr>
          <w:rFonts w:ascii="Times New Roman;serif" w:hAnsi="Times New Roman;serif"/>
          <w:b w:val="false"/>
          <w:color w:val="000000"/>
          <w:sz w:val="22"/>
        </w:rPr>
        <w:t xml:space="preserve">. Subject to the Borrower’s express prior written consent, the Administrative Agent and any Lender may publish customary advertising material relating to the transactions contemplated hereby using the name, product photographs, logo or trademark of the Loan Parties;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such consent shall not be required with respect to tombstones or other similar advertising material relating to the syndication and arrangement of the Revolving Facility providing the same information as typically included on tombstones. The Administrative Agent and the Lenders may provide, without the Borrower’s consent, to market data collectors, such as league table, or other service providers to the lending industry, information regarding the Revolving Facility including the Closing Date, size, type and purpose of, and the parties to, the Revolving Facility.</w:t>
      </w:r>
    </w:p>
    <w:p>
      <w:pPr>
        <w:pStyle w:val="TextBody"/>
        <w:bidi w:val="0"/>
        <w:spacing w:lineRule="auto" w:line="240" w:before="0" w:after="240"/>
        <w:ind w:left="0" w:right="0" w:firstLine="720"/>
        <w:jc w:val="both"/>
        <w:rPr/>
      </w:pPr>
      <w:r>
        <w:rPr>
          <w:rFonts w:ascii="Times New Roman;serif" w:hAnsi="Times New Roman;serif"/>
          <w:b/>
          <w:color w:val="000000"/>
          <w:sz w:val="22"/>
        </w:rPr>
        <w:t>11.08</w:t>
      </w:r>
      <w:r>
        <w:rPr>
          <w:rFonts w:ascii="Times New Roman;serif" w:hAnsi="Times New Roman;serif"/>
          <w:b/>
          <w:color w:val="000000"/>
          <w:sz w:val="22"/>
          <w:u w:val="single"/>
        </w:rPr>
        <w:t>Right of Setoff</w:t>
      </w:r>
      <w:r>
        <w:rPr>
          <w:rFonts w:ascii="Times New Roman;serif" w:hAnsi="Times New Roman;serif"/>
          <w:b w:val="false"/>
          <w:color w:val="000000"/>
          <w:sz w:val="22"/>
        </w:rPr>
        <w:t xml:space="preserve">. </w:t>
      </w:r>
    </w:p>
    <w:p>
      <w:pPr>
        <w:pStyle w:val="TextBody"/>
        <w:bidi w:val="0"/>
        <w:spacing w:lineRule="auto" w:line="288" w:before="0" w:after="240"/>
        <w:jc w:val="both"/>
        <w:rPr/>
      </w:pPr>
      <w:r>
        <w:rPr>
          <w:rFonts w:ascii="Times New Roman;serif" w:hAnsi="Times New Roman;serif"/>
          <w:b w:val="false"/>
          <w:color w:val="000000"/>
          <w:sz w:val="22"/>
        </w:rPr>
        <w:t xml:space="preserve">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or any other Loan Party against any and all of the obligations of the Borrower or such Loan Party now or hereafter existing under this Agreement or any other Loan Document to such Lender, such L/C Issuer or such Affiliates, irrespective of whether or not such Lender, such L/C Issuer or Affiliate shall have made any demand under this Agreement or any other Loan Document and although such obligations of the Borrower or such Loan Party may be contingent or unmatured, secured or unsecured, or are owed to a branch, office or Affiliate of such Lender or such L/C Issuer different from the branch, office or Affiliate holding such deposit or obligated on such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event that any Defaulting Lender shall exercise any such right of setoff, (a) all amounts so set off shall be paid over immediately to the Administrative Agent for further application in accordance with the provisions of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and, pending such payment, shall be segregated by such Defaulting Lender from its other funds and deemed held in trust for the benefit of the Administrative Agent, the L/C Issuers and the Lenders, and (b) the Defaulting Lender shall provide promptly to the Administrative Agent a statement describing in reasonable detail the Secured Obligations owing to such Defaulting Lender as to which it exercised such right of setoff. The rights of each Lender, each L/C Issuer and their respective Affiliates under this </w:t>
      </w:r>
      <w:r>
        <w:rPr>
          <w:rFonts w:ascii="Times New Roman;serif" w:hAnsi="Times New Roman;serif"/>
          <w:b w:val="false"/>
          <w:color w:val="000000"/>
          <w:sz w:val="22"/>
          <w:u w:val="single"/>
        </w:rPr>
        <w:t>Section 11.08</w:t>
      </w:r>
      <w:r>
        <w:rPr>
          <w:color w:val="000000"/>
        </w:rPr>
        <w:t xml:space="preserve"> </w:t>
      </w:r>
      <w:r>
        <w:rPr>
          <w:rFonts w:ascii="Times New Roman;serif" w:hAnsi="Times New Roman;serif"/>
          <w:b w:val="false"/>
          <w:color w:val="000000"/>
          <w:sz w:val="22"/>
        </w:rPr>
        <w:t xml:space="preserve">are in addition to other rights and remedies (including other rights of setoff) that such Lender, such L/C Issuer or their respective Affiliates may have under Applicable Law. Each Lender and each L/C Issuer agrees to notify the Borrower and the Administrative Agent promptly after any such setoff and application, provided that the failure to give such notice shall not affect the validity of such setoff and application. Notwithstanding the foregoing, Administrative Agent and each Lender waive any right of offset it may have against any Government Receivables Deposit Account maintained by any Loan Party with the Administrative Agent or such Lender for the repayment of any Secured Obligations (other than with respect to Secured Cash Management Agreements);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however, that the Administrative Agent and each such Lender shall </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701675"/>
                <wp:effectExtent l="0" t="0" r="0" b="0"/>
                <wp:wrapNone/>
                <wp:docPr id="304" name="Frame30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at all times have (and does not waive) a perfected security interest in each such Government Receivables Deposit Account and any proceeds of Collateral deposited into each such Government Receivables Deposit Account to secure the repayment of all Secured Obligations, in each case, to the extent perfection in any such Government Receivables Deposit Accounts arises from Section 9-104(a)(1) of the UCC.</w:t>
      </w:r>
    </w:p>
    <w:p>
      <w:pPr>
        <w:pStyle w:val="TextBody"/>
        <w:bidi w:val="0"/>
        <w:spacing w:lineRule="auto" w:line="240" w:before="0" w:after="240"/>
        <w:ind w:left="0" w:right="0" w:firstLine="720"/>
        <w:jc w:val="both"/>
        <w:rPr/>
      </w:pPr>
      <w:r>
        <w:rPr>
          <w:rFonts w:ascii="Times New Roman;serif" w:hAnsi="Times New Roman;serif"/>
          <w:b/>
          <w:color w:val="000000"/>
          <w:sz w:val="22"/>
        </w:rPr>
        <w:t>11.09</w:t>
      </w:r>
      <w:r>
        <w:rPr>
          <w:rFonts w:ascii="Times New Roman;serif" w:hAnsi="Times New Roman;serif"/>
          <w:b/>
          <w:color w:val="000000"/>
          <w:sz w:val="22"/>
          <w:u w:val="single"/>
        </w:rPr>
        <w:t>Interest Rate Limitation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Notwithstanding anything to the contrary contained in any Loan Document, the interest paid or agreed to be paid under the Loan Documents shall not exceed the maximum rate of non-usurious interest permitted by Applicable Law (the “</w:t>
      </w:r>
      <w:r>
        <w:rPr>
          <w:rFonts w:ascii="Times New Roman;serif" w:hAnsi="Times New Roman;serif"/>
          <w:b w:val="false"/>
          <w:i/>
          <w:color w:val="000000"/>
          <w:sz w:val="22"/>
          <w:u w:val="single"/>
        </w:rPr>
        <w:t>Maximum Rate</w:t>
      </w:r>
      <w:r>
        <w:rPr>
          <w:color w:val="000000"/>
        </w:rPr>
        <w:t>”</w:t>
      </w:r>
      <w:r>
        <w:rPr>
          <w:rFonts w:ascii="Times New Roman;serif" w:hAnsi="Times New Roman;serif"/>
          <w:b w:val="false"/>
          <w:color w:val="000000"/>
          <w:sz w:val="22"/>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lineRule="auto" w:line="240" w:before="0" w:after="240"/>
        <w:ind w:left="0" w:right="0" w:firstLine="720"/>
        <w:jc w:val="both"/>
        <w:rPr/>
      </w:pPr>
      <w:r>
        <w:rPr>
          <w:rFonts w:ascii="Times New Roman;serif" w:hAnsi="Times New Roman;serif"/>
          <w:b/>
          <w:color w:val="000000"/>
          <w:sz w:val="22"/>
        </w:rPr>
        <w:t>11.10</w:t>
      </w:r>
      <w:r>
        <w:rPr>
          <w:rFonts w:ascii="Times New Roman;serif" w:hAnsi="Times New Roman;serif"/>
          <w:b/>
          <w:color w:val="000000"/>
          <w:sz w:val="22"/>
          <w:u w:val="single"/>
        </w:rPr>
        <w:t>Integration</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Effectiveness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This Agreement, the other Loan Documents, and any separate letter agreements with 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serif" w:hAnsi="Times New Roman;serif"/>
          <w:b w:val="false"/>
          <w:color w:val="000000"/>
          <w:sz w:val="22"/>
          <w:u w:val="single"/>
        </w:rPr>
        <w:t>Section 4.01</w:t>
      </w:r>
      <w:r>
        <w:rPr>
          <w:rFonts w:ascii="Times New Roman;serif" w:hAnsi="Times New Roman;serif"/>
          <w:b w:val="false"/>
          <w:color w:val="000000"/>
          <w:sz w:val="22"/>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 and assigns.</w:t>
      </w:r>
    </w:p>
    <w:p>
      <w:pPr>
        <w:pStyle w:val="TextBody"/>
        <w:bidi w:val="0"/>
        <w:spacing w:lineRule="auto" w:line="240" w:before="0" w:after="240"/>
        <w:ind w:left="0" w:right="0" w:firstLine="720"/>
        <w:jc w:val="both"/>
        <w:rPr/>
      </w:pPr>
      <w:r>
        <w:rPr>
          <w:rFonts w:ascii="Times New Roman;serif" w:hAnsi="Times New Roman;serif"/>
          <w:b/>
          <w:color w:val="000000"/>
          <w:sz w:val="22"/>
        </w:rPr>
        <w:t>11.11</w:t>
      </w:r>
      <w:r>
        <w:rPr>
          <w:rFonts w:ascii="Times New Roman;serif" w:hAnsi="Times New Roman;serif"/>
          <w:b/>
          <w:color w:val="000000"/>
          <w:sz w:val="22"/>
          <w:u w:val="single"/>
        </w:rPr>
        <w:t>Survival of Representations and Warranties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lineRule="auto" w:line="240" w:before="0" w:after="240"/>
        <w:ind w:left="0" w:right="0" w:firstLine="720"/>
        <w:jc w:val="both"/>
        <w:rPr/>
      </w:pPr>
      <w:r>
        <w:rPr>
          <w:rFonts w:ascii="Times New Roman;serif" w:hAnsi="Times New Roman;serif"/>
          <w:b/>
          <w:color w:val="000000"/>
          <w:sz w:val="22"/>
        </w:rPr>
        <w:t>11.12</w:t>
      </w:r>
      <w:r>
        <w:rPr>
          <w:rFonts w:ascii="Times New Roman;serif" w:hAnsi="Times New Roman;serif"/>
          <w:b/>
          <w:color w:val="000000"/>
          <w:sz w:val="22"/>
          <w:u w:val="single"/>
        </w:rPr>
        <w:t>Severability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serif" w:hAnsi="Times New Roman;serif"/>
          <w:b w:val="false"/>
          <w:color w:val="000000"/>
          <w:sz w:val="22"/>
          <w:u w:val="single"/>
        </w:rPr>
        <w:t>Section 11.12</w:t>
      </w:r>
      <w:r>
        <w:rPr>
          <w:rFonts w:ascii="Times New Roman;serif" w:hAnsi="Times New Roman;serif"/>
          <w:b w:val="false"/>
          <w:color w:val="000000"/>
          <w:sz w:val="22"/>
        </w:rPr>
        <w:t xml:space="preserve">, if and to the extent that the enforceability of any provisions in this Agreement relating to </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701675"/>
                <wp:effectExtent l="0" t="0" r="0" b="0"/>
                <wp:wrapNone/>
                <wp:docPr id="305" name="Frame304"/>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Defaulting Lenders shall be limited by Debtor Relief Laws, as determined in good faith by the Administrative Agent, any L/C Issuer or the Swingline Lender, as applicable, then such provisions shall be deemed to be in effect only to the extent not so limited.</w:t>
      </w:r>
    </w:p>
    <w:p>
      <w:pPr>
        <w:pStyle w:val="TextBody"/>
        <w:bidi w:val="0"/>
        <w:spacing w:lineRule="auto" w:line="240" w:before="0" w:after="240"/>
        <w:ind w:left="0" w:right="0" w:firstLine="720"/>
        <w:jc w:val="both"/>
        <w:rPr/>
      </w:pPr>
      <w:r>
        <w:rPr>
          <w:rFonts w:ascii="Times New Roman;serif" w:hAnsi="Times New Roman;serif"/>
          <w:b/>
          <w:color w:val="000000"/>
          <w:sz w:val="22"/>
        </w:rPr>
        <w:t>11.13</w:t>
      </w:r>
      <w:r>
        <w:rPr>
          <w:rFonts w:ascii="Times New Roman;serif" w:hAnsi="Times New Roman;serif"/>
          <w:b/>
          <w:color w:val="000000"/>
          <w:sz w:val="22"/>
          <w:u w:val="single"/>
        </w:rPr>
        <w:t>Replacement of Lenders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(a)If the Borrower is entitled to replace a Lender pursuant to the provisions of </w:t>
      </w:r>
      <w:r>
        <w:rPr>
          <w:rFonts w:ascii="Times New Roman;serif" w:hAnsi="Times New Roman;serif"/>
          <w:b w:val="false"/>
          <w:color w:val="000000"/>
          <w:sz w:val="22"/>
          <w:u w:val="single"/>
        </w:rPr>
        <w:t>Section 3.06</w:t>
      </w:r>
      <w:r>
        <w:rPr>
          <w:rFonts w:ascii="Times New Roman;serif" w:hAnsi="Times New Roman;serif"/>
          <w:b w:val="false"/>
          <w:color w:val="000000"/>
          <w:sz w:val="22"/>
        </w:rPr>
        <w:t xml:space="preserve">, or if any Lender is a Defaulting Lender or a Non-Consenting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serif" w:hAnsi="Times New Roman;serif"/>
          <w:b w:val="false"/>
          <w:color w:val="000000"/>
          <w:sz w:val="22"/>
          <w:u w:val="single"/>
        </w:rPr>
        <w:t>Section 11.06</w:t>
      </w:r>
      <w:r>
        <w:rPr>
          <w:rFonts w:ascii="Times New Roman;serif" w:hAnsi="Times New Roman;serif"/>
          <w:b w:val="false"/>
          <w:color w:val="000000"/>
          <w:sz w:val="22"/>
        </w:rPr>
        <w:t xml:space="preserve">), all of its interests, rights (other than its existing rights to payments pursuant to </w:t>
      </w:r>
      <w:r>
        <w:rPr>
          <w:rFonts w:ascii="Times New Roman;serif" w:hAnsi="Times New Roman;serif"/>
          <w:b w:val="false"/>
          <w:color w:val="000000"/>
          <w:sz w:val="22"/>
          <w:u w:val="single"/>
        </w:rPr>
        <w:t>Sections 3.01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and obligations under this Agreement and the related Loan Documents to an Eligible Assignee that shall assume such obligations (which assignee may be another Lender, if a Lender accepts such assignment),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(i)the Borrower shall have paid to the Administrative Agent the assignment fee (if any) specified in </w:t>
      </w:r>
      <w:r>
        <w:rPr>
          <w:rFonts w:ascii="Times New Roman;serif" w:hAnsi="Times New Roman;serif"/>
          <w:b w:val="false"/>
          <w:color w:val="000000"/>
          <w:sz w:val="22"/>
          <w:u w:val="single"/>
        </w:rPr>
        <w:t>Section 11.06(b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serif" w:hAnsi="Times New Roman;serif"/>
          <w:b w:val="false"/>
          <w:color w:val="000000"/>
          <w:sz w:val="22"/>
          <w:u w:val="single"/>
        </w:rPr>
        <w:t>Section 3.05</w:t>
      </w:r>
      <w:r>
        <w:rPr>
          <w:rFonts w:ascii="Times New Roman;serif" w:hAnsi="Times New Roman;serif"/>
          <w:b w:val="false"/>
          <w:color w:val="000000"/>
          <w:sz w:val="22"/>
        </w:rPr>
        <w:t>) from the assignee (to the extent of such outstanding principal and accrued interest and fees) or the Borrower</w:t>
      </w:r>
      <w:r>
        <w:rPr>
          <w:color w:val="7030A0"/>
        </w:rPr>
        <w:t xml:space="preserve"> </w:t>
      </w:r>
      <w:r>
        <w:rPr>
          <w:rFonts w:ascii="Times New Roman;serif" w:hAnsi="Times New Roman;serif"/>
          <w:b w:val="false"/>
          <w:color w:val="000000"/>
          <w:sz w:val="22"/>
        </w:rPr>
        <w:t>(in the case of all other amounts);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(iii)in the case of any such assignment resulting from a claim for compensation under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 xml:space="preserve">or payments required to be made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such assignment will result in a reduction in such compensation or payments thereafter;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(iv)such assignment does not conflict with Applicable Laws;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(v)in the case of an assignment resulting from a Lender becoming a Non-Consenting Lender, the applicable assignee shall have consented to the applicable amendment, waiver or consent.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(c)Each party hereto agrees that (i) an assignment required pursuant to this </w:t>
      </w:r>
      <w:r>
        <w:rPr>
          <w:rFonts w:ascii="Times New Roman;serif" w:hAnsi="Times New Roman;serif"/>
          <w:b w:val="false"/>
          <w:color w:val="000000"/>
          <w:sz w:val="22"/>
          <w:u w:val="single"/>
        </w:rPr>
        <w:t>Section 11.13</w:t>
      </w:r>
      <w:r>
        <w:rPr>
          <w:color w:val="000000"/>
        </w:rPr>
        <w:t xml:space="preserve"> </w:t>
      </w:r>
      <w:r>
        <w:rPr>
          <w:rFonts w:ascii="Times New Roman;serif" w:hAnsi="Times New Roman;serif"/>
          <w:b w:val="false"/>
          <w:color w:val="000000"/>
          <w:sz w:val="22"/>
        </w:rPr>
        <w:t xml:space="preserve">may be effected pursuant to an Assignment and Assumption executed by the Borrower, the Administrative Agent and the assignee and (ii) the Lender required to make such assignment need not be a party thereto in order for such assignment to be effective and shall be deemed to have consented to an be bound by the terms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any such documents shall be without recourse to or warranty by the parties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(d)Notwithstanding anything in this </w:t>
      </w:r>
      <w:r>
        <w:rPr>
          <w:rFonts w:ascii="Times New Roman;serif" w:hAnsi="Times New Roman;serif"/>
          <w:b w:val="false"/>
          <w:color w:val="000000"/>
          <w:sz w:val="22"/>
          <w:u w:val="single"/>
        </w:rPr>
        <w:t>Section 11.13</w:t>
      </w:r>
      <w:r>
        <w:rPr>
          <w:color w:val="000000"/>
        </w:rPr>
        <w:t xml:space="preserve"> </w:t>
      </w:r>
      <w:r>
        <w:rPr>
          <w:rFonts w:ascii="Times New Roman;serif" w:hAnsi="Times New Roman;serif"/>
          <w:b w:val="false"/>
          <w:color w:val="000000"/>
          <w:sz w:val="22"/>
        </w:rPr>
        <w:t xml:space="preserve">to the contrary, (A)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701675"/>
                <wp:effectExtent l="0" t="0" r="0" b="0"/>
                <wp:wrapNone/>
                <wp:docPr id="306" name="Frame305"/>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 amounts and pursuant to arrangements reasonably satisfactory to such L/C Issuer) have been made with respect to such outstanding Letter of Credit and (B) the Lender that acts as the Administrative Agent may not be replaced hereunder except in accordance with the terms of </w:t>
      </w:r>
      <w:r>
        <w:rPr>
          <w:rFonts w:ascii="Times New Roman;serif" w:hAnsi="Times New Roman;serif"/>
          <w:b w:val="false"/>
          <w:color w:val="000000"/>
          <w:sz w:val="22"/>
          <w:u w:val="single"/>
        </w:rPr>
        <w:t>Section 9.06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11.14</w:t>
      </w:r>
      <w:r>
        <w:rPr>
          <w:rFonts w:ascii="Times New Roman;serif" w:hAnsi="Times New Roman;serif"/>
          <w:b/>
          <w:color w:val="000000"/>
          <w:sz w:val="22"/>
          <w:u w:val="single"/>
        </w:rPr>
        <w:t>Governing Law</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Jurisdiction</w:t>
      </w:r>
      <w:r>
        <w:rPr>
          <w:rFonts w:ascii="Times New Roman;serif" w:hAnsi="Times New Roman;serif"/>
          <w:b w:val="false"/>
          <w:color w:val="000000"/>
          <w:sz w:val="22"/>
          <w:u w:val="single"/>
        </w:rPr>
        <w:t>;</w:t>
      </w:r>
      <w:r>
        <w:rPr>
          <w:color w:val="000000"/>
          <w:u w:val="single"/>
        </w:rPr>
        <w:t xml:space="preserve"> </w:t>
      </w:r>
      <w:r>
        <w:rPr>
          <w:rFonts w:ascii="Times New Roman;serif" w:hAnsi="Times New Roman;serif"/>
          <w:b/>
          <w:color w:val="000000"/>
          <w:sz w:val="22"/>
          <w:u w:val="single"/>
        </w:rPr>
        <w:t>Etc</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SUBMISSION TO JURISDICTION</w:t>
      </w:r>
      <w:r>
        <w:rPr>
          <w:rFonts w:ascii="Times New Roman;serif" w:hAnsi="Times New Roman;serif"/>
          <w:b w:val="false"/>
          <w:color w:val="000000"/>
          <w:sz w:val="22"/>
        </w:rPr>
        <w:t xml:space="preserve">. EACH PARTY HERETO IRREVOCABLY AND UNCONDITIONALLY AGREES THAT IT WILL NOT COMMENCE ANY ACTION, LITIGATION OR PROCEEDING OF ANY KIND OR DESCRIPTION, WHETHER IN LAW OR EQUITY, WHETHER IN CONTRACT OR IN TORT OR OTHERWISE, AGAINST THE ANY OTHER PARTY HERETO IN ANY WAY RELATING TO THIS AGREEMENT OR ANY OTHER LOAN DOCUMENT OR THE TRANSACTIONS RELATING HERETO OR THERETO, IN ANY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WAIVER OF VENUE</w:t>
      </w:r>
      <w:r>
        <w:rPr>
          <w:rFonts w:ascii="Times New Roman;serif" w:hAnsi="Times New Roman;serif"/>
          <w:b w:val="false"/>
          <w:color w:val="000000"/>
          <w:sz w:val="22"/>
        </w:rPr>
        <w:t xml:space="preserve">.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11.14</w:t>
      </w:r>
      <w:r>
        <w:rPr>
          <w:rFonts w:ascii="Times New Roman;serif" w:hAnsi="Times New Roman;serif"/>
          <w:b w:val="false"/>
          <w:color w:val="000000"/>
          <w:sz w:val="22"/>
        </w:rPr>
        <w:t>. EACH OF THE PARTIES HERETO HEREBY IRREVOCABLY AND UNCONDITIONALLY WAIVES, TO THE FULLEST EXTENT PERMITTED BY APPLICABLE LAW, THE DEFENSE OF AN INCONVENIENT FORUM TO THE MAINTENANCE OF SUCH ACTION OR PROCEEDING IN ANY SUCH COURT.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SERVICE OF PROCESS</w:t>
      </w:r>
      <w:r>
        <w:rPr>
          <w:rFonts w:ascii="Times New Roman;serif" w:hAnsi="Times New Roman;serif"/>
          <w:b w:val="false"/>
          <w:color w:val="000000"/>
          <w:sz w:val="22"/>
        </w:rPr>
        <w:t xml:space="preserve">. EACH PARTY HERETO IRREVOCABLY CONSENTS TO SERVICE OF PROCESS IN THE MANNER PROVIDED FOR NOTICES IN </w:t>
      </w:r>
      <w:r>
        <w:rPr>
          <w:rFonts w:ascii="Times New Roman;serif" w:hAnsi="Times New Roman;serif"/>
          <w:b w:val="false"/>
          <w:color w:val="000000"/>
          <w:sz w:val="22"/>
          <w:u w:val="single"/>
        </w:rPr>
        <w:t>SECTION 11.02</w:t>
      </w:r>
      <w:r>
        <w:rPr>
          <w:rFonts w:ascii="Times New Roman;serif" w:hAnsi="Times New Roman;serif"/>
          <w:b w:val="false"/>
          <w:color w:val="000000"/>
          <w:sz w:val="22"/>
        </w:rPr>
        <w:t>. NOTHING IN THIS AGREEMENT WILL AFFECT THE RIGHT OF ANY PARTY HERETO TO SERVE PROCESS IN ANY OTHER MANNER PERMITTED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701675"/>
                <wp:effectExtent l="0" t="0" r="0" b="0"/>
                <wp:wrapNone/>
                <wp:docPr id="307" name="Frame306"/>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11.15</w:t>
      </w:r>
      <w:r>
        <w:rPr>
          <w:rFonts w:ascii="Times New Roman;serif" w:hAnsi="Times New Roman;serif"/>
          <w:b/>
          <w:color w:val="000000"/>
          <w:sz w:val="22"/>
          <w:u w:val="single"/>
        </w:rPr>
        <w:t>Waiver of Jury Trial</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serif" w:hAnsi="Times New Roman;serif"/>
          <w:b w:val="false"/>
          <w:color w:val="000000"/>
          <w:sz w:val="22"/>
          <w:u w:val="single"/>
        </w:rPr>
        <w:t>SECTION 11.15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11.16</w:t>
      </w:r>
      <w:r>
        <w:rPr>
          <w:rFonts w:ascii="Times New Roman;serif" w:hAnsi="Times New Roman;serif"/>
          <w:b/>
          <w:color w:val="000000"/>
          <w:sz w:val="22"/>
          <w:u w:val="single"/>
        </w:rPr>
        <w:t>Subordination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Each Loan Party (a “</w:t>
      </w:r>
      <w:r>
        <w:rPr>
          <w:rFonts w:ascii="Times New Roman;serif" w:hAnsi="Times New Roman;serif"/>
          <w:b w:val="false"/>
          <w:i/>
          <w:color w:val="000000"/>
          <w:sz w:val="22"/>
          <w:u w:val="single"/>
        </w:rPr>
        <w:t>Subordinating Loan Party</w:t>
      </w:r>
      <w:r>
        <w:rPr>
          <w:color w:val="000000"/>
        </w:rPr>
        <w:t>”</w:t>
      </w:r>
      <w:r>
        <w:rPr>
          <w:rFonts w:ascii="Times New Roman;serif" w:hAnsi="Times New Roman;serif"/>
          <w:b w:val="false"/>
          <w:color w:val="000000"/>
          <w:sz w:val="22"/>
        </w:rPr>
        <w:t xml:space="preserve">)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this Guaranty, to the payment in full of all Obligations. If an Event of Default has occurred and is continuing and the Secured Parties so request, any such obligation or indebtedness of any such other Loan Party to the Subordinating Loan Party shall be enforced and performance received by the Subordinating Loan Party as trustee for the Secured Parties and the proceeds thereof shall be paid over to the Secured Parties on account of the Secured Obligations, but without reducing or affecting in any manner the liability of the Subordinating Loan Party under this Agreement. Without limitation of the foregoing, so long as no Event of Default has occurred and is continuing, the Loan Parties may make and receive payments with respect to Intercompany Debt;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event that any Loan Party receives any payment of any Intercompany Debt at a time when such payment is prohibited by this </w:t>
      </w:r>
      <w:r>
        <w:rPr>
          <w:rFonts w:ascii="Times New Roman;serif" w:hAnsi="Times New Roman;serif"/>
          <w:b w:val="false"/>
          <w:color w:val="000000"/>
          <w:sz w:val="22"/>
          <w:u w:val="single"/>
        </w:rPr>
        <w:t>Section 11.16</w:t>
      </w:r>
      <w:r>
        <w:rPr>
          <w:rFonts w:ascii="Times New Roman;serif" w:hAnsi="Times New Roman;serif"/>
          <w:b w:val="false"/>
          <w:color w:val="000000"/>
          <w:sz w:val="22"/>
        </w:rPr>
        <w:t>, such payment shall be held by such Loan Party, in trust for the benefit of, and shall be paid forthwith over and delivered, upon written request, to the Administrative Agent.</w:t>
      </w:r>
    </w:p>
    <w:p>
      <w:pPr>
        <w:pStyle w:val="TextBody"/>
        <w:bidi w:val="0"/>
        <w:spacing w:lineRule="auto" w:line="240" w:before="0" w:after="240"/>
        <w:ind w:left="0" w:right="0" w:firstLine="720"/>
        <w:jc w:val="both"/>
        <w:rPr/>
      </w:pPr>
      <w:r>
        <w:rPr>
          <w:rFonts w:ascii="Times New Roman;serif" w:hAnsi="Times New Roman;serif"/>
          <w:b/>
          <w:color w:val="000000"/>
          <w:sz w:val="22"/>
        </w:rPr>
        <w:t>11.17</w:t>
      </w:r>
      <w:r>
        <w:rPr>
          <w:rFonts w:ascii="Times New Roman;serif" w:hAnsi="Times New Roman;serif"/>
          <w:b/>
          <w:color w:val="000000"/>
          <w:sz w:val="22"/>
          <w:u w:val="single"/>
        </w:rPr>
        <w:t>No Advisory or Fiduciary Responsibility</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(a) (i) the arranging and other services regarding this Agreement provided by the Administrative Agent, the Arrangers and the Lenders and their respective Affiliates are arm’s-length commercial transactions between the Borrower, each other Loan Party and their respective Affiliates, on the one hand, and the Administrative Agent, the Arrangers and the Lenders and their respective Affiliates, on the other hand, (ii) each of the Borrower and the other Loan Parties has consulted its own legal, accounting, regulatory and tax advisors to the extent it has deemed appropriate, and (iii) the Borrower and each other Loan Party is capable of evaluating, and understands and accepts, the terms, risks and conditions of the transactions contemplated hereby and by the other Loan Documents; (b) (i) the Administrative Agent, each Arranger and each Lender and each of their respective Affiliates each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(ii) neither the Administrative Agent, nor any Arranger or any Lender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701675"/>
                <wp:effectExtent l="0" t="0" r="0" b="0"/>
                <wp:wrapNone/>
                <wp:docPr id="308" name="Frame307"/>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nor any of their respective Affiliates has any obligation to the Borrower, any other Loan Party or any of their respective Affiliates with respect to the transactions contemplated hereby except those obligations expressly set forth herein and in the other Loan Documents; and (c) the Administrative Agent, the Arrangers and the Lenders and their respective Affiliates may be engaged in a broad range of transactions that involve interests that differ from those of the Borrower, the other Loan Parties and their respective Affiliates, and neither the Administrative Agent nor any Arranger or any Lender nor any of their respective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the Arrangers, the Lenders and their respective Affiliates with respect to any breach or alleged breach of agency or fiduciary duty in connection with any aspect of any transactions contemplated hereby.</w:t>
      </w:r>
    </w:p>
    <w:p>
      <w:pPr>
        <w:pStyle w:val="TextBody"/>
        <w:bidi w:val="0"/>
        <w:spacing w:lineRule="auto" w:line="240" w:before="0" w:after="240"/>
        <w:ind w:left="0" w:right="0" w:firstLine="720"/>
        <w:jc w:val="both"/>
        <w:rPr/>
      </w:pPr>
      <w:r>
        <w:rPr>
          <w:rFonts w:ascii="Times New Roman;serif" w:hAnsi="Times New Roman;serif"/>
          <w:b/>
          <w:color w:val="000000"/>
          <w:sz w:val="22"/>
        </w:rPr>
        <w:t>11.18</w:t>
      </w:r>
      <w:r>
        <w:rPr>
          <w:rFonts w:ascii="Times New Roman;serif" w:hAnsi="Times New Roman;serif"/>
          <w:b/>
          <w:color w:val="000000"/>
          <w:sz w:val="22"/>
          <w:u w:val="single"/>
        </w:rPr>
        <w:t>Electronic Execution; Electronic Records; Counterparts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This Agreement, any Loan Document and any other document, amendment, approval, consent, information, notice, certificate, request, statement, disclosure or authorization related to this Agreement or any other Loan Document (each, a “</w:t>
      </w:r>
      <w:r>
        <w:rPr>
          <w:rFonts w:ascii="Times New Roman;serif" w:hAnsi="Times New Roman;serif"/>
          <w:b w:val="false"/>
          <w:i/>
          <w:color w:val="000000"/>
          <w:sz w:val="22"/>
          <w:u w:val="single"/>
        </w:rPr>
        <w:t>Communication</w:t>
      </w:r>
      <w:r>
        <w:rPr>
          <w:color w:val="000000"/>
        </w:rPr>
        <w:t>”</w:t>
      </w:r>
      <w:r>
        <w:rPr>
          <w:rFonts w:ascii="Times New Roman;serif" w:hAnsi="Times New Roman;serif"/>
          <w:b w:val="false"/>
          <w:color w:val="000000"/>
          <w:sz w:val="22"/>
        </w:rPr>
        <w:t>), including Communications required to be in writing, may be in the form of an Electronic Record and may be executed using Electronic Signatures. Each of the Loan Parties and each of the Administrative Agent, each L/C Issuer, the Swingline Lender, and each Lender (collectively, each a “</w:t>
      </w:r>
      <w:r>
        <w:rPr>
          <w:rFonts w:ascii="Times New Roman;serif" w:hAnsi="Times New Roman;serif"/>
          <w:b w:val="false"/>
          <w:i/>
          <w:color w:val="000000"/>
          <w:sz w:val="22"/>
          <w:u w:val="single"/>
        </w:rPr>
        <w:t>Credit Party</w:t>
      </w:r>
      <w:r>
        <w:rPr>
          <w:color w:val="000000"/>
        </w:rPr>
        <w:t>”</w:t>
      </w:r>
      <w:r>
        <w:rPr>
          <w:rFonts w:ascii="Times New Roman;serif" w:hAnsi="Times New Roman;serif"/>
          <w:b w:val="false"/>
          <w:color w:val="000000"/>
          <w:sz w:val="22"/>
        </w:rPr>
        <w:t>)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Credit Parties may, at its option, create one or more copies of any Communication in the form of an imaged Electronic Record (“</w:t>
      </w:r>
      <w:r>
        <w:rPr>
          <w:rFonts w:ascii="Times New Roman;serif" w:hAnsi="Times New Roman;serif"/>
          <w:b w:val="false"/>
          <w:i/>
          <w:color w:val="000000"/>
          <w:sz w:val="22"/>
          <w:u w:val="single"/>
        </w:rPr>
        <w:t>Electronic Copy</w:t>
      </w:r>
      <w:r>
        <w:rPr>
          <w:color w:val="000000"/>
        </w:rPr>
        <w:t>”</w:t>
      </w:r>
      <w:r>
        <w:rPr>
          <w:rFonts w:ascii="Times New Roman;serif" w:hAnsi="Times New Roman;serif"/>
          <w:b w:val="false"/>
          <w:color w:val="000000"/>
          <w:sz w:val="22"/>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L/C Issuer nor Swingline Lender is under any obligation to accept an Electronic Signature in any form or in any format unless expressly agreed to by such Person pursuant to procedures approved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without limiting the foregoing, (a) to the extent the Administrative Agent, L/C Issuers and/or Swingline Lender has agreed to accept such Electronic Signature, the Administrative Agent and each of the Credit Parties shall be entitled to rely on any such Electronic Signature purportedly given by or on behalf of any Loan Party and/or any Credit Party without further verification and (b) upon the request of the Administrative Agent or any Credit Party, any Electronic Signature shall be promptly followed by such manually executed counterpart.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Neither the Administrative Agent, nor any L/C Issuer or Swingline Lender shall be responsible for or have any duty to ascertain or inquire into the sufficiency, validity, enforceability, effectiveness or genuineness of any Loan Document or any other agreement, instrument or document (including,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701675"/>
                <wp:effectExtent l="0" t="0" r="0" b="0"/>
                <wp:wrapNone/>
                <wp:docPr id="309" name="Frame308"/>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avoidance of doubt, in connection with the Administrative Agent’s, such L/C Issuer’s or Swingline Lender’s reliance on any Electronic Signature transmitted by telecopy, emailed .pdf or any other electronic means). The Administrative Agent, L/C Issuers and Swingline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Loan Parties and each Credit Party hereby waives (i) any argument, defense or right to contest the legal effect, validity or enforceability of this Agreement and/or any other Loan Document based solely on the lack of paper original copies of this Agreement and/or such other Loan Document, and (ii) waives any claim against the Administrative Agent, each Credit Party and each Related Party for any liabilities arising solely from the Administrative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lineRule="auto" w:line="240" w:before="0" w:after="240"/>
        <w:ind w:left="0" w:right="0" w:firstLine="720"/>
        <w:jc w:val="both"/>
        <w:rPr/>
      </w:pPr>
      <w:r>
        <w:rPr>
          <w:rFonts w:ascii="Times New Roman;serif" w:hAnsi="Times New Roman;serif"/>
          <w:b/>
          <w:color w:val="000000"/>
          <w:sz w:val="22"/>
        </w:rPr>
        <w:t>11.19</w:t>
      </w:r>
      <w:r>
        <w:rPr>
          <w:rFonts w:ascii="Times New Roman;serif" w:hAnsi="Times New Roman;serif"/>
          <w:b/>
          <w:color w:val="000000"/>
          <w:sz w:val="22"/>
          <w:u w:val="single"/>
        </w:rPr>
        <w:t>USA Patriot Act Notice</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Each Lender that is subject to the Patriot Act and the Administrative Agent (for itself and not on behalf of any Lender) hereby notifies the Borrower and the other Loan Parties that pursuant to the requirements of the USA PATRIOT Act (Title III of Pub. L. 107-56 (signed into law October 26, 2001)) (the “</w:t>
      </w:r>
      <w:r>
        <w:rPr>
          <w:rFonts w:ascii="Times New Roman;serif" w:hAnsi="Times New Roman;serif"/>
          <w:b w:val="false"/>
          <w:i/>
          <w:color w:val="000000"/>
          <w:sz w:val="22"/>
          <w:u w:val="single"/>
        </w:rPr>
        <w:t>Patriot Act</w:t>
      </w:r>
      <w:r>
        <w:rPr>
          <w:color w:val="000000"/>
        </w:rPr>
        <w:t>”</w:t>
      </w:r>
      <w:r>
        <w:rPr>
          <w:rFonts w:ascii="Times New Roman;serif" w:hAnsi="Times New Roman;serif"/>
          <w:b w:val="false"/>
          <w:color w:val="000000"/>
          <w:sz w:val="22"/>
        </w:rPr>
        <w:t xml:space="preserve">),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Patriot Act and the Beneficial Ownership Regulation. </w:t>
      </w:r>
    </w:p>
    <w:p>
      <w:pPr>
        <w:pStyle w:val="TextBody"/>
        <w:bidi w:val="0"/>
        <w:spacing w:lineRule="auto" w:line="240" w:before="0" w:after="240"/>
        <w:ind w:left="0" w:right="0" w:hanging="720"/>
        <w:jc w:val="both"/>
        <w:rPr/>
      </w:pPr>
      <w:r>
        <w:rPr>
          <w:rFonts w:ascii="Times New Roman;serif" w:hAnsi="Times New Roman;serif"/>
          <w:b/>
          <w:color w:val="000000"/>
          <w:sz w:val="22"/>
        </w:rPr>
        <w:t>11.20</w:t>
      </w:r>
      <w:r>
        <w:rPr>
          <w:rFonts w:ascii="Times New Roman;serif" w:hAnsi="Times New Roman;serif"/>
          <w:b/>
          <w:color w:val="000000"/>
          <w:sz w:val="22"/>
          <w:u w:val="single"/>
        </w:rPr>
        <w:t>Acknowledgement and Consent to Bail-In of Affected Financial Institutions</w:t>
      </w:r>
      <w:r>
        <w:rPr>
          <w:rFonts w:ascii="Times New Roman;serif" w:hAnsi="Times New Roman;serif"/>
          <w:b w:val="false"/>
          <w:color w:val="000000"/>
          <w:sz w:val="22"/>
        </w:rPr>
        <w:t>.</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Solely to the extent any Lender or any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any L/C Issuer that is an Affected Financial Institution arising under any Loan Document, to the extent such liability is unsecured, may be subject to the Write-Down and Conversion Powers of an Resolution Authority and agrees and consents to, and acknowledges and agrees to be bound by: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application of any Write-Down and Conversion Powers by the applicable Resolution Authority to any such liabilities arising hereunder which may be payable to it by any Lender or any L/C Issuer that is an Affected Financial Institution;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effects of any Bail-In Action on any such liability, including, if applicable: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 reduction in full or in part or cancellation of any such liability;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(ii)a conversion of all, or a portion of, such liability into shares or other instruments of ownership in such Affected Financial Institution, its parent undertaking, or a bridge institution that may be issued to it or otherwise conferred on it, and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701675"/>
                <wp:effectExtent l="0" t="0" r="0" b="0"/>
                <wp:wrapNone/>
                <wp:docPr id="310" name="Frame309"/>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shares or other instruments of ownership will be accepted by it in lieu of any rights with respect to any such liability under this Agreement or any other Loan Document;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(iii)the variation of the terms of such liability in connection with the exercise of the Write-Down and Conversion Powers of the applicable Resolution Authority.</w:t>
      </w:r>
    </w:p>
    <w:p>
      <w:pPr>
        <w:pStyle w:val="TextBody"/>
        <w:bidi w:val="0"/>
        <w:spacing w:lineRule="auto" w:line="240" w:before="0" w:after="240"/>
        <w:ind w:left="0" w:right="0" w:firstLine="720"/>
        <w:jc w:val="both"/>
        <w:rPr/>
      </w:pPr>
      <w:r>
        <w:rPr>
          <w:rFonts w:ascii="Times New Roman;serif" w:hAnsi="Times New Roman;serif"/>
          <w:b/>
          <w:color w:val="000000"/>
          <w:sz w:val="22"/>
        </w:rPr>
        <w:t>11.21</w:t>
      </w:r>
      <w:r>
        <w:rPr>
          <w:rFonts w:ascii="Times New Roman;serif" w:hAnsi="Times New Roman;serif"/>
          <w:b/>
          <w:color w:val="000000"/>
          <w:sz w:val="22"/>
          <w:u w:val="single"/>
        </w:rPr>
        <w:t>Acknowledgement Regarding Any Supported QFCs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To the extent that the Loan Documents provide support, through a guarantee or otherwise, for any Swap Contract or any other agreement or instrument that is a QFC (such support, “</w:t>
      </w:r>
      <w:r>
        <w:rPr>
          <w:rFonts w:ascii="Times New Roman;serif" w:hAnsi="Times New Roman;serif"/>
          <w:b w:val="false"/>
          <w:i/>
          <w:color w:val="000000"/>
          <w:sz w:val="22"/>
          <w:u w:val="single"/>
        </w:rPr>
        <w:t>QFC Credit Support</w:t>
      </w:r>
      <w:r>
        <w:rPr>
          <w:color w:val="000000"/>
        </w:rPr>
        <w:t>”</w:t>
      </w:r>
      <w:r>
        <w:rPr>
          <w:rFonts w:ascii="Times New Roman;serif" w:hAnsi="Times New Roman;serif"/>
          <w:b w:val="false"/>
          <w:color w:val="000000"/>
          <w:sz w:val="22"/>
        </w:rPr>
        <w:t>, and each such QFC, a “</w:t>
      </w:r>
      <w:r>
        <w:rPr>
          <w:rFonts w:ascii="Times New Roman;serif" w:hAnsi="Times New Roman;serif"/>
          <w:b w:val="false"/>
          <w:i/>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i/>
          <w:color w:val="000000"/>
          <w:sz w:val="22"/>
          <w:u w:val="single"/>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serif" w:hAnsi="Times New Roman;serif"/>
          <w:b w:val="false"/>
          <w:i/>
          <w:color w:val="000000"/>
          <w:sz w:val="22"/>
          <w:u w:val="single"/>
        </w:rPr>
        <w:t>Covered Party</w:t>
      </w:r>
      <w:r>
        <w:rPr>
          <w:color w:val="000000"/>
        </w:rPr>
        <w:t>”</w:t>
      </w:r>
      <w:r>
        <w:rPr>
          <w:rFonts w:ascii="Times New Roman;serif" w:hAnsi="Times New Roman;serif"/>
          <w:b w:val="false"/>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r>
        <w:rPr>
          <w:color w:val="000000"/>
          <w:u w:val="singl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701675"/>
                <wp:effectExtent l="0" t="0" r="0" b="0"/>
                <wp:wrapNone/>
                <wp:docPr id="311" name="Frame310"/>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caused this Agreement to be duly executed as of the date first above written.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color w:val="000000"/>
          <w:sz w:val="22"/>
          <w:u w:val="single"/>
        </w:rPr>
        <w:t>BORROWER</w:t>
      </w:r>
      <w:r>
        <w:rPr>
          <w:rFonts w:ascii="Times New Roman;serif" w:hAnsi="Times New Roman;serif"/>
          <w:b/>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ALIGNMENT HEALTHCARE USA, LLC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James M. Head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James M. Head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u w:val="single"/>
        </w:rPr>
        <w:t>GUARANTORS</w:t>
      </w:r>
      <w:r>
        <w:rPr>
          <w:rFonts w:ascii="Times New Roman;serif" w:hAnsi="Times New Roman;serif"/>
          <w:b/>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ALIGNMENT HEALTHCARE, INC.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James M. Head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James M. Head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ALIGNMENT HEALTHCARE HOLDCO 1, LLC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James M. Head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James M. Head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ALIGNMENT HEALTHCARE HOLDCO 2, LLC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James M. Head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James M. Head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ALIGNMENT HEALTH ADVISORS, LLC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James M. Head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James M. Head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SECURE HEALTH HOLDINGS, LLC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James M. Head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James M. Head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31445"/>
                <wp:effectExtent l="0" t="0" r="0" b="0"/>
                <wp:wrapNone/>
                <wp:docPr id="312" name="Frame3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 - ALIGNMENT HEALTHCARE USA, LLC]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 - ALIGNMENT HEALTHCARE USA, LLC]</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CITIBANK, N.A.</w:t>
      </w:r>
      <w:r>
        <w:rPr>
          <w:rFonts w:ascii="Times New Roman;serif" w:hAnsi="Times New Roman;serif"/>
          <w:b w:val="false"/>
          <w:color w:val="000000"/>
          <w:sz w:val="22"/>
        </w:rPr>
        <w:t>,</w:t>
        <w:br/>
        <w:t>as the Administrative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Cataldi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Matthew Cataldi</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31445"/>
                <wp:effectExtent l="0" t="0" r="0" b="0"/>
                <wp:wrapNone/>
                <wp:docPr id="313" name="Frame3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 - ALIGNMENT HEALTHCARE USA, LLC]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 - ALIGNMENT HEALTHCARE USA, LLC]</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CITIBANK, N.A.</w:t>
      </w:r>
      <w:r>
        <w:rPr>
          <w:rFonts w:ascii="Times New Roman;serif" w:hAnsi="Times New Roman;serif"/>
          <w:b w:val="false"/>
          <w:color w:val="000000"/>
          <w:sz w:val="22"/>
        </w:rPr>
        <w:t>,</w:t>
        <w:br/>
        <w:t>as a Lender, an L/C Issuer and Swingline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Cataldi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Matthew Cataldi</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683260"/>
                <wp:effectExtent l="0" t="0" r="0" b="0"/>
                <wp:wrapNone/>
                <wp:docPr id="314" name="Frame313"/>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 - ALIGNMENT HEALTHCARE USA, LLC]</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 - ALIGNMENT HEALTHCARE USA,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WELLS FARGO BANK, NATIONAL ASSOCIATION</w:t>
      </w:r>
      <w:r>
        <w:rPr>
          <w:rFonts w:ascii="Times New Roman;serif" w:hAnsi="Times New Roman;serif"/>
          <w:b w:val="false"/>
          <w:color w:val="000000"/>
          <w:sz w:val="22"/>
        </w:rPr>
        <w:t>, as a Lender and an L/C Issuer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Eugene Stunson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Eugene Stunson</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Executive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683260"/>
                <wp:effectExtent l="0" t="0" r="0" b="0"/>
                <wp:wrapNone/>
                <wp:docPr id="315" name="Frame31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 - ALIGNMENT HEALTHCARE USA, LLC]</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 - ALIGNMENT HEALTHCARE USA,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U.S. BANK NATIONAL ASSOCIATION</w:t>
      </w:r>
      <w:r>
        <w:rPr>
          <w:rFonts w:ascii="Times New Roman;serif" w:hAnsi="Times New Roman;serif"/>
          <w:b w:val="false"/>
          <w:color w:val="000000"/>
          <w:sz w:val="22"/>
        </w:rPr>
        <w:t>,</w:t>
        <w:br/>
        <w:t>as a Lender and an L/C Issuer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rFonts w:ascii="Times New Roman;serif" w:hAnsi="Times New Roman;serif"/>
          <w:b w:val="false"/>
          <w:color w:val="000000"/>
          <w:sz w:val="22"/>
          <w:u w:val="single"/>
        </w:rPr>
        <w:t>s/ Ryan M. Black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Ryan M. Black</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683260"/>
                <wp:effectExtent l="0" t="0" r="0" b="0"/>
                <wp:wrapNone/>
                <wp:docPr id="316" name="Frame31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 - ALIGNMENT HEALTHCARE USA, LLC]</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 - ALIGNMENT HEALTHCARE USA,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MORGAN STANLEY SENIOR FUNDING, INC.</w:t>
      </w:r>
      <w:r>
        <w:rPr>
          <w:rFonts w:ascii="Times New Roman;serif" w:hAnsi="Times New Roman;serif"/>
          <w:b w:val="false"/>
          <w:color w:val="000000"/>
          <w:sz w:val="22"/>
        </w:rPr>
        <w:t>,</w:t>
        <w:br/>
        <w:t xml:space="preserve">as a Lender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Michael King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Michael King</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 xml:space="preserve">Title: Vice President </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683260"/>
                <wp:effectExtent l="0" t="0" r="0" b="0"/>
                <wp:wrapNone/>
                <wp:docPr id="317" name="Frame316"/>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 - ALIGNMENT HEALTHCARE USA, LLC]</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 - ALIGNMENT HEALTHCARE USA,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GOLDMAN SACHS BANK USA</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Nicholas Merino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Nicholas Merino</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 xml:space="preserve">Title: Authorized Signatory </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683260"/>
                <wp:effectExtent l="0" t="0" r="0" b="0"/>
                <wp:wrapNone/>
                <wp:docPr id="318" name="Frame317"/>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 - ALIGNMENT HEALTHCARE USA, LLC]</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 - ALIGNMENT HEALTHCARE USA,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KEYBANK NATIONAL ASSOCIATION</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Alyssa Suckow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Alyssa Suckow</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683260"/>
                <wp:effectExtent l="0" t="0" r="0" b="0"/>
                <wp:wrapNone/>
                <wp:docPr id="319" name="Frame318"/>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 - ALIGNMENT HEALTHCARE USA,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 - ALIGNMENT HEALTHCARE USA,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19</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INSIDER TRADING POLICY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Revised as of February 23. 2026</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PURPOSE</w:t>
      </w:r>
    </w:p>
    <w:p>
      <w:pPr>
        <w:pStyle w:val="TextBody"/>
        <w:bidi w:val="0"/>
        <w:spacing w:lineRule="auto" w:line="288" w:before="0" w:after="240"/>
        <w:jc w:val="both"/>
        <w:rPr/>
      </w:pPr>
      <w:r>
        <w:rPr>
          <w:rFonts w:ascii="Times New Roman;serif" w:hAnsi="Times New Roman;serif"/>
          <w:b w:val="false"/>
          <w:color w:val="000000"/>
          <w:sz w:val="24"/>
        </w:rPr>
        <w:t>This policy pertains to the disclosure of material non-public information (as defined herein) regarding Alignment Healthcare, Inc. (“</w:t>
      </w:r>
      <w:r>
        <w:rPr>
          <w:rFonts w:ascii="Times New Roman;serif" w:hAnsi="Times New Roman;serif"/>
          <w:b w:val="false"/>
          <w:color w:val="000000"/>
          <w:sz w:val="24"/>
          <w:u w:val="single"/>
        </w:rPr>
        <w:t>Alignment</w:t>
      </w:r>
      <w:r>
        <w:rPr>
          <w:color w:val="000000"/>
        </w:rPr>
        <w:t xml:space="preserve">” </w:t>
      </w:r>
      <w:r>
        <w:rPr>
          <w:rFonts w:ascii="Times New Roman;serif" w:hAnsi="Times New Roman;serif"/>
          <w:b w:val="false"/>
          <w:color w:val="000000"/>
          <w:sz w:val="24"/>
        </w:rPr>
        <w:t>and together with its subsidiaries,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to trading in securities while in possession of such inside information. It is intended to ensure that all officers, directors and employees of the Company comply with the applicable laws and regulations concerning securities trading, commonly known as “insider trading”. Insider trading and stock tipping, as discussed below, are criminal offenses subject to severe criminal and civil consequences. Any violation of this policy could subject Alignment Personnel (as defined below) to disciplinary action, up to and including termination. Appropriate judgment should be exercised in connection with all securities trading. Specific questions regarding this policy or applicable law should be directed to the General Counsel of Alignment or a designee of the General Counsel.</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SCOPE</w:t>
      </w:r>
    </w:p>
    <w:p>
      <w:pPr>
        <w:pStyle w:val="TextBody"/>
        <w:bidi w:val="0"/>
        <w:spacing w:lineRule="auto" w:line="288" w:before="0" w:after="240"/>
        <w:jc w:val="both"/>
        <w:rPr/>
      </w:pPr>
      <w:r>
        <w:rPr>
          <w:rFonts w:ascii="Times New Roman;serif" w:hAnsi="Times New Roman;serif"/>
          <w:b w:val="false"/>
          <w:color w:val="000000"/>
          <w:sz w:val="24"/>
        </w:rPr>
        <w:t>This policy applies to the Company, its officers, directors, employees and applicable consultants (collectively, “</w:t>
      </w:r>
      <w:r>
        <w:rPr>
          <w:rFonts w:ascii="Times New Roman;serif" w:hAnsi="Times New Roman;serif"/>
          <w:b w:val="false"/>
          <w:color w:val="000000"/>
          <w:sz w:val="24"/>
          <w:u w:val="single"/>
        </w:rPr>
        <w:t>Alignment Personnel</w:t>
      </w:r>
      <w:r>
        <w:rPr>
          <w:color w:val="000000"/>
        </w:rPr>
        <w:t>”</w:t>
      </w:r>
      <w:r>
        <w:rPr>
          <w:rFonts w:ascii="Times New Roman;serif" w:hAnsi="Times New Roman;serif"/>
          <w:b w:val="false"/>
          <w:color w:val="000000"/>
          <w:sz w:val="24"/>
        </w:rPr>
        <w:t>). The same restrictions described in this policy also apply to each Alignment Personnel’s spouse, minor children and anyone else living in an Alignment Personnel’s household, partnerships in which Alignment Personnel are a general partner, trusts of which Alignment Personnel are a trustee, estates of which Alignment Personnel are an executor and investment funds or other similar vehicles with which Alignment Personnel are affiliated (collectively “</w:t>
      </w:r>
      <w:r>
        <w:rPr>
          <w:rFonts w:ascii="Times New Roman;serif" w:hAnsi="Times New Roman;serif"/>
          <w:b w:val="false"/>
          <w:color w:val="000000"/>
          <w:sz w:val="24"/>
          <w:u w:val="single"/>
        </w:rPr>
        <w:t>Related Parties</w:t>
      </w:r>
      <w:r>
        <w:rPr>
          <w:color w:val="000000"/>
        </w:rPr>
        <w:t>”</w:t>
      </w:r>
      <w:r>
        <w:rPr>
          <w:rFonts w:ascii="Times New Roman;serif" w:hAnsi="Times New Roman;serif"/>
          <w:b w:val="false"/>
          <w:color w:val="000000"/>
          <w:sz w:val="24"/>
        </w:rPr>
        <w:t>). Alignment Personnel will be responsible for compliance with this policy by their Related Parties.</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RESPONSIBILITY FOR IMPLEMENTATION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All Alignment Personnel are responsible for implementation of this policy. The General Counsel of Alignment or a designee of the General Counsel is specifically responsible for implementing the Trading Window provisions of this policy.</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APPLICATION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requires all Alignment Personnel to comply with applicable securities laws. Alignment Personnel and their Related Parties must never:</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1.Buy, sell or engage in transactions in Company securities at any time while aware of </w:t>
      </w:r>
      <w:r>
        <w:rPr>
          <w:rFonts w:ascii="Times New Roman;serif" w:hAnsi="Times New Roman;serif"/>
          <w:b w:val="false"/>
          <w:i/>
          <w:color w:val="000000"/>
          <w:sz w:val="24"/>
        </w:rPr>
        <w:t>material non-public information</w:t>
      </w:r>
      <w:r>
        <w:rPr>
          <w:color w:val="000000"/>
        </w:rPr>
        <w:t xml:space="preserve"> </w:t>
      </w:r>
      <w:r>
        <w:rPr>
          <w:rFonts w:ascii="Times New Roman;serif" w:hAnsi="Times New Roman;serif"/>
          <w:b w:val="false"/>
          <w:color w:val="000000"/>
          <w:sz w:val="24"/>
        </w:rPr>
        <w:t>about the Company.</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2.Buy or sell securities of other companies at any time while aware of </w:t>
      </w:r>
      <w:r>
        <w:rPr>
          <w:rFonts w:ascii="Times New Roman;serif" w:hAnsi="Times New Roman;serif"/>
          <w:b w:val="false"/>
          <w:i/>
          <w:color w:val="000000"/>
          <w:sz w:val="24"/>
        </w:rPr>
        <w:t>material non-public information</w:t>
      </w:r>
      <w:r>
        <w:rPr>
          <w:color w:val="000000"/>
        </w:rPr>
        <w:t xml:space="preserve"> </w:t>
      </w:r>
      <w:r>
        <w:rPr>
          <w:rFonts w:ascii="Times New Roman;serif" w:hAnsi="Times New Roman;serif"/>
          <w:b w:val="false"/>
          <w:color w:val="000000"/>
          <w:sz w:val="24"/>
        </w:rPr>
        <w:t>about those companies that Alignment Personnel become aware of as a result of business dealings between the Company and such other companies.</w:t>
      </w:r>
    </w:p>
    <w:p>
      <w:pPr>
        <w:pStyle w:val="TextBody"/>
        <w:bidi w:val="0"/>
        <w:spacing w:before="0" w:after="0"/>
        <w:jc w:val="both"/>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20"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3.Disclose material non-public information to any unauthorized persons outside the Company (including family members), commonly known as “tipping.” Alignment Personnel are prohibited from “tipping” other persons about material non-public information or otherwise making unauthorized disclosures or use of such information, regardless of whether the person profits or intends to profit by such tipping, disclosure or use. You must take steps to prevent the inadvertent disclosure of material non-public information to unauthorized persons outside the Company. If you believe that the disclosure of material non-public information is necessary or appropriate for business reasons, you must consult with the General Counsel of Alignment or a designee of the General Counsel to ensure that they concur that such disclosure is necessary, and to ensure that any such disclosure will comply with all applicable laws.</w:t>
      </w:r>
    </w:p>
    <w:p>
      <w:pPr>
        <w:pStyle w:val="TextBody"/>
        <w:bidi w:val="0"/>
        <w:spacing w:lineRule="auto" w:line="288" w:before="0" w:after="240"/>
        <w:jc w:val="both"/>
        <w:rPr/>
      </w:pPr>
      <w:r>
        <w:rPr>
          <w:rFonts w:ascii="Times New Roman;serif" w:hAnsi="Times New Roman;serif"/>
          <w:b w:val="false"/>
          <w:color w:val="000000"/>
          <w:sz w:val="24"/>
        </w:rPr>
        <w:t xml:space="preserve">Information is considered </w:t>
      </w:r>
      <w:r>
        <w:rPr>
          <w:rFonts w:ascii="Times New Roman;serif" w:hAnsi="Times New Roman;serif"/>
          <w:b w:val="false"/>
          <w:i/>
          <w:color w:val="000000"/>
          <w:sz w:val="24"/>
        </w:rPr>
        <w:t xml:space="preserve">material </w:t>
      </w:r>
      <w:r>
        <w:rPr>
          <w:rFonts w:ascii="Times New Roman;serif" w:hAnsi="Times New Roman;serif"/>
          <w:b w:val="false"/>
          <w:color w:val="000000"/>
          <w:sz w:val="24"/>
        </w:rPr>
        <w:t xml:space="preserve">if a reasonable investor would consider it important in making an investment decision. If you are motivated to buy or sell a security because of information you possess, the information will be considered material. Material information may be positive or negative. Examples of </w:t>
      </w:r>
      <w:r>
        <w:rPr>
          <w:rFonts w:ascii="Times New Roman;serif" w:hAnsi="Times New Roman;serif"/>
          <w:b w:val="false"/>
          <w:i/>
          <w:color w:val="000000"/>
          <w:sz w:val="24"/>
        </w:rPr>
        <w:t>material</w:t>
      </w:r>
      <w:r>
        <w:rPr>
          <w:color w:val="000000"/>
        </w:rPr>
        <w:t xml:space="preserve"> </w:t>
      </w:r>
      <w:r>
        <w:rPr>
          <w:rFonts w:ascii="Times New Roman;serif" w:hAnsi="Times New Roman;serif"/>
          <w:b w:val="false"/>
          <w:color w:val="000000"/>
          <w:sz w:val="24"/>
        </w:rPr>
        <w:t>information include expected earnings or revenues for a calendar period, as well as company projections as to future earnings or revenues or other guidance concerning earnings; the fact that earnings are inconsistent with consensus expectations; proposals, plans or agreements, even if preliminary in nature, involving mergers, acquisitions, dispositions, joint ventures or tender offers; purchases or sales of substantial assets; significant write-downs in assets or increases in reserves; a planned offering of additional new classes of securities; changes in dividend policy or declaration of a stock split; changes in senior management or other key employees; changes in credit ratings; a significant business development; significant legal or regulatory exposure due to a pending or threatened lawsuit or investigation; changes in legislation affecting the Company’s business; gain or loss of a business partner; impending bankruptcy or other financial liquidity problems; or a material cyber incident that has not been disclosed.</w:t>
      </w:r>
    </w:p>
    <w:p>
      <w:pPr>
        <w:pStyle w:val="TextBody"/>
        <w:bidi w:val="0"/>
        <w:spacing w:lineRule="auto" w:line="288" w:before="0" w:after="240"/>
        <w:jc w:val="both"/>
        <w:rPr/>
      </w:pPr>
      <w:r>
        <w:rPr>
          <w:rFonts w:ascii="Times New Roman;serif" w:hAnsi="Times New Roman;serif"/>
          <w:b w:val="false"/>
          <w:i/>
          <w:color w:val="000000"/>
          <w:sz w:val="24"/>
        </w:rPr>
        <w:t>Non-public information</w:t>
      </w:r>
      <w:r>
        <w:rPr>
          <w:color w:val="000000"/>
        </w:rPr>
        <w:t xml:space="preserve"> </w:t>
      </w:r>
      <w:r>
        <w:rPr>
          <w:rFonts w:ascii="Times New Roman;serif" w:hAnsi="Times New Roman;serif"/>
          <w:b w:val="false"/>
          <w:color w:val="000000"/>
          <w:sz w:val="24"/>
        </w:rPr>
        <w:t>is sometimes referred to as confidential information and means information about the Company that is not known to the public-at-large. All information is considered non-public until the first trading day after the information has been widely released through a press release, news wire or a report filed with the U.S. Securities and Exchange Commission.</w:t>
      </w:r>
    </w:p>
    <w:p>
      <w:pPr>
        <w:pStyle w:val="TextBody"/>
        <w:bidi w:val="0"/>
        <w:spacing w:lineRule="auto" w:line="288" w:before="0" w:after="240"/>
        <w:jc w:val="both"/>
        <w:rPr/>
      </w:pPr>
      <w:r>
        <w:rPr>
          <w:rFonts w:ascii="Times New Roman;serif" w:hAnsi="Times New Roman;serif"/>
          <w:b w:val="false"/>
          <w:color w:val="000000"/>
          <w:sz w:val="24"/>
        </w:rPr>
        <w:t xml:space="preserve">For purposes of this policy, references to </w:t>
      </w:r>
      <w:r>
        <w:rPr>
          <w:rFonts w:ascii="Times New Roman;serif" w:hAnsi="Times New Roman;serif"/>
          <w:b w:val="false"/>
          <w:i/>
          <w:color w:val="000000"/>
          <w:sz w:val="24"/>
        </w:rPr>
        <w:t>trading</w:t>
      </w:r>
      <w:r>
        <w:rPr>
          <w:color w:val="000000"/>
        </w:rPr>
        <w:t xml:space="preserve"> </w:t>
      </w:r>
      <w:r>
        <w:rPr>
          <w:rFonts w:ascii="Times New Roman;serif" w:hAnsi="Times New Roman;serif"/>
          <w:b w:val="false"/>
          <w:color w:val="000000"/>
          <w:sz w:val="24"/>
        </w:rPr>
        <w:t xml:space="preserve">or to </w:t>
      </w:r>
      <w:r>
        <w:rPr>
          <w:rFonts w:ascii="Times New Roman;serif" w:hAnsi="Times New Roman;serif"/>
          <w:b w:val="false"/>
          <w:i/>
          <w:color w:val="000000"/>
          <w:sz w:val="24"/>
        </w:rPr>
        <w:t>transactions in Company securities</w:t>
      </w:r>
      <w:r>
        <w:rPr>
          <w:color w:val="000000"/>
        </w:rPr>
        <w:t xml:space="preserve"> </w:t>
      </w:r>
      <w:r>
        <w:rPr>
          <w:rFonts w:ascii="Times New Roman;serif" w:hAnsi="Times New Roman;serif"/>
          <w:b w:val="false"/>
          <w:color w:val="000000"/>
          <w:sz w:val="24"/>
        </w:rPr>
        <w:t>include purchases or sales of the Company stock, bonds, options, puts and calls, derivative securities based on securities of the Company, gifts of Company securities, loans of Company securities, hedging transactions involving or referencing Company securities, contributions of Company securities to a trust, sales of Company stock acquired upon the exercise of stock options, broker-assisted cashless exercises of stock options and market sales to raise cash to fund the exercise of stock options.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your transaction in securities of the Company becomes the subject of scrutiny, it will be viewed after-the-fact with the benefit of hindsight. As a result, before engaging in any transaction you should carefully consider how regulators and others might view your transaction in hindsight.</w:t>
      </w:r>
    </w:p>
    <w:p>
      <w:pPr>
        <w:pStyle w:val="TextBody"/>
        <w:bidi w:val="0"/>
        <w:spacing w:before="0" w:after="0"/>
        <w:jc w:val="both"/>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385445"/>
                <wp:effectExtent l="0" t="0" r="0" b="0"/>
                <wp:wrapNone/>
                <wp:docPr id="321" name="Frame3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While in possession of material non-public information, Alignment Personnel and their Related Parties are prohibited from trading in any Company securities as to which Alignment Personnel and their Related Parties have a “beneficial” or financial interest, or over which a person exercises investment control, including, but not limited to, trades in Company securities made under an employee benefit plan, such as a 401(k) plan. This Policy also applies to the following elections under a 401(k) plan (if and when the Company makes Company securities an investment alternative under our 401(k) plan):</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4"/>
        </w:rPr>
        <w:t>increasing or decreasing periodic contributions allocated to the purchase of Company securities;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4"/>
        </w:rPr>
        <w:t>intra-plan transfers of an existing balance in or out of Company securities;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4"/>
        </w:rPr>
        <w:t>borrowing money against the account if the loan results in the liquidation of any portion of Company securities; and</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4"/>
        </w:rPr>
        <w:t>pre-paying a loan if the pre-payment results in allocation of the proceeds to Company securities.</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Specific Prohibition Regarding Puts, Calls, Options, Purchases on Margin, Etc.</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Because we believe it is improper and inappropriate for any person to engage in short-term or speculative transactions involving Company securities, Alignment Personnel and their Related Parties are prohibited from engaging in any of the following activities with respect to securities of the Company:</w:t>
      </w:r>
    </w:p>
    <w:p>
      <w:pPr>
        <w:pStyle w:val="TextBody"/>
        <w:bidi w:val="0"/>
        <w:spacing w:lineRule="auto" w:line="240" w:before="0" w:after="240"/>
        <w:ind w:left="0" w:right="0" w:hanging="360"/>
        <w:jc w:val="both"/>
        <w:rPr/>
      </w:pPr>
      <w:r>
        <w:rPr>
          <w:color w:val="000000"/>
        </w:rPr>
        <w:t>•</w:t>
      </w:r>
      <w:r>
        <w:rPr>
          <w:rFonts w:ascii="Times New Roman;serif" w:hAnsi="Times New Roman;serif"/>
          <w:b/>
          <w:i/>
          <w:color w:val="000000"/>
          <w:sz w:val="24"/>
        </w:rPr>
        <w:t>Pledging/purchases of securities of the Company on margin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You may not purchase securities of the Company on margin or pledge, or otherwise grant a security interest in, securities of the Company in margin accounts.</w:t>
      </w:r>
    </w:p>
    <w:p>
      <w:pPr>
        <w:pStyle w:val="TextBody"/>
        <w:bidi w:val="0"/>
        <w:spacing w:lineRule="auto" w:line="240" w:before="0" w:after="240"/>
        <w:ind w:left="0" w:right="0" w:hanging="360"/>
        <w:jc w:val="both"/>
        <w:rPr/>
      </w:pPr>
      <w:r>
        <w:rPr>
          <w:color w:val="000000"/>
        </w:rPr>
        <w:t>•</w:t>
      </w:r>
      <w:r>
        <w:rPr>
          <w:rFonts w:ascii="Times New Roman;serif" w:hAnsi="Times New Roman;serif"/>
          <w:b/>
          <w:i/>
          <w:color w:val="000000"/>
          <w:sz w:val="24"/>
        </w:rPr>
        <w:t>Short sales</w:t>
      </w:r>
      <w:r>
        <w:rPr>
          <w:color w:val="000000"/>
        </w:rPr>
        <w:t xml:space="preserve"> </w:t>
      </w:r>
      <w:r>
        <w:rPr>
          <w:rFonts w:ascii="Times New Roman;serif" w:hAnsi="Times New Roman;serif"/>
          <w:b w:val="false"/>
          <w:color w:val="000000"/>
          <w:sz w:val="24"/>
        </w:rPr>
        <w:t>(i.e., selling stock you do not own and borrowing the shares to make delivery). The SEC effectively prohibits directors and officers from selling Company securities short. This policy is simply expanding this prohibition to cover all employees.</w:t>
      </w:r>
    </w:p>
    <w:p>
      <w:pPr>
        <w:pStyle w:val="TextBody"/>
        <w:bidi w:val="0"/>
        <w:spacing w:lineRule="auto" w:line="240" w:before="0" w:after="240"/>
        <w:ind w:left="0" w:right="0" w:hanging="360"/>
        <w:jc w:val="both"/>
        <w:rPr/>
      </w:pPr>
      <w:r>
        <w:rPr>
          <w:color w:val="000000"/>
        </w:rPr>
        <w:t>•</w:t>
      </w:r>
      <w:r>
        <w:rPr>
          <w:rFonts w:ascii="Times New Roman;serif" w:hAnsi="Times New Roman;serif"/>
          <w:b/>
          <w:i/>
          <w:color w:val="000000"/>
          <w:sz w:val="24"/>
        </w:rPr>
        <w:t>Buying or selling puts, calls, options or other derivatives in respect of securities of the Company</w:t>
      </w:r>
      <w:r>
        <w:rPr>
          <w:rFonts w:ascii="Times New Roman;serif" w:hAnsi="Times New Roman;serif"/>
          <w:b w:val="false"/>
          <w:color w:val="000000"/>
          <w:sz w:val="24"/>
        </w:rPr>
        <w:t>. This prohibition extends to any instrument whose value is derived from the value of any securities (e.g., common stock) of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Although the Company discourages speculative hedging transactions, the Company permits long-term hedging transactions that are designed to protect an individual’s investment in Company securities (i.e., the hedge must be for at least six months and relate to stock or options held by the individual). If you wish to engage in any such transaction, you must pre-clear it in accordance with the pre-clearance procedures described in this policy (even if you are not one of the persons otherwise required to submit your transaction in Company securities to pre-clearance). Because these activities raise issues under the federal securities laws, any person intending to engage in permitted hedging transactions is strongly urged to consult legal counsel.</w:t>
      </w:r>
    </w:p>
    <w:p>
      <w:pPr>
        <w:pStyle w:val="TextBody"/>
        <w:bidi w:val="0"/>
        <w:spacing w:before="0" w:after="0"/>
        <w:jc w:val="both"/>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385445"/>
                <wp:effectExtent l="0" t="0" r="0" b="0"/>
                <wp:wrapNone/>
                <wp:docPr id="322" name="Frame3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Although the Company is not prohibiting standing or limit orders, you should use extreme caution if you engage in standing or limit orders (other than as established in connection with a Rule 10b5-1 plan) because you might become aware of material non-public information after establishing an order. This could lead to inadvertent trading while in possession of material non-public information.</w:t>
      </w:r>
    </w:p>
    <w:p>
      <w:pPr>
        <w:pStyle w:val="TextBody"/>
        <w:bidi w:val="0"/>
        <w:spacing w:lineRule="auto" w:line="288" w:before="0" w:after="240"/>
        <w:jc w:val="both"/>
        <w:rPr/>
      </w:pPr>
      <w:r>
        <w:rPr>
          <w:rFonts w:ascii="Times New Roman;serif" w:hAnsi="Times New Roman;serif"/>
          <w:b w:val="false"/>
          <w:color w:val="000000"/>
          <w:sz w:val="24"/>
          <w:u w:val="single"/>
        </w:rPr>
        <w:t>Mandatory Trading Blackouts/Open Trading Windows</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imposes certain restrictions on specified senior officers, management, directors and employees and their Related Parties when trading in Company securities. These restrictions govern even though the transactions may be permissible under law and apply to the following persons hereafter defined as the “Designated Persons”: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4"/>
        </w:rPr>
        <w:t>All members of the board of directors of the Company and their secretaries and other assistants;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4"/>
        </w:rPr>
        <w:t>All senior executives of the Company, meaning the Chief Executive Officer, the Chairman, the Chief Financial Officer, the President, their specified direct reports and any other officer subject to Section 16 of the Exchange Act and their secretaries and other assistants;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4"/>
        </w:rPr>
        <w:t>Certain employees that are a part of accounting, finance and legal teams; and</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4"/>
        </w:rPr>
        <w:t>Any other employees designated by the General Counsel of Alignment or a designee of the General Counsel as a Designated Person as such list may be updated from time to time.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has adopted the following mandatory trading blackouts and open trading window requirements: </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4"/>
        </w:rPr>
        <w:t>Open Trading Window</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Other than transactions made subject to an approved 10b5-1 trading plan, Designated Persons and their Related Parties may only enter into transactions in Company securities (including option exercises and gifts) during an open trading window that commences after the completion of one full trading day following the public release of the Company’s quarterly or annual financial results and ends after the close of trading on the 15th day of the third month of each calendar quarter (i.e., March 15th, June 15th, September 15th and December 15th). If such date falls on a weekend or nationally recognized holiday, then the open window period for such quarter shall end after the close of trading on the next trading trading day thereafter. After the close of the trading window, Designated Persons and their Related Parties may not purchase, sell or otherwise dispose of any of the Company’s securities. The prohibition against trading while aware of, or tipping of, material non-public information applies even during an open trading window. For example, if during an open trading window you are aware that a material acquisition is pending, you may not trade in the Company’s securities. You should consult the General Counsel of Alignment or a designee of the General Counsel whenever you are in doubt.</w:t>
      </w:r>
    </w:p>
    <w:p>
      <w:pPr>
        <w:pStyle w:val="TextBody"/>
        <w:bidi w:val="0"/>
        <w:spacing w:before="0" w:after="0"/>
        <w:jc w:val="both"/>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385445"/>
                <wp:effectExtent l="0" t="0" r="0" b="0"/>
                <wp:wrapNone/>
                <wp:docPr id="323" name="Frame3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4"/>
        </w:rPr>
        <w:t>Notification of Designated Persons</w:t>
      </w:r>
      <w:r>
        <w:rPr>
          <w:rFonts w:ascii="Times New Roman;serif" w:hAnsi="Times New Roman;serif"/>
          <w:b w:val="false"/>
          <w:color w:val="000000"/>
          <w:sz w:val="24"/>
        </w:rPr>
        <w:t>: In order to assist in compliance with this policy, the General Counsel of Alignment or a designee of the General Counsel will deliver an e-mail (or other communication) notifying Designated Persons each quarter of the opening and closing of the trading window. Delivery or nondelivery of these e-mails (or other communication) does not relieve Designated Persons of their obligation to comply with this policy.</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4"/>
        </w:rPr>
        <w:t>Cancellation of Open Trading Window</w:t>
      </w:r>
      <w:r>
        <w:rPr>
          <w:rFonts w:ascii="Times New Roman;serif" w:hAnsi="Times New Roman;serif"/>
          <w:b w:val="false"/>
          <w:color w:val="000000"/>
          <w:sz w:val="24"/>
        </w:rPr>
        <w:t xml:space="preserve">. The Company will conduct an evaluation each quarter to determine whether the scheduled trading window should be cancelled. The Company may close an open trading window or open a closed trading window early at any time, as deemed appropriate by the General Counsel or other members of senior management. The General Counsel of Alignment or any designee of the General Counsel, in his or her own discretion, may from time to time remove one or more employees from the list of Designated Persons. </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4"/>
        </w:rPr>
        <w:t>Pre-clearance of Trades</w:t>
      </w:r>
      <w:r>
        <w:rPr>
          <w:rFonts w:ascii="Times New Roman;serif" w:hAnsi="Times New Roman;serif"/>
          <w:b w:val="false"/>
          <w:color w:val="000000"/>
          <w:sz w:val="24"/>
        </w:rPr>
        <w:t xml:space="preserve">: During an open trading window, all directors and Section 16 Officers (as defined below) and their Related Parties must pre-clear all transactions in Company securities with the General Counsel of Alignment or a designee of the General Counsel. Due in part to the Section 16 rules and in order to assist in compliance with the Form 4 reporting requirements described below, this Policy requires all Section 16 Officers to obtain written pre-clearance from our General Counsel no later than one business day before the proposed date of execution of transactions involving the Company’s securities, including open market transactions. Pre-cleared transactions may only be performed during the open trading window in which approval was granted. </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4"/>
        </w:rPr>
        <w:t>10b5-1 Trading Plans</w:t>
      </w:r>
      <w:r>
        <w:rPr>
          <w:rFonts w:ascii="Times New Roman;serif" w:hAnsi="Times New Roman;serif"/>
          <w:b w:val="false"/>
          <w:color w:val="000000"/>
          <w:sz w:val="24"/>
        </w:rPr>
        <w:t xml:space="preserve">: A 10b5-1 trading plan is a binding, written contract between any individual and his or her broker that specifies the price, amount, and date of trades to be executed in the established broker account in the future, or provides a formula or mechanism that the broker will follow. In addition, a 10b5-1 trading plan must not permit the individual to exercise any subsequent influence over how, when or whether the purchases or sales are made. If an individual wishes to trade pursuant to a 10b5-1 trading plan, he or she must obtain the approval of the General Counsel of Alignment or a designee of the General Counsel prior to entering into the 10b5-1 trading plan and prior to modification of such a plan. The General Counsel of Alignment or a designee of the General Counsel must review the 10b5-1 trading plan for compliance with this policy and, as appropriate, with the Company’s stock ownership and retention guidelines. The Company reserves the right to withhold pre-clearance of any 10b5-1 trading plan that the General Counsel of Alignment or a designee of the General Counsel determines is not consistent with the rules regarding such plans. Notwithstanding any pre-approval of a 10b5-1 trading plan, the Company assumes no liability for the consequences of any transaction made pursuant to such plan. In addition, an individual may only enter into or modify the 10b5-1 trading plan during an open trading window and while not in possession of any material non-public information. Any individual who enters into or modifies a 10b5-1 trading plan pursuant to the requirements set forth above must also </w:t>
      </w:r>
    </w:p>
    <w:p>
      <w:pPr>
        <w:pStyle w:val="TextBody"/>
        <w:bidi w:val="0"/>
        <w:spacing w:before="0" w:after="0"/>
        <w:jc w:val="both"/>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385445"/>
                <wp:effectExtent l="0" t="0" r="0" b="0"/>
                <wp:wrapNone/>
                <wp:docPr id="324" name="Frame3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notify the General Counsel of Alignment or a designee of the General Counsel promptly upon modification or termination of such plan.</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4"/>
        </w:rPr>
        <w:t xml:space="preserve">Section 16 Rules and Reports. </w:t>
      </w:r>
      <w:r>
        <w:rPr>
          <w:rFonts w:ascii="Times New Roman;serif" w:hAnsi="Times New Roman;serif"/>
          <w:b w:val="false"/>
          <w:color w:val="000000"/>
          <w:sz w:val="24"/>
        </w:rPr>
        <w:t>Section 16 of the Exchange Act imposes on certain officers and all directors of the Company (“Section 16 Officers”) three substantive obligations and restrictions. First, Section 16 Officers must report, on a Form 4, transactions involving the Company’s securities (including open market purchases) within two business days of the transaction. Second, Section 16 provides that any profit realized by a Section 16 Insider upon a “short swing” transaction (i.e., any purchase and sale, or any sale and purchase, of any equity security of the Company within a period of less than six months) must be disgorged and surrendered. Third, Section 16 prohibits Section 16 Officers from engaging in any short sales of the Company’s equity securities. The Section 16 rules, obligations and restrictions are complex and, while the Company endeavors to assist Section 16 Officers with their Form 4 reporting requirements (described above), the Section 16 Officers are ultimately responsible for compliance. As noted above, Section 16 Officers must obtain prior written clearance from our General Counsel no later than one business day before the proposed date of execution of transactions involving the Company’s securities, including open market transactions. Questions regarding Section 16 and compliance with its terms should be directed to our General Counsel.</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4"/>
        </w:rPr>
        <w:t>Confidentiality Obligations</w:t>
      </w:r>
      <w:r>
        <w:rPr>
          <w:rFonts w:ascii="Times New Roman;serif" w:hAnsi="Times New Roman;serif"/>
          <w:b w:val="false"/>
          <w:color w:val="000000"/>
          <w:sz w:val="24"/>
        </w:rPr>
        <w:t>: The restrictions set forth in this Policy are designed to avoid misuse of material nonpublic information in violation of the securities laws. These restrictions are in addition to, and in no way alter, the general obligations that each director, officer and employee of the Company has to maintain the confidentiality of all confidential or proprietary information concerning the Company and its business, as well as any other confidential information, that may be learned in the course of service or employment with the Company. No such information is to be disclosed to any other person with the Company, unless that person has a clear need to know that information, and no such information may be disclosed to any third parties, except as required or otherwise contemplated by your function or position.</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4"/>
        </w:rPr>
        <w:t>Hardship Exemptions</w:t>
      </w:r>
      <w:r>
        <w:rPr>
          <w:rFonts w:ascii="Times New Roman;serif" w:hAnsi="Times New Roman;serif"/>
          <w:b w:val="false"/>
          <w:color w:val="000000"/>
          <w:sz w:val="24"/>
        </w:rPr>
        <w:t>: In the event of exceptional personal hardship, a Designated Person may request a hardship exemption from the General Counsel of Alignment or a designee of the General Counsel for permission to trade outside the trading window, if the person does not possess any material non-public information and not otherwise prohibited from trading pursuant to this policy.</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4"/>
        </w:rPr>
        <w:t>Public Offering</w:t>
      </w:r>
      <w:r>
        <w:rPr>
          <w:rFonts w:ascii="Times New Roman;serif" w:hAnsi="Times New Roman;serif"/>
          <w:b w:val="false"/>
          <w:color w:val="000000"/>
          <w:sz w:val="24"/>
        </w:rPr>
        <w:t>. The restrictions shall not apply with respect to a public offering of Company securities specifically authorized by board of directors or Alignment or duly authorized board committee.</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4"/>
        </w:rPr>
        <w:t>Application after Termination of Employment</w:t>
      </w:r>
      <w:r>
        <w:rPr>
          <w:rFonts w:ascii="Times New Roman;serif" w:hAnsi="Times New Roman;serif"/>
          <w:b w:val="false"/>
          <w:color w:val="000000"/>
          <w:sz w:val="24"/>
        </w:rPr>
        <w:t xml:space="preserve">: This policy continues to apply after Alignment Personnel has terminated their employment or other affiliation with the Company for as long as the Alignment Personnel is aware of </w:t>
      </w:r>
      <w:r>
        <w:rPr>
          <w:rFonts w:ascii="Times New Roman;serif" w:hAnsi="Times New Roman;serif"/>
          <w:b w:val="false"/>
          <w:i/>
          <w:color w:val="000000"/>
          <w:sz w:val="24"/>
        </w:rPr>
        <w:t>material non-public information</w:t>
      </w:r>
      <w:r>
        <w:rPr>
          <w:color w:val="000000"/>
        </w:rPr>
        <w:t xml:space="preserve"> </w:t>
      </w:r>
      <w:r>
        <w:rPr>
          <w:rFonts w:ascii="Times New Roman;serif" w:hAnsi="Times New Roman;serif"/>
          <w:b w:val="false"/>
          <w:color w:val="000000"/>
          <w:sz w:val="24"/>
        </w:rPr>
        <w:t xml:space="preserve">or until such time as the information is no longer </w:t>
      </w:r>
      <w:r>
        <w:rPr>
          <w:rFonts w:ascii="Times New Roman;serif" w:hAnsi="Times New Roman;serif"/>
          <w:b w:val="false"/>
          <w:i/>
          <w:color w:val="000000"/>
          <w:sz w:val="24"/>
        </w:rPr>
        <w:t>material</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385445"/>
                <wp:effectExtent l="0" t="0" r="0" b="0"/>
                <wp:wrapNone/>
                <wp:docPr id="325" name="Frame3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4"/>
        </w:rPr>
        <w:t>Assistance</w:t>
      </w:r>
      <w:r>
        <w:rPr>
          <w:rFonts w:ascii="Times New Roman;serif" w:hAnsi="Times New Roman;serif"/>
          <w:b w:val="false"/>
          <w:color w:val="000000"/>
          <w:sz w:val="24"/>
        </w:rPr>
        <w:t>: Any person who has any questions about this policy or about specific transactions may contact the Company’s General Counsel or his or her designee. Remember, however, that the ultimate responsibility for adhering to this policy and avoiding improper transactions rests with you. In this regard, it is imperative that you use your best judgment and to ask before acting if you are unsure.</w:t>
      </w:r>
    </w:p>
    <w:p>
      <w:pPr>
        <w:pStyle w:val="TextBody"/>
        <w:bidi w:val="0"/>
        <w:spacing w:before="0" w:after="240"/>
        <w:jc w:val="both"/>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385445"/>
                <wp:effectExtent l="0" t="0" r="0" b="0"/>
                <wp:wrapNone/>
                <wp:docPr id="326" name="Frame3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Exhibit 21.1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LIST OF SUBSIDIARIES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OF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ALIGNMENT HEALTHCARE, INC. </w:t>
      </w:r>
    </w:p>
    <w:tbl>
      <w:tblPr>
        <w:tblW w:w="9327" w:type="dxa"/>
        <w:jc w:val="left"/>
        <w:tblInd w:w="0" w:type="dxa"/>
        <w:tblLayout w:type="fixed"/>
        <w:tblCellMar>
          <w:top w:w="28" w:type="dxa"/>
          <w:left w:w="28" w:type="dxa"/>
          <w:bottom w:w="28" w:type="dxa"/>
          <w:right w:w="28" w:type="dxa"/>
        </w:tblCellMar>
      </w:tblPr>
      <w:tblGrid>
        <w:gridCol w:w="2175"/>
        <w:gridCol w:w="1910"/>
        <w:gridCol w:w="1915"/>
        <w:gridCol w:w="109"/>
        <w:gridCol w:w="109"/>
        <w:gridCol w:w="109"/>
        <w:gridCol w:w="878"/>
        <w:gridCol w:w="878"/>
        <w:gridCol w:w="1244"/>
      </w:tblGrid>
      <w:tr>
        <w:trPr/>
        <w:tc>
          <w:tcPr>
            <w:tcW w:w="2175"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2" w:space="0" w:color="95B3D7"/>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 of Subsidiary</w:t>
            </w:r>
          </w:p>
        </w:tc>
        <w:tc>
          <w:tcPr>
            <w:tcW w:w="327" w:type="dxa"/>
            <w:gridSpan w:val="3"/>
            <w:tcBorders>
              <w:top w:val="single" w:sz="2" w:space="0" w:color="95B3D7"/>
              <w:left w:val="single" w:sz="2" w:space="0" w:color="95B3D7"/>
            </w:tcBorders>
            <w:shd w:fill="DBE5F1"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2" w:space="0" w:color="95B3D7"/>
              <w:left w:val="single" w:sz="2"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Jurisdiction of Incorporation</w:t>
            </w:r>
          </w:p>
        </w:tc>
      </w:tr>
      <w:tr>
        <w:trPr/>
        <w:tc>
          <w:tcPr>
            <w:tcW w:w="600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5B3D7"/>
              <w:left w:val="single" w:sz="2" w:space="0" w:color="95B3D7"/>
            </w:tcBorders>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6" w:space="0" w:color="000000"/>
              <w:left w:val="single" w:sz="2" w:space="0" w:color="95B3D7"/>
            </w:tcBorders>
            <w:tcMar>
              <w:left w:w="75"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Alignment Health Advantage Plan, Inc.</w:t>
            </w:r>
          </w:p>
        </w:tc>
        <w:tc>
          <w:tcPr>
            <w:tcW w:w="327" w:type="dxa"/>
            <w:gridSpan w:val="3"/>
            <w:tcBorders>
              <w:top w:val="single" w:sz="2" w:space="0" w:color="95B3D7"/>
              <w:left w:val="single" w:sz="2" w:space="0" w:color="95B3D7"/>
            </w:tcBorders>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2" w:space="0" w:color="95B3D7"/>
              <w:left w:val="single" w:sz="2"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6000" w:type="dxa"/>
            <w:gridSpan w:val="3"/>
            <w:tcBorders>
              <w:top w:val="single" w:sz="2" w:space="0" w:color="95B3D7"/>
            </w:tcBorders>
            <w:shd w:fill="DBE5F1" w:val="clear"/>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Alignment Health Advisors, LLC</w:t>
            </w:r>
          </w:p>
        </w:tc>
        <w:tc>
          <w:tcPr>
            <w:tcW w:w="327" w:type="dxa"/>
            <w:gridSpan w:val="3"/>
            <w:tcBorders>
              <w:top w:val="single" w:sz="2" w:space="0" w:color="95B3D7"/>
              <w:left w:val="single" w:sz="2" w:space="0" w:color="95B3D7"/>
            </w:tcBorders>
            <w:shd w:fill="DBE5F1"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2" w:space="0" w:color="95B3D7"/>
              <w:left w:val="single" w:sz="2"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000"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Alignment Health Insurance Company of Arizona, Inc.</w:t>
            </w:r>
          </w:p>
        </w:tc>
        <w:tc>
          <w:tcPr>
            <w:tcW w:w="327" w:type="dxa"/>
            <w:gridSpan w:val="3"/>
            <w:tcBorders>
              <w:top w:val="single" w:sz="2" w:space="0" w:color="95B3D7"/>
              <w:left w:val="single" w:sz="2" w:space="0" w:color="95B3D7"/>
            </w:tcBorders>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2" w:space="0" w:color="95B3D7"/>
              <w:left w:val="single" w:sz="2"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6000" w:type="dxa"/>
            <w:gridSpan w:val="3"/>
            <w:tcBorders>
              <w:top w:val="single" w:sz="2" w:space="0" w:color="95B3D7"/>
            </w:tcBorders>
            <w:shd w:fill="DBE5F1" w:val="clear"/>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Alignment Health Plan (f/k/a Honored Citizens Choice Health Plan, Inc.)</w:t>
            </w:r>
          </w:p>
        </w:tc>
        <w:tc>
          <w:tcPr>
            <w:tcW w:w="327" w:type="dxa"/>
            <w:gridSpan w:val="3"/>
            <w:tcBorders>
              <w:top w:val="single" w:sz="2" w:space="0" w:color="95B3D7"/>
              <w:left w:val="single" w:sz="2" w:space="0" w:color="95B3D7"/>
            </w:tcBorders>
            <w:shd w:fill="DBE5F1"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2" w:space="0" w:color="95B3D7"/>
              <w:left w:val="single" w:sz="2"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6000"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Alignment Health Plan of Arizona, Inc.</w:t>
            </w:r>
          </w:p>
        </w:tc>
        <w:tc>
          <w:tcPr>
            <w:tcW w:w="327" w:type="dxa"/>
            <w:gridSpan w:val="3"/>
            <w:tcBorders>
              <w:top w:val="single" w:sz="2" w:space="0" w:color="95B3D7"/>
              <w:left w:val="single" w:sz="2" w:space="0" w:color="95B3D7"/>
            </w:tcBorders>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2" w:space="0" w:color="95B3D7"/>
              <w:left w:val="single" w:sz="2"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6000" w:type="dxa"/>
            <w:gridSpan w:val="3"/>
            <w:tcBorders>
              <w:top w:val="single" w:sz="2" w:space="0" w:color="95B3D7"/>
            </w:tcBorders>
            <w:shd w:fill="DBE5F1" w:val="clear"/>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Alignment Health Plan of Nevada, Inc.</w:t>
            </w:r>
          </w:p>
        </w:tc>
        <w:tc>
          <w:tcPr>
            <w:tcW w:w="327" w:type="dxa"/>
            <w:gridSpan w:val="3"/>
            <w:tcBorders>
              <w:top w:val="single" w:sz="2" w:space="0" w:color="95B3D7"/>
              <w:left w:val="single" w:sz="2" w:space="0" w:color="95B3D7"/>
            </w:tcBorders>
            <w:shd w:fill="DBE5F1"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2" w:space="0" w:color="95B3D7"/>
              <w:left w:val="single" w:sz="2"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6000"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Alignment Health Plan of North Carolina, Inc.</w:t>
            </w:r>
          </w:p>
        </w:tc>
        <w:tc>
          <w:tcPr>
            <w:tcW w:w="327" w:type="dxa"/>
            <w:gridSpan w:val="3"/>
            <w:tcBorders>
              <w:top w:val="single" w:sz="2" w:space="0" w:color="95B3D7"/>
              <w:left w:val="single" w:sz="2" w:space="0" w:color="95B3D7"/>
            </w:tcBorders>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2" w:space="0" w:color="95B3D7"/>
              <w:left w:val="single" w:sz="2"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6000" w:type="dxa"/>
            <w:gridSpan w:val="3"/>
            <w:tcBorders>
              <w:top w:val="single" w:sz="2" w:space="0" w:color="95B3D7"/>
            </w:tcBorders>
            <w:shd w:fill="DBE5F1" w:val="clear"/>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Alignment Healthcare Holdco 1, LLC</w:t>
            </w:r>
          </w:p>
        </w:tc>
        <w:tc>
          <w:tcPr>
            <w:tcW w:w="327" w:type="dxa"/>
            <w:gridSpan w:val="3"/>
            <w:tcBorders>
              <w:top w:val="single" w:sz="2" w:space="0" w:color="95B3D7"/>
              <w:left w:val="single" w:sz="2" w:space="0" w:color="95B3D7"/>
            </w:tcBorders>
            <w:shd w:fill="DBE5F1"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2" w:space="0" w:color="95B3D7"/>
              <w:left w:val="single" w:sz="2"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000"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Alignment Healthcare Holdco 2, LLC</w:t>
            </w:r>
          </w:p>
        </w:tc>
        <w:tc>
          <w:tcPr>
            <w:tcW w:w="327" w:type="dxa"/>
            <w:gridSpan w:val="3"/>
            <w:tcBorders>
              <w:top w:val="single" w:sz="2" w:space="0" w:color="95B3D7"/>
              <w:left w:val="single" w:sz="2" w:space="0" w:color="95B3D7"/>
            </w:tcBorders>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2" w:space="0" w:color="95B3D7"/>
              <w:left w:val="single" w:sz="2"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000" w:type="dxa"/>
            <w:gridSpan w:val="3"/>
            <w:tcBorders>
              <w:top w:val="single" w:sz="2" w:space="0" w:color="95B3D7"/>
            </w:tcBorders>
            <w:shd w:fill="DBE5F1" w:val="clear"/>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 xml:space="preserve">Alignment Healthcare North Carolina, LLC </w:t>
            </w:r>
          </w:p>
        </w:tc>
        <w:tc>
          <w:tcPr>
            <w:tcW w:w="327" w:type="dxa"/>
            <w:gridSpan w:val="3"/>
            <w:tcBorders>
              <w:top w:val="single" w:sz="2" w:space="0" w:color="95B3D7"/>
              <w:left w:val="single" w:sz="2" w:space="0" w:color="95B3D7"/>
            </w:tcBorders>
            <w:shd w:fill="DBE5F1"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2" w:space="0" w:color="95B3D7"/>
              <w:left w:val="single" w:sz="2" w:space="0" w:color="95B3D7"/>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6000"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Alignment Healthcare USA, LLC</w:t>
            </w:r>
          </w:p>
        </w:tc>
        <w:tc>
          <w:tcPr>
            <w:tcW w:w="327" w:type="dxa"/>
            <w:gridSpan w:val="3"/>
            <w:tcBorders>
              <w:top w:val="single" w:sz="2" w:space="0" w:color="95B3D7"/>
              <w:left w:val="single" w:sz="2" w:space="0" w:color="95B3D7"/>
            </w:tcBorders>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2" w:space="0" w:color="95B3D7"/>
              <w:left w:val="single" w:sz="2"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23.1</w:t>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7"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360" w:after="283"/>
        <w:jc w:val="right"/>
        <w:rPr/>
      </w:pPr>
      <w:r>
        <w:rPr/>
      </w:r>
    </w:p>
    <w:p>
      <w:pPr>
        <w:pStyle w:val="TextBody"/>
        <w:bidi w:val="0"/>
        <w:spacing w:before="0" w:after="200"/>
        <w:jc w:val="center"/>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Registration Statement No.’s 333-254887 and 333-292370 on Form S-8 of our reports dated February 26, 2026, relating to the financial statements of Alignment Healthcare, Inc. and the effectiveness of Alignment Healthcare, Inc.’s internal control over financial reporting appearing in this Annual Report on Form 10-K for the year ended December 31, 2025.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Costa Mesa, California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8"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John Kao, certify that:</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Alignment Healthcare, Inc.;</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62" w:type="dxa"/>
        <w:jc w:val="left"/>
        <w:tblInd w:w="0" w:type="dxa"/>
        <w:tblLayout w:type="fixed"/>
        <w:tblCellMar>
          <w:top w:w="28" w:type="dxa"/>
          <w:left w:w="28" w:type="dxa"/>
          <w:bottom w:w="28" w:type="dxa"/>
          <w:right w:w="28" w:type="dxa"/>
        </w:tblCellMar>
      </w:tblPr>
      <w:tblGrid>
        <w:gridCol w:w="772"/>
        <w:gridCol w:w="677"/>
        <w:gridCol w:w="680"/>
        <w:gridCol w:w="134"/>
        <w:gridCol w:w="134"/>
        <w:gridCol w:w="136"/>
        <w:gridCol w:w="619"/>
        <w:gridCol w:w="619"/>
        <w:gridCol w:w="89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rFonts w:ascii="Times New Roman;serif" w:hAnsi="Times New Roman;serif"/>
                <w:b w:val="false"/>
                <w:color w:val="000000"/>
                <w:sz w:val="20"/>
              </w:rPr>
            </w:pPr>
            <w:r>
              <w:rPr>
                <w:rFonts w:ascii="Times New Roman;serif" w:hAnsi="Times New Roman;serif"/>
                <w:b w:val="false"/>
                <w:color w:val="000000"/>
                <w:sz w:val="20"/>
              </w:rPr>
              <w:t>Date:  February 27,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Kao</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John Kao</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9"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James M. Head, certify that:</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Alignment Healthcare, Inc.;</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89"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614"/>
        <w:gridCol w:w="614"/>
        <w:gridCol w:w="87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27,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M. Head</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James M. Head</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30"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Alignment Healthcare, Inc. (the “Company”) on Form 10-K for the period ending December 31, 2025 as filed with the Securities and Exchange Commission on the date hereof (the “Report”), I, John Kao, Chief Executive Officer of the Company, hereby certify, pursuant to 18 U.S.C. § 1350, as adopted pursuant to § 906 of the Sarbanes-Oxley Act of 2002, that, to my knowledge:</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662" w:type="dxa"/>
        <w:jc w:val="left"/>
        <w:tblInd w:w="0" w:type="dxa"/>
        <w:tblLayout w:type="fixed"/>
        <w:tblCellMar>
          <w:top w:w="28" w:type="dxa"/>
          <w:left w:w="28" w:type="dxa"/>
          <w:bottom w:w="28" w:type="dxa"/>
          <w:right w:w="28" w:type="dxa"/>
        </w:tblCellMar>
      </w:tblPr>
      <w:tblGrid>
        <w:gridCol w:w="772"/>
        <w:gridCol w:w="677"/>
        <w:gridCol w:w="680"/>
        <w:gridCol w:w="134"/>
        <w:gridCol w:w="134"/>
        <w:gridCol w:w="136"/>
        <w:gridCol w:w="619"/>
        <w:gridCol w:w="619"/>
        <w:gridCol w:w="89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27,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Kao</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John Kao</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31"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Alignment Healthcare, Inc. (the “Company”) on Form 10-K for the period ending December 31, 2025 as filed with the Securities and Exchange Commission on the date hereof (the “Report”), I, James M. Head, Chief Financial Officer of the Company, hereby certify, pursuant to 18 U.S.C. § 1350, as adopted pursuant to § 906 of the Sarbanes-Oxley Act of 2002, that, to my knowledge:</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633" w:type="dxa"/>
        <w:jc w:val="left"/>
        <w:tblInd w:w="0" w:type="dxa"/>
        <w:tblLayout w:type="fixed"/>
        <w:tblCellMar>
          <w:top w:w="28" w:type="dxa"/>
          <w:left w:w="28" w:type="dxa"/>
          <w:bottom w:w="28" w:type="dxa"/>
          <w:right w:w="28" w:type="dxa"/>
        </w:tblCellMar>
      </w:tblPr>
      <w:tblGrid>
        <w:gridCol w:w="772"/>
        <w:gridCol w:w="677"/>
        <w:gridCol w:w="680"/>
        <w:gridCol w:w="134"/>
        <w:gridCol w:w="134"/>
        <w:gridCol w:w="136"/>
        <w:gridCol w:w="614"/>
        <w:gridCol w:w="614"/>
        <w:gridCol w:w="872"/>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27,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M. Head</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James M. Head</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2"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32466/000119312521100476/d292883dex31.htm" TargetMode="External"/><Relationship Id="rId4" Type="http://schemas.openxmlformats.org/officeDocument/2006/relationships/hyperlink" Target="https://www.sec.gov/Archives/edgar/data/0001832466/000162828024027889/certificateofamendment-alh.htm" TargetMode="External"/><Relationship Id="rId5" Type="http://schemas.openxmlformats.org/officeDocument/2006/relationships/hyperlink" Target="https://www.sec.gov/Archives/edgar/data/0001832466/000095017024021154/alhc-ex3_2.htm" TargetMode="External"/><Relationship Id="rId6" Type="http://schemas.openxmlformats.org/officeDocument/2006/relationships/hyperlink" Target="https://www.sec.gov/Archives/edgar/data/0001832466/000095017024021154/alhc-ex3_2.htm" TargetMode="External"/><Relationship Id="rId7" Type="http://schemas.openxmlformats.org/officeDocument/2006/relationships/hyperlink" Target="https://www.sec.gov/Archives/edgar/data/1832466/000119312521100476/d292883dex41.htm" TargetMode="External"/><Relationship Id="rId8" Type="http://schemas.openxmlformats.org/officeDocument/2006/relationships/hyperlink" Target="https://www.sec.gov/Archives/edgar/data/1832466/000095017022002810/alhc-ex4_2.htm" TargetMode="External"/><Relationship Id="rId9" Type="http://schemas.openxmlformats.org/officeDocument/2006/relationships/hyperlink" Target="https://www.sec.gov/Archives/edgar/data/0001832466/000162828024049159/alignment-convertiblenotes.htm" TargetMode="External"/><Relationship Id="rId10" Type="http://schemas.openxmlformats.org/officeDocument/2006/relationships/hyperlink" Target="https://www.sec.gov/Archives/edgar/data/1832466/000119312521090721/d50030dex106.htm" TargetMode="External"/><Relationship Id="rId11" Type="http://schemas.openxmlformats.org/officeDocument/2006/relationships/hyperlink" Target="https://www.sec.gov/Archives/edgar/data/1832466/000119312521067513/d50030dex107.htm" TargetMode="External"/><Relationship Id="rId12" Type="http://schemas.openxmlformats.org/officeDocument/2006/relationships/hyperlink" Target="https://www.sec.gov/Archives/edgar/data/1832466/000119312521100476/d292883dex102.htm" TargetMode="External"/><Relationship Id="rId13" Type="http://schemas.openxmlformats.org/officeDocument/2006/relationships/hyperlink" Target="https://www.sec.gov/Archives/edgar/data/1832466/000095017021000261/alhc-20210331-ex10_9.htm" TargetMode="External"/><Relationship Id="rId14" Type="http://schemas.openxmlformats.org/officeDocument/2006/relationships/hyperlink" Target="https://www.sec.gov/Archives/edgar/data/1832466/000095017021000261/alhc-20210331-ex10_10.htm" TargetMode="External"/><Relationship Id="rId15" Type="http://schemas.openxmlformats.org/officeDocument/2006/relationships/hyperlink" Target="https://www.sec.gov/Archives/edgar/data/1832466/000162828025021571/exh101employmentagreement-.htm" TargetMode="External"/><Relationship Id="rId16" Type="http://schemas.openxmlformats.org/officeDocument/2006/relationships/hyperlink" Target="https://www.sec.gov/Archives/edgar/data/1832466/000162828025021571/exh101employmentagreement-.htm" TargetMode="External"/><Relationship Id="rId17" Type="http://schemas.openxmlformats.org/officeDocument/2006/relationships/hyperlink" Target="https://www.sec.gov/Archives/edgar/data/1832466/000162828025021571/exh101employmentagreement-.htm" TargetMode="External"/><Relationship Id="rId18" Type="http://schemas.openxmlformats.org/officeDocument/2006/relationships/hyperlink" Target="https://www.sec.gov/Archives/edgar/data/1832466/000162828025021571/exh101employmentagreement-.htm" TargetMode="External"/><Relationship Id="rId19" Type="http://schemas.openxmlformats.org/officeDocument/2006/relationships/hyperlink" Target="https://www.sec.gov/Archives/edgar/data/1832466/000162828025021571/exh101employmentagreement-.htm" TargetMode="External"/><Relationship Id="rId20" Type="http://schemas.openxmlformats.org/officeDocument/2006/relationships/hyperlink" Target="https://www.sec.gov/Archives/edgar/data/1832466/000162828025021571/exh101employmentagreement-.htm" TargetMode="External"/><Relationship Id="rId21" Type="http://schemas.openxmlformats.org/officeDocument/2006/relationships/hyperlink" Target="https://www.sec.gov/Archives/edgar/data/1832466/000162828025021571/exh101employmentagreement-.htm" TargetMode="External"/><Relationship Id="rId22" Type="http://schemas.openxmlformats.org/officeDocument/2006/relationships/hyperlink" Target="https://www.sec.gov/Archives/edgar/data/1832466/000162828025021571/exh101employmentagreement-.htm" TargetMode="External"/><Relationship Id="rId23" Type="http://schemas.openxmlformats.org/officeDocument/2006/relationships/hyperlink" Target="https://www.sec.gov/Archives/edgar/data/1832466/000162828025021571/exh101employmentagreement-.htm" TargetMode="External"/><Relationship Id="rId24" Type="http://schemas.openxmlformats.org/officeDocument/2006/relationships/hyperlink" Target="https://www.sec.gov/Archives/edgar/data/1832466/000162828025021571/exh101employmentagreement-.htm" TargetMode="External"/><Relationship Id="rId25" Type="http://schemas.openxmlformats.org/officeDocument/2006/relationships/hyperlink" Target="https://www.sec.gov/Archives/edgar/data/1832466/000162828025021571/exh101employmentagreement-.htm" TargetMode="External"/><Relationship Id="rId26" Type="http://schemas.openxmlformats.org/officeDocument/2006/relationships/hyperlink" Target="https://www.sec.gov/Archives/edgar/data/1832466/000095017021000261/alhc-20210331-ex10_11.htm" TargetMode="External"/><Relationship Id="rId27" Type="http://schemas.openxmlformats.org/officeDocument/2006/relationships/hyperlink" Target="https://www.sec.gov/Archives/edgar/data/1832466/000162828025021571/exh102amendmenttoaremploym.htm" TargetMode="External"/><Relationship Id="rId28" Type="http://schemas.openxmlformats.org/officeDocument/2006/relationships/hyperlink" Target="https://www.sec.gov/Archives/edgar/data/1832466/000162828025021571/exh102amendmenttoaremploym.htm" TargetMode="External"/><Relationship Id="rId29" Type="http://schemas.openxmlformats.org/officeDocument/2006/relationships/hyperlink" Target="https://www.sec.gov/Archives/edgar/data/1832466/000162828025021571/exh102amendmenttoaremploym.htm" TargetMode="External"/><Relationship Id="rId30" Type="http://schemas.openxmlformats.org/officeDocument/2006/relationships/hyperlink" Target="https://www.sec.gov/Archives/edgar/data/1832466/000162828025021571/exh102amendmenttoaremploym.htm" TargetMode="External"/><Relationship Id="rId31" Type="http://schemas.openxmlformats.org/officeDocument/2006/relationships/hyperlink" Target="https://www.sec.gov/Archives/edgar/data/1832466/000162828025021571/exh102amendmenttoaremploym.htm" TargetMode="External"/><Relationship Id="rId32" Type="http://schemas.openxmlformats.org/officeDocument/2006/relationships/hyperlink" Target="https://www.sec.gov/Archives/edgar/data/1832466/000162828025021571/exh102amendmenttoaremploym.htm" TargetMode="External"/><Relationship Id="rId33" Type="http://schemas.openxmlformats.org/officeDocument/2006/relationships/hyperlink" Target="https://www.sec.gov/Archives/edgar/data/1832466/000095017023046764/alhc-ex10_1.htm" TargetMode="External"/><Relationship Id="rId34" Type="http://schemas.openxmlformats.org/officeDocument/2006/relationships/hyperlink" Target="https://www.sec.gov/Archives/edgar/data/1832466/000162828024037577/alignmentconsultingservice.htm" TargetMode="External"/><Relationship Id="rId35" Type="http://schemas.openxmlformats.org/officeDocument/2006/relationships/hyperlink" Target="https://www.sec.gov/Archives/edgar/data/1832466/000119312521090721/d50030dex1016.htm" TargetMode="External"/><Relationship Id="rId36" Type="http://schemas.openxmlformats.org/officeDocument/2006/relationships/hyperlink" Target="https://www.sec.gov/Archives/edgar/data/1832466/000119312521090721/d50030dex1017.htm" TargetMode="External"/><Relationship Id="rId37" Type="http://schemas.openxmlformats.org/officeDocument/2006/relationships/hyperlink" Target="https://www.sec.gov/Archives/edgar/data/1832466/000119312521090721/d50030dex1018.htm" TargetMode="External"/><Relationship Id="rId38" Type="http://schemas.openxmlformats.org/officeDocument/2006/relationships/hyperlink" Target="https://www.sec.gov/Archives/edgar/data/1832466/000119312521090721/d50030dex1019.htm" TargetMode="External"/><Relationship Id="rId39" Type="http://schemas.openxmlformats.org/officeDocument/2006/relationships/hyperlink" Target="https://www.sec.gov/Archives/edgar/data/1832466/000119312521090721/d50030dex1020.htm" TargetMode="External"/><Relationship Id="rId40" Type="http://schemas.openxmlformats.org/officeDocument/2006/relationships/hyperlink" Target="https://www.sec.gov/Archives/edgar/data/1832466/000095017023048416/alhc-ex10_1.htm" TargetMode="External"/><Relationship Id="rId41" Type="http://schemas.openxmlformats.org/officeDocument/2006/relationships/hyperlink" Target="https://www.sec.gov/Archives/edgar/data/1832466/000119312521067513/d50030dex1014.htm" TargetMode="External"/><Relationship Id="rId42" Type="http://schemas.openxmlformats.org/officeDocument/2006/relationships/hyperlink" Target="https://www.sec.gov/Archives/edgar/data/0001832466/000162828024019994/alhc-20240331xex101.htm" TargetMode="External"/><Relationship Id="rId43" Type="http://schemas.openxmlformats.org/officeDocument/2006/relationships/hyperlink" Target="https://www.sec.gov/Archives/edgar/data/0001832466/000095017024021154/alhc-ex97.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231</Pages>
  <Words>202075</Words>
  <Characters>1107043</Characters>
  <CharactersWithSpaces>1306491</CharactersWithSpaces>
  <Paragraphs>6474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